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Xylella fastidiosa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2020-05-12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Xylella fastidiosa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Wells, Raju, Hung, Weisburg, Parl &amp; Beemer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Lysobacterales: Lysobacteraceae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Grapevine Pierce's disease agent</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Xylella fastidiosa subsp. piercei</w:t>
            </w:r>
            <w:r>
              <w:rPr>
                <w:rFonts w:ascii="Calibri" w:hAnsi="Calibri" w:eastAsia="Calibri" w:cs="Calibri"/>
                <w:color w:val="000000"/>
                <w:position w:val="-3"/>
                <w:sz w:val="22"/>
                <w:szCs w:val="22"/>
              </w:rPr>
              <w:t xml:space="preserve"> Schaad et al.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Anaheim disease, California vine disease, Pierce's disease of grapevine, citrus variegated chlorosis, dwarf disease of alfalfa (US), dwarf disease of lucerne (GB), leaf scorch of American sycamore, leaf scorch of almond, leaf scorch of coffee, leaf scorch of elm, leaf scorch of maple, leaf scorch of mulberry, leaf scorch of oleander, olive quick decline syndrome, peach phony disease, plum leaf scald</w:t>
            </w:r>
            <w:hyperlink r:id="rId84886ad5c4d5a3fd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Quarantine pest ((EU) 2019/2072 Annex II B)</w:t>
            </w:r>
            <w:hyperlink r:id="rId32576ad5c4d5a404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XYLEFA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8330132" name="name54636ad5c4d5a45cf" descr="17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82.jpg"/>
                          <pic:cNvPicPr/>
                        </pic:nvPicPr>
                        <pic:blipFill>
                          <a:blip r:embed="rId63886ad5c4d5a45cd" cstate="print"/>
                          <a:stretch>
                            <a:fillRect/>
                          </a:stretch>
                        </pic:blipFill>
                        <pic:spPr>
                          <a:xfrm>
                            <a:off x="0" y="0"/>
                            <a:ext cx="2160000" cy="1281600"/>
                          </a:xfrm>
                          <a:prstGeom prst="rect">
                            <a:avLst/>
                          </a:prstGeom>
                          <a:ln w="0">
                            <a:noFill/>
                          </a:ln>
                        </pic:spPr>
                      </pic:pic>
                    </a:graphicData>
                  </a:graphic>
                </wp:inline>
              </w:drawing>
            </w:r>
            <w:hyperlink r:id="rId34516ad5c4d5a46cb"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is a genetically diverse species that has been associated with a wide range of plant diseases (see common names above). </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Subspecies: </w:t>
      </w:r>
      <w:r>
        <w:rPr>
          <w:rFonts w:ascii="Calibri" w:hAnsi="Calibri" w:eastAsia="Calibri" w:cs="Calibri"/>
          <w:color w:val="000000"/>
          <w:sz w:val="22"/>
          <w:szCs w:val="22"/>
        </w:rPr>
        <w:t xml:space="preserve">six different subspecies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have been proposed, namely: </w:t>
      </w:r>
    </w:p>
    <w:p>
      <w:pPr>
        <w:widowControl w:val="on"/>
        <w:pBdr/>
        <w:spacing w:before="220" w:after="220" w:line="240" w:lineRule="auto"/>
        <w:ind w:left="0" w:right="0"/>
        <w:jc w:val="left"/>
      </w:pP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fastidiosa</w:t>
      </w:r>
      <w:r>
        <w:rPr>
          <w:rFonts w:ascii="Calibri" w:hAnsi="Calibri" w:eastAsia="Calibri" w:cs="Calibri"/>
          <w:color w:val="000000"/>
          <w:sz w:val="22"/>
          <w:szCs w:val="22"/>
        </w:rPr>
        <w:br/>
        <w:t xml:space="preserve">-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multiplex</w:t>
      </w:r>
      <w:r>
        <w:rPr>
          <w:rFonts w:ascii="Calibri" w:hAnsi="Calibri" w:eastAsia="Calibri" w:cs="Calibri"/>
          <w:color w:val="000000"/>
          <w:sz w:val="22"/>
          <w:szCs w:val="22"/>
        </w:rPr>
        <w:br/>
        <w:t xml:space="preserve">-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pauca</w:t>
      </w:r>
      <w:r>
        <w:rPr>
          <w:rFonts w:ascii="Calibri" w:hAnsi="Calibri" w:eastAsia="Calibri" w:cs="Calibri"/>
          <w:color w:val="000000"/>
          <w:sz w:val="22"/>
          <w:szCs w:val="22"/>
        </w:rPr>
        <w:t xml:space="preserve"> </w:t>
      </w:r>
      <w:r>
        <w:rPr>
          <w:rFonts w:ascii="Calibri" w:hAnsi="Calibri" w:eastAsia="Calibri" w:cs="Calibri"/>
          <w:color w:val="000000"/>
          <w:sz w:val="22"/>
          <w:szCs w:val="22"/>
        </w:rPr>
        <w:br/>
        <w:t xml:space="preserve">-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sandyi</w:t>
      </w:r>
      <w:r>
        <w:rPr>
          <w:rFonts w:ascii="Calibri" w:hAnsi="Calibri" w:eastAsia="Calibri" w:cs="Calibri"/>
          <w:color w:val="000000"/>
          <w:sz w:val="22"/>
          <w:szCs w:val="22"/>
        </w:rPr>
        <w:t xml:space="preserve"> </w:t>
      </w:r>
      <w:r>
        <w:rPr>
          <w:rFonts w:ascii="Calibri" w:hAnsi="Calibri" w:eastAsia="Calibri" w:cs="Calibri"/>
          <w:color w:val="000000"/>
          <w:sz w:val="22"/>
          <w:szCs w:val="22"/>
        </w:rPr>
        <w:br/>
        <w:t xml:space="preserve">-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tashke</w:t>
      </w:r>
      <w:r>
        <w:rPr>
          <w:rFonts w:ascii="Calibri" w:hAnsi="Calibri" w:eastAsia="Calibri" w:cs="Calibri"/>
          <w:color w:val="000000"/>
          <w:sz w:val="22"/>
          <w:szCs w:val="22"/>
        </w:rPr>
        <w:t xml:space="preserve"> </w:t>
      </w:r>
      <w:r>
        <w:rPr>
          <w:rFonts w:ascii="Calibri" w:hAnsi="Calibri" w:eastAsia="Calibri" w:cs="Calibri"/>
          <w:color w:val="000000"/>
          <w:sz w:val="22"/>
          <w:szCs w:val="22"/>
        </w:rPr>
        <w:br/>
        <w:t xml:space="preserve">-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morus</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of these subspecies only two, </w:t>
      </w:r>
      <w:r>
        <w:rPr>
          <w:rFonts w:ascii="Calibri" w:hAnsi="Calibri" w:eastAsia="Calibri" w:cs="Calibri"/>
          <w:i/>
          <w:iCs/>
          <w:color w:val="000000"/>
          <w:sz w:val="22"/>
          <w:szCs w:val="22"/>
        </w:rPr>
        <w:t xml:space="preserve">fastidiosa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multiplex</w:t>
      </w:r>
      <w:r>
        <w:rPr>
          <w:rFonts w:ascii="Calibri" w:hAnsi="Calibri" w:eastAsia="Calibri" w:cs="Calibri"/>
          <w:color w:val="000000"/>
          <w:sz w:val="22"/>
          <w:szCs w:val="22"/>
        </w:rPr>
        <w:t xml:space="preserve">, are currently officially considered as valid names by the International Society of Plant Pathology Committee on the Taxonomy of Plant Pathogenic Bacteria (ISPP-CTPPB) (Bull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 pathovar subdivision within</w:t>
      </w:r>
      <w:r>
        <w:rPr>
          <w:rFonts w:ascii="Calibri" w:hAnsi="Calibri" w:eastAsia="Calibri" w:cs="Calibri"/>
          <w:i/>
          <w:iCs/>
          <w:color w:val="000000"/>
          <w:sz w:val="22"/>
          <w:szCs w:val="22"/>
        </w:rPr>
        <w:t xml:space="preserve"> X. fastidiosa</w:t>
      </w:r>
      <w:r>
        <w:rPr>
          <w:rFonts w:ascii="Calibri" w:hAnsi="Calibri" w:eastAsia="Calibri" w:cs="Calibri"/>
          <w:color w:val="000000"/>
          <w:sz w:val="22"/>
          <w:szCs w:val="22"/>
        </w:rPr>
        <w:t xml:space="preserve"> has also been proposed (Hendson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Sequence types (STs): </w:t>
      </w:r>
      <w:r>
        <w:rPr>
          <w:rFonts w:ascii="Calibri" w:hAnsi="Calibri" w:eastAsia="Calibri" w:cs="Calibri"/>
          <w:color w:val="000000"/>
          <w:sz w:val="22"/>
          <w:szCs w:val="22"/>
        </w:rPr>
        <w:t xml:space="preserve">Multilocus sequence typing (Maiden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is a genetic typing methodology that is widely used to characterise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as well as other bacteria (Scally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Yuan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Nunney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Denancé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2019). Different STs have been identified in the different outbreaks in the EPPO region: ST53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pauca</w:t>
      </w:r>
      <w:r>
        <w:rPr>
          <w:rFonts w:ascii="Calibri" w:hAnsi="Calibri" w:eastAsia="Calibri" w:cs="Calibri"/>
          <w:color w:val="000000"/>
          <w:sz w:val="22"/>
          <w:szCs w:val="22"/>
        </w:rPr>
        <w:t xml:space="preserve">) and ST87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multiplex</w:t>
      </w:r>
      <w:r>
        <w:rPr>
          <w:rFonts w:ascii="Calibri" w:hAnsi="Calibri" w:eastAsia="Calibri" w:cs="Calibri"/>
          <w:color w:val="000000"/>
          <w:sz w:val="22"/>
          <w:szCs w:val="22"/>
        </w:rPr>
        <w:t xml:space="preserve">) in Italy; ST6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multiplex</w:t>
      </w:r>
      <w:r>
        <w:rPr>
          <w:rFonts w:ascii="Calibri" w:hAnsi="Calibri" w:eastAsia="Calibri" w:cs="Calibri"/>
          <w:color w:val="000000"/>
          <w:sz w:val="22"/>
          <w:szCs w:val="22"/>
        </w:rPr>
        <w:t xml:space="preserve">), ST7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multiplex</w:t>
      </w:r>
      <w:r>
        <w:rPr>
          <w:rFonts w:ascii="Calibri" w:hAnsi="Calibri" w:eastAsia="Calibri" w:cs="Calibri"/>
          <w:color w:val="000000"/>
          <w:sz w:val="22"/>
          <w:szCs w:val="22"/>
        </w:rPr>
        <w:t xml:space="preserve">) and ST53 in France; ST7 in Portugal; ST1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fastidiosa</w:t>
      </w:r>
      <w:r>
        <w:rPr>
          <w:rFonts w:ascii="Calibri" w:hAnsi="Calibri" w:eastAsia="Calibri" w:cs="Calibri"/>
          <w:color w:val="000000"/>
          <w:sz w:val="22"/>
          <w:szCs w:val="22"/>
        </w:rPr>
        <w:t xml:space="preserve">), ST6, ST7, ST80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pauca</w:t>
      </w:r>
      <w:r>
        <w:rPr>
          <w:rFonts w:ascii="Calibri" w:hAnsi="Calibri" w:eastAsia="Calibri" w:cs="Calibri"/>
          <w:color w:val="000000"/>
          <w:sz w:val="22"/>
          <w:szCs w:val="22"/>
        </w:rPr>
        <w:t xml:space="preserve">), and ST81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multiplex</w:t>
      </w:r>
      <w:r>
        <w:rPr>
          <w:rFonts w:ascii="Calibri" w:hAnsi="Calibri" w:eastAsia="Calibri" w:cs="Calibri"/>
          <w:color w:val="000000"/>
          <w:sz w:val="22"/>
          <w:szCs w:val="22"/>
        </w:rPr>
        <w:t xml:space="preserve">) in Spain (Balearic Islands).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is a polyphagous bacterium that can infect the xylem of a wide range of cultivated and wild host plants. A total of 595 plant species have been reported in the scientific literature (EFSA, 2020) as plant hosts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From these, 343 were confirmed using at least two different molecular tests for the detection of the bacterium, and many of these plant species were found to have been infected in natural conditions.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is known to cause severe direct damage to several major crops including grapevine, almond, coffee, citrus, stone fruits, as well as forest, landscape and ornamental trees. The main and most common diseases caused by the bacterium are Pierce’s disease (PD) of grapevine in North America, citrus variegated chlorosis (CVC) in South America, and, in recent years, olive quick decline syndrome (OQDS). </w:t>
      </w:r>
    </w:p>
    <w:p>
      <w:pPr>
        <w:widowControl w:val="on"/>
        <w:pBdr/>
        <w:spacing w:before="220" w:after="220" w:line="240" w:lineRule="auto"/>
        <w:ind w:left="0" w:right="0"/>
        <w:jc w:val="both"/>
      </w:pPr>
      <w:r>
        <w:rPr>
          <w:rFonts w:ascii="Calibri" w:hAnsi="Calibri" w:eastAsia="Calibri" w:cs="Calibri"/>
          <w:color w:val="000000"/>
          <w:sz w:val="22"/>
          <w:szCs w:val="22"/>
        </w:rPr>
        <w:t xml:space="preserve">The OQDS is a devasting disease caused by </w:t>
      </w:r>
      <w:r>
        <w:rPr>
          <w:rFonts w:ascii="Calibri" w:hAnsi="Calibri" w:eastAsia="Calibri" w:cs="Calibri"/>
          <w:i/>
          <w:iCs/>
          <w:color w:val="000000"/>
          <w:sz w:val="22"/>
          <w:szCs w:val="22"/>
        </w:rPr>
        <w:t xml:space="preserve">X. fastidiosa </w:t>
      </w:r>
      <w:r>
        <w:rPr>
          <w:rFonts w:ascii="Calibri" w:hAnsi="Calibri" w:eastAsia="Calibri" w:cs="Calibri"/>
          <w:color w:val="000000"/>
          <w:sz w:val="22"/>
          <w:szCs w:val="22"/>
        </w:rPr>
        <w:t xml:space="preserve">that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emerged</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Southern Italy in 2013 (Saponari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but that was first detected in the USA in the 2000s (Hernandez-Martinez, 2007; Krugner, 2011). The disease on olive (also called olive leaf scorch and quick decline) has also emerged in Argentina and Brazil (Haelterman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Coletta-Filho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European Union territory, a list of host plants found to be susceptible to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and its subspecies is maintained in a database (European Commission, 2020). It can be noted that no single strain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can infect all of the plant hosts and a large host range variation has been ascertained even within subspecies and among strains sharing the same ST (Nunney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cultriformis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dealbata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melanoxylon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saligna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granatense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griseum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macrophyllum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platanoides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pseudoplatanus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Adenocarpus lainzii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Adenocarpus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x hybrida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Agathis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Agrostis gigantea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julibrissin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Alectryon excelsus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rhombifolia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ficoidea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artemisiifolia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psilostachya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trifida var.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Ampelopsis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Ampelopsis brevipedunculata var. hancei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Ampelopsis 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Ampelopsis glandulosa var. brevipedunculata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Anthyllis barba-jovis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Anthyllis hermanniae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Arbutus unedo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Argyranthemum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absinthium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arborescens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douglasiana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acutifolius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Athyrium filix-femina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Atriplex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fatua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Axonopus compressus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pilularis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thunbergii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Boerhavia diffusa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Brachiaria plantaginea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Brachyglottis compacta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Brachyglottis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Bromus diandrus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Bromus rigidus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Bromus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Broussonetia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Calicotome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Calicotome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Calicotome villosa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Callicarpa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Calluna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Calyptocarpus biaristatus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Campsis radicans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Capsella bursa-pastoris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Carex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cathayensis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cordiformis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floridana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laciniosa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pallida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Catharanthus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clandestinus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echinatus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siliquastrum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Chamaecrista fasciculata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Chionanthus retusus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Chionanthus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Chloris ciliata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Chloris halophila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Cistus albidus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Cistus creticus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Cistus inflatus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Cistus ladanifer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Cistus monspeliensis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Cistus salviifolius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Cistus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Cistus x incanus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celebica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natsudaidai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tangerina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tangelo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Clematis cirrhosa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Clematis vitalba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Clianthus puniceus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Clinopodium nepeta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Coelorachis cylindrica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canephora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eugenioides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excelsa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kapakata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liberica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stenophylla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Coleonema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benghalensis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Conium maculatum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cneorum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Coprosma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Coprosma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Cordyline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Cordyline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sanguinea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Corokia cotoneaster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Corokia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Corokia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Coronilla valentina subsp.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Coronilla valentina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Cortaderia selloana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Corynocarpus laevigatus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setigerus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eragrostis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Cytisus multiflorus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Cytisus scoparius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Cytisus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Cytisus striatus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Cytisus villosus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Daphne gnidium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ferox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wrightii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Dichanthelium acuminatum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horizontalis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insularis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Dimorphotheca ecklonis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Dimorphotheca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Diplocyclos palmatus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Distimake macrocalyx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Dittrichia viscosa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Dodonaea viscosa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Duranta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Dysphania ambrosioides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Echinospartum lusitanicum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Echium plantagineum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x submacrophylla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Encelia farinosa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Eragrostis virescens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Eremophila maculata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Erica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karvinskianus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sumatrensis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Eriocephalus africanus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Eriochloa contracta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Eriogonum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botrys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moschatum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Erysimum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Escallonia bifida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chamaesyce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hirta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terracina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Euryops chrysanthemoides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Euryops pectinatus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Facelis retusa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Fatsia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Flaveria bidentis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vesca subsp. bracteata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Frangula alnus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dipetala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excelsior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pennsylvanica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magellanica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Gahnia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Gazania rigens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Genista balearica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Genista corsica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Genista ephedroides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Genista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Genista scorpius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Genista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Genista triacanthos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Genista tricuspidata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Genista tridentata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Genista x spachiana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dissectum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Ginkgo biloba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triacanthos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juniperina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rosmarinifolia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Halimium calycinum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Halimium halimifolium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Halimium lasianthum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Halimium ocymoides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Halimium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Haloragis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Hedera helix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Helichrysum italicum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Helichrysum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Helichrysum stoechas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Heliotropium europaeum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Heliotropium fruticosum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Heliotropium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Hemerocallis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Heterotheca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Hevea brasiliensis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schizopetalus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syriacus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murinum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Humulus scandens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Hypericum androsaemum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Hypericum perforatum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Hypochaeris brasiliensis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aquifolium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vomitoria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carnea subsp. fistulosa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nil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Iva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Jacaranda mimosifolia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Jacobaea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ashei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Koelreuteria bipinnata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serriola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Lavandula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Lavandula 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Lavandula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Lavandula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Lavandula stoechas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Lavandula x chaytorae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Lavandula x heterophylla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Lavandula x intermedia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Leonurus sibiricus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auriculatum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didymum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ruderale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Leucophyta brownii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Libertia peregrinans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lucidum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sinense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Liriodendron tulipifera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multiflorum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perenne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implexa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periclymenum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Ludwigia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aridorum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villosus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x soulangeana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Mallotus paniculatus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multiflora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Malvastrum coromandelianum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Marrubium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polymorpha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citrina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Melicope ternata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Melicytus ramiflorus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Melissa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suaveolens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Meryta sinclairii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Metrosideros excelsa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Metrosideros kermadecensis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Metrosideros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Modiola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Montia linearis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Myoporum insulare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Myoporum laetum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Myoporum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Myrtus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Nandina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Neptunia lutea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oleander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Nyssa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 subsp.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Olearia traversii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Origanum majorana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Pachystegia insignis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Parthenocissus quinquefolia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Parthenocissus tricuspidata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Pascalia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dilatatum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regnellii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urvillei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foetida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fragrans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lapathifolia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maculosa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Phagnalon saxatile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Phagnalon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Phalaris angusta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Phillyrea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Phillyrea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Phlomis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Phlomis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reclinata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roebelenii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Phormium colensoi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Phormium tenax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Photinia x fraseri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Phyllocladus trichomanoides var. alpinus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Pistacia vera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crassifolium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eugenioides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tenuifolium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umbellatum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x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Pluchea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Polygala myrtifolia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Polygala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Polygala x dalmaisiana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arenastrum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campanulata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hortulana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laurocerasus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munsoniana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serrulata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simonii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Pteridium aquilinum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calleryana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cerris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imbricaria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laurifolia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phellos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pyrenaica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shumardii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suber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velutina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Ratibida columnifera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Retama monosperma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Reynoutria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Rhamnus alaternus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Rhamnus lycioides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Rhamnus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Richardia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canina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procerus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rigidus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ulmifolius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ursinus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vitifolius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Rudgea verticillata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Ruta chalepensis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Ruta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atrocinerea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Salsola tragus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abrotanoides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mellifera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rosmarinus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cerulea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Santolina chamaecyparissus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Santolina impressa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Santolina magonica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Santolina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Sapindus saponaria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Sassafras albidum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Sassafras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Scabiosa atropurpurea var.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grisebachii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inaequidens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magna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verticillata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rhombifolia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Silybum marianum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Sisymbrium irio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Smilax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fistulosa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virgaurea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Sophora secundiflora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halepense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Spartium junceum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Spartium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Spermacoce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Stachys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Stewartia pseudocamellia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Strelitzia reginae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Streptocarpus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Streptocarpus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divaricatum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paniculatum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Talinum paniculatum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Teucrium capitatum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Thymus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diversilobum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radicans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incarnatum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Ulex europaeus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Ulex micranthus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Ulex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Ulex parviflorus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Ulex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x hollandica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eminii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dioica subsp. gracilis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urens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ashei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darrowii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virgatum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litoralis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Verbesina encelioides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elliptica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tinus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ludoviciana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Vinca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Vinca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Vitex agnus-castus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Vitex lucens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aestivalis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arizonica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bourquiniana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candicans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cinerea var. floridana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girdiana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munsoniana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riparia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rotundifolia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shuttleworthii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x champinii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Westringia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Westringia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spinosum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strumarium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Chitalpa tashkentensis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is known to occur over a wide range of climatic zones in tropical and subtropical areas, as well as in more temperate or even continental climate regions. Until the 2010s,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was known to occur in the Americas only. In Asia, a bacterium causing pear leaf scorch disease in Taiwan and first identified as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(Su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has later been reported as being a new species </w:t>
      </w:r>
      <w:r>
        <w:rPr>
          <w:rFonts w:ascii="Calibri" w:hAnsi="Calibri" w:eastAsia="Calibri" w:cs="Calibri"/>
          <w:i/>
          <w:iCs/>
          <w:color w:val="000000"/>
          <w:sz w:val="22"/>
          <w:szCs w:val="22"/>
        </w:rPr>
        <w:t xml:space="preserve">X. taiwanensis</w:t>
      </w:r>
      <w:r>
        <w:rPr>
          <w:rFonts w:ascii="Calibri" w:hAnsi="Calibri" w:eastAsia="Calibri" w:cs="Calibri"/>
          <w:color w:val="000000"/>
          <w:sz w:val="22"/>
          <w:szCs w:val="22"/>
        </w:rPr>
        <w:t xml:space="preserve"> (Su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 the EPPO region, the outbreak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in olive trees in Apulia, Southern Italy (Saponari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the presence of the bacterium in Mediterranean plant species in the natural and urban landscapes of Italy (Apulia, Toscana), France (Corsica and Provence-Alpes-Côte d’Azur), Spain (Balearic Islands, Comunidad Valenciana and Madrid) and Portugal (Porto), constituted a major change to its geographical distribution. Records from Turkey (Güldür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Lebanon (Temsah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Habib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Kosovo (Berisha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EPPO, 1998) are considered invalid. </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below is given for all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subspecies.</w:t>
      </w:r>
    </w:p>
    <w:p>
      <w:r>
        <w:drawing>
          <wp:inline distT="0" distB="0" distL="0" distR="0">
            <wp:extent cx="6120000" cy="3067200"/>
            <wp:docPr id="10448429" name="name56576ad5c4d5aa3ee" descr="XYLEF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YLEFA_distribution_map.jpg"/>
                    <pic:cNvPicPr/>
                  </pic:nvPicPr>
                  <pic:blipFill>
                    <a:blip r:embed="rId87316ad5c4d5aa3e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Corse), Israel, Italy (mainland), Luxembourg, Portugal (mainland), Spain (mainland, Islas Baleares)</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(Xinjiang), Iran, Islamic Republic of, Iraq, Israel, Lebanon,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Ontario, Saskatchewan), Mexico, United States of America (Alabama, Arizona, Arkansas, California, Delaware, District of Columbia, Florida, Georgia, Indiana, Kentucky, Louisiana, Maryland, Mississippi, Missouri, New Jersey, New Mexico, New York, North Carolina, Oklahoma, Oregon, Pennsylvania, Rhode Island, South Carolina, Tennessee, Texas, Virginia, West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Puerto Rico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(Alagoas, Amazonas, Bahia, Distrito Federal, Espirito Santo, Goias, Minas Gerais, Para, Parana, Rio de Janeiro, Rio Grande do Sul, Santa Catarina, Sao Paulo, Sergipe), Colombia, Ecuador, Paraguay, Peru,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Interaction between </w:t>
      </w:r>
      <w:r>
        <w:rPr>
          <w:rFonts w:ascii="Calibri" w:hAnsi="Calibri" w:eastAsia="Calibri" w:cs="Calibri"/>
          <w:b/>
          <w:bCs/>
          <w:i/>
          <w:iCs/>
          <w:color w:val="000000"/>
          <w:sz w:val="22"/>
          <w:szCs w:val="22"/>
        </w:rPr>
        <w:t xml:space="preserve">X. fastidiosa</w:t>
      </w:r>
      <w:r>
        <w:rPr>
          <w:rFonts w:ascii="Calibri" w:hAnsi="Calibri" w:eastAsia="Calibri" w:cs="Calibri"/>
          <w:b/>
          <w:bCs/>
          <w:color w:val="000000"/>
          <w:sz w:val="22"/>
          <w:szCs w:val="22"/>
        </w:rPr>
        <w:t xml:space="preserve"> and its host plants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is a xylem-limited fastidious bacterium that in nature is exclusively transmitted by xylem-fluid feeding insects. The bacterium therefore proliferates only in xylem vessels, in roots, stems and leaves. Symptom expression is usually linked to the occlusion of these vessels by bacterial aggregates, as well as by tyloses and gums formed by the plant. Therefore, symptoms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often resemble those caused by water stress. In some cases, the infection results in rapid death of the host plant. However, many plant species if not the majority may not even express any symptoms (EFSA, 2015a, 2018, 2019b). The symptomless plants often serve as a source of inoculum for vectors (Hopkins and Purcell, 2002). In some host plants, bacterial cells may remain restricted to parts of the plant or even at the point of entrance. In susceptible plants, they move systemically through the xylem vessels, mainly upstream but also downstream, and may invade all plant organs. The time period between infection and the appearance of symptoms (incubation period) is highly variable and ranges from a few months to even more than one year, depending on the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genotype, the host species, the age of the plant and growing conditions (EFSA, 2019b, 2020).</w:t>
      </w:r>
    </w:p>
    <w:p>
      <w:pPr>
        <w:widowControl w:val="on"/>
        <w:pBdr/>
        <w:spacing w:before="220" w:after="220" w:line="240" w:lineRule="auto"/>
        <w:ind w:left="0" w:right="0"/>
        <w:jc w:val="both"/>
      </w:pPr>
      <w:r>
        <w:rPr>
          <w:rFonts w:ascii="Calibri" w:hAnsi="Calibri" w:eastAsia="Calibri" w:cs="Calibri"/>
          <w:color w:val="000000"/>
          <w:sz w:val="22"/>
          <w:szCs w:val="22"/>
        </w:rPr>
        <w:t xml:space="preserve">Winter climate is usually a key factor in delimiting the areas where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can persist from one season to the next. Pierce's disease and phony disease only occur in areas with a mild winter, presumably in relation to survival of the bacterium in dormant plants (Purcell, 1989). Experimental cold therapy of diseased grapevines suggests that freezing temperatures can eliminate the bacterium directly in the plants (Purcell, 1980). Although the bacterium preferably overwinters in infected plants, it may also survive in its insect vectors.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is efficiently acquired by vector insects, with no latent period, and it multiplies and persists in infective adults indefinitely (Severin, 1950). Therefore, if these infected adults overwinter, they can maintain </w:t>
      </w:r>
      <w:r>
        <w:rPr>
          <w:rFonts w:ascii="Calibri" w:hAnsi="Calibri" w:eastAsia="Calibri" w:cs="Calibri"/>
          <w:i/>
          <w:iCs/>
          <w:color w:val="000000"/>
          <w:sz w:val="22"/>
          <w:szCs w:val="22"/>
        </w:rPr>
        <w:t xml:space="preserve">X. fastidiosa </w:t>
      </w:r>
      <w:r>
        <w:rPr>
          <w:rFonts w:ascii="Calibri" w:hAnsi="Calibri" w:eastAsia="Calibri" w:cs="Calibri"/>
          <w:color w:val="000000"/>
          <w:sz w:val="22"/>
          <w:szCs w:val="22"/>
        </w:rPr>
        <w:t xml:space="preserve">during the adverse season. This is the case of sharpshooters (Cicadellidae, Cicadellinae) in the American continent. However, the European sharpshooters and most of the European spittlebugs (Aphrophoridae and a few Cercopidae) overwinter as eggs and therefore, if infected, these vectors cannot sustain overwintering of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fastidiosa</w:t>
      </w:r>
      <w:r>
        <w:rPr>
          <w:rFonts w:ascii="Calibri" w:hAnsi="Calibri" w:eastAsia="Calibri" w:cs="Calibri"/>
          <w:color w:val="000000"/>
          <w:sz w:val="22"/>
          <w:szCs w:val="22"/>
        </w:rPr>
        <w:t xml:space="preserve">, since transovarial transmission of </w:t>
      </w:r>
      <w:r>
        <w:rPr>
          <w:rFonts w:ascii="Calibri" w:hAnsi="Calibri" w:eastAsia="Calibri" w:cs="Calibri"/>
          <w:i/>
          <w:iCs/>
          <w:color w:val="000000"/>
          <w:sz w:val="22"/>
          <w:szCs w:val="22"/>
        </w:rPr>
        <w:t xml:space="preserve">X. fastidiosa </w:t>
      </w:r>
      <w:r>
        <w:rPr>
          <w:rFonts w:ascii="Calibri" w:hAnsi="Calibri" w:eastAsia="Calibri" w:cs="Calibri"/>
          <w:color w:val="000000"/>
          <w:sz w:val="22"/>
          <w:szCs w:val="22"/>
        </w:rPr>
        <w:t xml:space="preserve">does not occur (Freitag, 1951).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Interaction between </w:t>
      </w:r>
      <w:r>
        <w:rPr>
          <w:rFonts w:ascii="Calibri" w:hAnsi="Calibri" w:eastAsia="Calibri" w:cs="Calibri"/>
          <w:b/>
          <w:bCs/>
          <w:i/>
          <w:iCs/>
          <w:color w:val="000000"/>
          <w:sz w:val="22"/>
          <w:szCs w:val="22"/>
        </w:rPr>
        <w:t xml:space="preserve">X. fastidiosa</w:t>
      </w:r>
      <w:r>
        <w:rPr>
          <w:rFonts w:ascii="Calibri" w:hAnsi="Calibri" w:eastAsia="Calibri" w:cs="Calibri"/>
          <w:b/>
          <w:bCs/>
          <w:color w:val="000000"/>
          <w:sz w:val="22"/>
          <w:szCs w:val="22"/>
        </w:rPr>
        <w:t xml:space="preserve"> and its vectors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theory</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all xylem-fluid feeding insects are considered vectors, until proven otherwise (Frazier, 1944; Purcell, 1989; Almeida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but transmission efficiency varies substantially depending on insect species, host plant, and </w:t>
      </w:r>
      <w:r>
        <w:rPr>
          <w:rFonts w:ascii="Calibri" w:hAnsi="Calibri" w:eastAsia="Calibri" w:cs="Calibri"/>
          <w:i/>
          <w:iCs/>
          <w:color w:val="000000"/>
          <w:sz w:val="22"/>
          <w:szCs w:val="22"/>
        </w:rPr>
        <w:t xml:space="preserve">X. fastidiosa </w:t>
      </w:r>
      <w:r>
        <w:rPr>
          <w:rFonts w:ascii="Calibri" w:hAnsi="Calibri" w:eastAsia="Calibri" w:cs="Calibri"/>
          <w:color w:val="000000"/>
          <w:sz w:val="22"/>
          <w:szCs w:val="22"/>
        </w:rPr>
        <w:t xml:space="preserve">genotype (Redak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All </w:t>
      </w:r>
      <w:r>
        <w:rPr>
          <w:rFonts w:ascii="Calibri" w:hAnsi="Calibri" w:eastAsia="Calibri" w:cs="Calibri"/>
          <w:i/>
          <w:iCs/>
          <w:color w:val="000000"/>
          <w:sz w:val="22"/>
          <w:szCs w:val="22"/>
        </w:rPr>
        <w:t xml:space="preserve">X. fastidiosa </w:t>
      </w:r>
      <w:r>
        <w:rPr>
          <w:rFonts w:ascii="Calibri" w:hAnsi="Calibri" w:eastAsia="Calibri" w:cs="Calibri"/>
          <w:color w:val="000000"/>
          <w:sz w:val="22"/>
          <w:szCs w:val="22"/>
        </w:rPr>
        <w:t xml:space="preserve">insect vectors belong to Auchenorrhyncha (Hemiptera) and are distributed within the superfamilies Cercopoidea, Cicadoidea and Membracoidea. Each of the three superfamilies include xylem-fluid feeding groups, but, while all Cercopoidea (known as spittlebugs or froghoppers) and Cicadoidea (cicadas) are regarded as xylem-fluid feeders, in Membracoidea only the subfamily </w:t>
      </w:r>
      <w:r>
        <w:rPr>
          <w:rFonts w:ascii="Calibri" w:hAnsi="Calibri" w:eastAsia="Calibri" w:cs="Calibri"/>
          <w:i/>
          <w:iCs/>
          <w:color w:val="000000"/>
          <w:sz w:val="22"/>
          <w:szCs w:val="22"/>
        </w:rPr>
        <w:t xml:space="preserve">Cicadellinae </w:t>
      </w:r>
      <w:r>
        <w:rPr>
          <w:rFonts w:ascii="Calibri" w:hAnsi="Calibri" w:eastAsia="Calibri" w:cs="Calibri"/>
          <w:color w:val="000000"/>
          <w:sz w:val="22"/>
          <w:szCs w:val="22"/>
        </w:rPr>
        <w:t xml:space="preserve">(known as sharpshooters) within the family </w:t>
      </w:r>
      <w:r>
        <w:rPr>
          <w:rFonts w:ascii="Calibri" w:hAnsi="Calibri" w:eastAsia="Calibri" w:cs="Calibri"/>
          <w:i/>
          <w:iCs/>
          <w:color w:val="000000"/>
          <w:sz w:val="22"/>
          <w:szCs w:val="22"/>
        </w:rPr>
        <w:t xml:space="preserve">Cicadellidae </w:t>
      </w:r>
      <w:r>
        <w:rPr>
          <w:rFonts w:ascii="Calibri" w:hAnsi="Calibri" w:eastAsia="Calibri" w:cs="Calibri"/>
          <w:color w:val="000000"/>
          <w:sz w:val="22"/>
          <w:szCs w:val="22"/>
        </w:rPr>
        <w:t xml:space="preserve">are actually xylem-fluid feeders.</w:t>
      </w:r>
    </w:p>
    <w:p>
      <w:pPr>
        <w:widowControl w:val="on"/>
        <w:pBdr/>
        <w:spacing w:before="220" w:after="220" w:line="240" w:lineRule="auto"/>
        <w:ind w:left="0" w:right="0"/>
        <w:jc w:val="both"/>
      </w:pPr>
      <w:r>
        <w:rPr>
          <w:rFonts w:ascii="Calibri" w:hAnsi="Calibri" w:eastAsia="Calibri" w:cs="Calibri"/>
          <w:color w:val="000000"/>
          <w:sz w:val="22"/>
          <w:szCs w:val="22"/>
        </w:rPr>
        <w:t xml:space="preserve">Acquired bacteria adhere to the precibarium and the cibarium of the foregut and do not systemically colonize the insect body (Purcell and Finlay, 1979). This implies that nymphs lose infectivity when moulting, as the foregut is of ectodermal origin and is renewed, and that newly emerged adults must again acquire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to become infectious. Normally very few live bacterial cells are sufficient for successful transmission (Hill and Purcell, 1995, 1997) which is neither transovarial nor transstadial. Temperature has a key role in the interaction between the bacterium and its vectors: it influences the pathogen multiplication in source plants (Feil and Purcell, 2001); the pathogen multiplication in vectors (Dohm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the successful establishment of the pathogen in the new host (Chu and Volety, 1997), and the vector behaviour (Su and Mulla, 2001). </w:t>
      </w:r>
    </w:p>
    <w:p>
      <w:pPr>
        <w:widowControl w:val="on"/>
        <w:pBdr/>
        <w:spacing w:before="220" w:after="220" w:line="240" w:lineRule="auto"/>
        <w:ind w:left="0" w:right="0"/>
        <w:jc w:val="both"/>
      </w:pPr>
      <w:r>
        <w:rPr>
          <w:rFonts w:ascii="Calibri" w:hAnsi="Calibri" w:eastAsia="Calibri" w:cs="Calibri"/>
          <w:color w:val="000000"/>
          <w:sz w:val="22"/>
          <w:szCs w:val="22"/>
        </w:rPr>
        <w:t xml:space="preserve">In Californian vineyards, </w:t>
      </w:r>
      <w:r>
        <w:rPr>
          <w:rFonts w:ascii="Calibri" w:hAnsi="Calibri" w:eastAsia="Calibri" w:cs="Calibri"/>
          <w:i/>
          <w:iCs/>
          <w:color w:val="000000"/>
          <w:sz w:val="22"/>
          <w:szCs w:val="22"/>
        </w:rPr>
        <w:t xml:space="preserve">Homalodisca vitripennis (=H. coagulata), Xyphon fulgidum (=Carneocephala fulgida), Draeculacephala minerva,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Graphocephala atropunctata</w:t>
      </w:r>
      <w:r>
        <w:rPr>
          <w:rFonts w:ascii="Calibri" w:hAnsi="Calibri" w:eastAsia="Calibri" w:cs="Calibri"/>
          <w:color w:val="000000"/>
          <w:sz w:val="22"/>
          <w:szCs w:val="22"/>
        </w:rPr>
        <w:t xml:space="preserve"> are considered to be the most important vectors of Pierce's disease. In Brazilian citrus orchards, </w:t>
      </w:r>
      <w:r>
        <w:rPr>
          <w:rFonts w:ascii="Calibri" w:hAnsi="Calibri" w:eastAsia="Calibri" w:cs="Calibri"/>
          <w:i/>
          <w:iCs/>
          <w:color w:val="000000"/>
          <w:sz w:val="22"/>
          <w:szCs w:val="22"/>
        </w:rPr>
        <w:t xml:space="preserve">Acrogonia terminalis, Dilobopterus costalimai, Oncometopia facialis </w:t>
      </w:r>
      <w:r>
        <w:rPr>
          <w:rFonts w:ascii="Calibri" w:hAnsi="Calibri" w:eastAsia="Calibri" w:cs="Calibri"/>
          <w:color w:val="000000"/>
          <w:sz w:val="22"/>
          <w:szCs w:val="22"/>
        </w:rPr>
        <w:t xml:space="preserve">are considered to be the most important vectors of citrus variegated chlorosis.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the only confirmed vectors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are </w:t>
      </w:r>
      <w:r>
        <w:rPr>
          <w:rFonts w:ascii="Calibri" w:hAnsi="Calibri" w:eastAsia="Calibri" w:cs="Calibri"/>
          <w:i/>
          <w:iCs/>
          <w:color w:val="000000"/>
          <w:sz w:val="22"/>
          <w:szCs w:val="22"/>
        </w:rPr>
        <w:t xml:space="preserve">Philaenus spumarius</w:t>
      </w:r>
      <w:r>
        <w:rPr>
          <w:rFonts w:ascii="Calibri" w:hAnsi="Calibri" w:eastAsia="Calibri" w:cs="Calibri"/>
          <w:color w:val="000000"/>
          <w:sz w:val="22"/>
          <w:szCs w:val="22"/>
        </w:rPr>
        <w:t xml:space="preserve"> (Cercopoidea: Aphrophoridae), and in experimental conditions, </w:t>
      </w:r>
      <w:r>
        <w:rPr>
          <w:rFonts w:ascii="Calibri" w:hAnsi="Calibri" w:eastAsia="Calibri" w:cs="Calibri"/>
          <w:i/>
          <w:iCs/>
          <w:color w:val="000000"/>
          <w:sz w:val="22"/>
          <w:szCs w:val="22"/>
        </w:rPr>
        <w:t xml:space="preserve">Neophilaenus campestris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Philaenus italosignus</w:t>
      </w:r>
      <w:r>
        <w:rPr>
          <w:rFonts w:ascii="Calibri" w:hAnsi="Calibri" w:eastAsia="Calibri" w:cs="Calibri"/>
          <w:color w:val="000000"/>
          <w:sz w:val="22"/>
          <w:szCs w:val="22"/>
        </w:rPr>
        <w:t xml:space="preserve"> (Aphrophoridae) (Cavalieri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Saponari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Cornara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2017b). </w:t>
      </w:r>
      <w:r>
        <w:rPr>
          <w:rFonts w:ascii="Calibri" w:hAnsi="Calibri" w:eastAsia="Calibri" w:cs="Calibri"/>
          <w:i/>
          <w:iCs/>
          <w:color w:val="000000"/>
          <w:sz w:val="22"/>
          <w:szCs w:val="22"/>
        </w:rPr>
        <w:t xml:space="preserve">P. spumarius</w:t>
      </w:r>
      <w:r>
        <w:rPr>
          <w:rFonts w:ascii="Calibri" w:hAnsi="Calibri" w:eastAsia="Calibri" w:cs="Calibri"/>
          <w:color w:val="000000"/>
          <w:sz w:val="22"/>
          <w:szCs w:val="22"/>
        </w:rPr>
        <w:t xml:space="preserve"> (meadow spittlebug), the only effective vector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under natural conditions, is a highly polyphagous and univoltine species. Nymphs and adults have a different host range. The nymphs prefer tender plant parts and herbaceous plants, in particular plants of the Asteraceae, Fabaceae, and Apiaceae families (Di Serio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Dongiovanni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2018b) which often grow as cover crops or invasive plants, in the olive groves</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on field hedges, and in natural and semi-natural areas. The adults, by contrast, tend to feed on woody plant species (EFSA, 2019c). </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Southern Italy (Apulia) adults of </w:t>
      </w:r>
      <w:r>
        <w:rPr>
          <w:rFonts w:ascii="Calibri" w:hAnsi="Calibri" w:eastAsia="Calibri" w:cs="Calibri"/>
          <w:i/>
          <w:iCs/>
          <w:color w:val="000000"/>
          <w:sz w:val="22"/>
          <w:szCs w:val="22"/>
        </w:rPr>
        <w:t xml:space="preserve">P. spumarius</w:t>
      </w:r>
      <w:r>
        <w:rPr>
          <w:rFonts w:ascii="Calibri" w:hAnsi="Calibri" w:eastAsia="Calibri" w:cs="Calibri"/>
          <w:color w:val="000000"/>
          <w:sz w:val="22"/>
          <w:szCs w:val="22"/>
        </w:rPr>
        <w:t xml:space="preserve"> emerge between the end of April and the beginning of May and move from the herbaceous vegetation of olive groves to the canopy of olive trees and other evergreen or deciduous trees and shrubs in late spring to early summer (Di Serio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Cornara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 Bodino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This movement can also be observed if the grass cover persists over the summer. At the end of summer and early autumn, adults return to herbaceous plants for egg laying and overwintering (Weaver and King, 1954; Cornara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host range of</w:t>
      </w:r>
      <w:r>
        <w:rPr>
          <w:rFonts w:ascii="Calibri" w:hAnsi="Calibri" w:eastAsia="Calibri" w:cs="Calibri"/>
          <w:i/>
          <w:iCs/>
          <w:color w:val="000000"/>
          <w:sz w:val="22"/>
          <w:szCs w:val="22"/>
        </w:rPr>
        <w:t xml:space="preserve"> X. fastidiosa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pauca</w:t>
      </w:r>
      <w:r>
        <w:rPr>
          <w:rFonts w:ascii="Calibri" w:hAnsi="Calibri" w:eastAsia="Calibri" w:cs="Calibri"/>
          <w:color w:val="000000"/>
          <w:sz w:val="22"/>
          <w:szCs w:val="22"/>
        </w:rPr>
        <w:t xml:space="preserve"> strain ST53, which causes the OQDS in Italy, overlaps with that of </w:t>
      </w:r>
      <w:r>
        <w:rPr>
          <w:rFonts w:ascii="Calibri" w:hAnsi="Calibri" w:eastAsia="Calibri" w:cs="Calibri"/>
          <w:i/>
          <w:iCs/>
          <w:color w:val="000000"/>
          <w:sz w:val="22"/>
          <w:szCs w:val="22"/>
        </w:rPr>
        <w:t xml:space="preserve">P. spumarius</w:t>
      </w:r>
      <w:r>
        <w:rPr>
          <w:rFonts w:ascii="Calibri" w:hAnsi="Calibri" w:eastAsia="Calibri" w:cs="Calibri"/>
          <w:color w:val="000000"/>
          <w:sz w:val="22"/>
          <w:szCs w:val="22"/>
        </w:rPr>
        <w:t xml:space="preserve"> (Weaver and King, 1954; Cornara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2017b), suggesting that some of these host species may serve as natural reservoirs and possibly as inoculum sources for primary spread of the pathogen to the affected crops. </w:t>
      </w:r>
    </w:p>
    <w:p>
      <w:pPr>
        <w:widowControl w:val="on"/>
        <w:pBdr/>
        <w:spacing w:before="220" w:after="220" w:line="240" w:lineRule="auto"/>
        <w:ind w:left="0" w:right="0"/>
        <w:jc w:val="both"/>
      </w:pPr>
      <w:r>
        <w:rPr>
          <w:rFonts w:ascii="Calibri" w:hAnsi="Calibri" w:eastAsia="Calibri" w:cs="Calibri"/>
          <w:color w:val="000000"/>
          <w:sz w:val="22"/>
          <w:szCs w:val="22"/>
        </w:rPr>
        <w:t xml:space="preserve">Climatic conditions in different parts of the EPPO region can affect the life cycle of </w:t>
      </w:r>
      <w:r>
        <w:rPr>
          <w:rFonts w:ascii="Calibri" w:hAnsi="Calibri" w:eastAsia="Calibri" w:cs="Calibri"/>
          <w:i/>
          <w:iCs/>
          <w:color w:val="000000"/>
          <w:sz w:val="22"/>
          <w:szCs w:val="22"/>
        </w:rPr>
        <w:t xml:space="preserve">P. spumarius</w:t>
      </w:r>
      <w:r>
        <w:rPr>
          <w:rFonts w:ascii="Calibri" w:hAnsi="Calibri" w:eastAsia="Calibri" w:cs="Calibri"/>
          <w:color w:val="000000"/>
          <w:sz w:val="22"/>
          <w:szCs w:val="22"/>
        </w:rPr>
        <w:t xml:space="preserve">. For example, in the Mediterranean climate, adults are abundant soon after emergence and then later after aestivation in October. In the Netherlands, by contrast, </w:t>
      </w:r>
      <w:r>
        <w:rPr>
          <w:rFonts w:ascii="Calibri" w:hAnsi="Calibri" w:eastAsia="Calibri" w:cs="Calibri"/>
          <w:i/>
          <w:iCs/>
          <w:color w:val="000000"/>
          <w:sz w:val="22"/>
          <w:szCs w:val="22"/>
        </w:rPr>
        <w:t xml:space="preserve">P. spumarius</w:t>
      </w:r>
      <w:r>
        <w:rPr>
          <w:rFonts w:ascii="Calibri" w:hAnsi="Calibri" w:eastAsia="Calibri" w:cs="Calibri"/>
          <w:color w:val="000000"/>
          <w:sz w:val="22"/>
          <w:szCs w:val="22"/>
        </w:rPr>
        <w:t xml:space="preserve"> can be detected from June onwards to October (Noordijk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with a peak in the adult population in June and July. </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in the context of surveillance and considering the above, it is preferable to collect insect samples late in the season, as insects collected during this period might have fed on multiple host plants and the chances to be infected are therefore higher.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detection and identification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relies on the combination of visual examination, sampling and testing of insect vectors and plant material.</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w:t>
      </w:r>
      <w:r>
        <w:rPr>
          <w:rFonts w:ascii="Calibri" w:hAnsi="Calibri" w:eastAsia="Calibri" w:cs="Calibri"/>
          <w:i/>
          <w:iCs/>
          <w:color w:val="000000"/>
          <w:sz w:val="22"/>
          <w:szCs w:val="22"/>
        </w:rPr>
        <w:t xml:space="preserve">Xylella</w:t>
      </w:r>
      <w:r>
        <w:rPr>
          <w:rFonts w:ascii="Calibri" w:hAnsi="Calibri" w:eastAsia="Calibri" w:cs="Calibri"/>
          <w:color w:val="000000"/>
          <w:sz w:val="22"/>
          <w:szCs w:val="22"/>
        </w:rPr>
        <w:t xml:space="preserve">-diseases are highly variable and their expression depends on the combination of host plant and bacterial strain, as well as on environmental conditions, including the specific growing conditions of the individual plant and its phenological stage. These symptoms include leaf scorching, wilting of the foliage, (premature) defoliation, chlorosis or bronzing along the leaf margin, stunting and dieback of shoots and twigs, formation of new malformed (asymmetric) leaves and dwarfing (EPPO, 2023). Considering the large host range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descriptions of symptoms are provided below only for its main hosts.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Grapevine</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characteristic symptom of primary infection is leaf scorch. An early sign is the sudden drying of part of a green leaf, which then turns brown while adjacent tissues turn yellow or red. The desiccation spreads and the whole leaf may shrivel and drop, leaving only the petiole attached. Diseased stems often mature irregularly, with patches of brown and green tissue. In later years, infected plants develop late and produce stunted chlorotic shoots. They rarely survive more than a year or two, even if there are signs of recovery.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Peach</w:t>
      </w:r>
    </w:p>
    <w:p>
      <w:pPr>
        <w:widowControl w:val="on"/>
        <w:pBdr/>
        <w:spacing w:before="220" w:after="220" w:line="240" w:lineRule="auto"/>
        <w:ind w:left="0" w:right="0"/>
        <w:jc w:val="both"/>
      </w:pPr>
      <w:r>
        <w:rPr>
          <w:rFonts w:ascii="Calibri" w:hAnsi="Calibri" w:eastAsia="Calibri" w:cs="Calibri"/>
          <w:color w:val="000000"/>
          <w:sz w:val="22"/>
          <w:szCs w:val="22"/>
        </w:rPr>
        <w:t xml:space="preserve">Young shoots are stunted and bear greener, denser foliage than healthy trees. Lateral branches grow horizontally or droop, so that the tree seems uniform, compact and rounded. Leaves and flowers appear early, and leaves remain on the tree longer than on healthy trees. Affected trees yield increasingly fewer and smaller fruits until, after 3-5 years, they become economically worthless.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Citrus</w:t>
      </w:r>
    </w:p>
    <w:p>
      <w:pPr>
        <w:widowControl w:val="on"/>
        <w:pBdr/>
        <w:spacing w:before="220" w:after="220" w:line="240" w:lineRule="auto"/>
        <w:ind w:left="0" w:right="0"/>
        <w:jc w:val="both"/>
      </w:pPr>
      <w:r>
        <w:rPr>
          <w:rFonts w:ascii="Calibri" w:hAnsi="Calibri" w:eastAsia="Calibri" w:cs="Calibri"/>
          <w:color w:val="000000"/>
          <w:sz w:val="22"/>
          <w:szCs w:val="22"/>
        </w:rPr>
        <w:t xml:space="preserve">Trees can start showing the symptoms of variegated chlorosis from nursery size up to 7-10 years of age. These younger trees become systemically affected by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Trees more than 15 years old are not usually totally affected, but rather have one or two major scaffold branches showing symptoms. Affected trees show foliar chlorosis resembling zinc deficiency with interveinal chlorosis. The chlorosis appears on young leaves as they mature and may also occur on older leaves. Newly affected trees show sectoring of symptoms, whereas trees which have been affected for a period of time show the variegated chlorosis throughout the canopy. As the leaves mature, small, light-brown, slightly raised gummy lesions (becoming dark-brown or even necrotic) appear on the underside, corresponding to the yellow chlorotic areas on the upper side.</w:t>
      </w:r>
    </w:p>
    <w:p>
      <w:pPr>
        <w:widowControl w:val="on"/>
        <w:pBdr/>
        <w:spacing w:before="220" w:after="220" w:line="240" w:lineRule="auto"/>
        <w:ind w:left="0" w:right="0"/>
        <w:jc w:val="both"/>
      </w:pPr>
      <w:r>
        <w:rPr>
          <w:rFonts w:ascii="Calibri" w:hAnsi="Calibri" w:eastAsia="Calibri" w:cs="Calibri"/>
          <w:color w:val="000000"/>
          <w:sz w:val="22"/>
          <w:szCs w:val="22"/>
        </w:rPr>
        <w:t xml:space="preserve">Fruit size is greatly reduced; its sugar content is higher than in non-affected fruit, and the rind may become so hard that can cause damage to juicing machines. Blossom and fruit set occur at the same time on healthy and affected trees, but physiological fruit thinning does not occur on affected trees and the fruits remain small. Because of this, total production is not greatly reduced. On affected trees of cv. Pera and other orange cultivars, fruits often occur in clusters of 4-10, resembling grape clusters. Affected trees show stunting and slow growth rate; twigs and branches die back, although usually the plant does not die, and the canopy thins.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Olive</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on olive plants is characterized by the appearance of scattered desiccation of twigs and small branches. Leaves are the first to be affected. Scorching starts at their tip and progresses towards the petiole, extending to the whole blade. Dead leaves remain attached throughout summer to the twigs, which are also desiccating, and begin to drop with the first rains in autumn. Symptoms are first localized in the upper part of the crown, then they extend to the rest of the canopy. Trees of susceptible cultivars, decline and die within a few years from the appearance of symptoms. These trees, especially the centuries-old ones, are often pruned heavily, forcing them to push new growth which, eventually, will wither and desiccate (Martelli, 2016).</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Polygala myrtifolia</w:t>
      </w:r>
    </w:p>
    <w:p>
      <w:pPr>
        <w:widowControl w:val="on"/>
        <w:pBdr/>
        <w:spacing w:before="220" w:after="220" w:line="240" w:lineRule="auto"/>
        <w:ind w:left="0" w:right="0"/>
        <w:jc w:val="both"/>
      </w:pPr>
      <w:r>
        <w:rPr>
          <w:rFonts w:ascii="Calibri" w:hAnsi="Calibri" w:eastAsia="Calibri" w:cs="Calibri"/>
          <w:color w:val="000000"/>
          <w:sz w:val="22"/>
          <w:szCs w:val="22"/>
        </w:rPr>
        <w:t xml:space="preserve">This is one of the major susceptible hosts in the current European outbreak. Infected plants show scorched leaves, with desiccation starting from the tip and progressing to the entire blade.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Xylella fastidiosa</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is a Gram-negative bacterium, rod-shaped with distinctive rippled cell walls. It is non-flagellate, does not form spores and measures 0.1-0.5 x 1-5 µm.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Vectors</w:t>
      </w:r>
    </w:p>
    <w:p>
      <w:pPr>
        <w:widowControl w:val="on"/>
        <w:pBdr/>
        <w:spacing w:before="220" w:after="220" w:line="240" w:lineRule="auto"/>
        <w:ind w:left="0" w:right="0"/>
        <w:jc w:val="both"/>
      </w:pPr>
      <w:r>
        <w:rPr>
          <w:rFonts w:ascii="Calibri" w:hAnsi="Calibri" w:eastAsia="Calibri" w:cs="Calibri"/>
          <w:color w:val="000000"/>
          <w:sz w:val="22"/>
          <w:szCs w:val="22"/>
        </w:rPr>
        <w:t xml:space="preserve">Adult sharpshooters are distinguished from other leafhopper subfamilies by the possession of highly ‘inflated’ or ‘swollen’ faces caused by the massive musculature required by the cibarial (pharyngeal) pump to suck in large quantities of xylem (Young, 1968). Sharpshooters are typically among the largest of leafhoppers. The smaller species (e.g. </w:t>
      </w:r>
      <w:r>
        <w:rPr>
          <w:rFonts w:ascii="Calibri" w:hAnsi="Calibri" w:eastAsia="Calibri" w:cs="Calibri"/>
          <w:i/>
          <w:iCs/>
          <w:color w:val="000000"/>
          <w:sz w:val="22"/>
          <w:szCs w:val="22"/>
        </w:rPr>
        <w:t xml:space="preserve">Xyphon fulgidum</w:t>
      </w:r>
      <w:r>
        <w:rPr>
          <w:rFonts w:ascii="Calibri" w:hAnsi="Calibri" w:eastAsia="Calibri" w:cs="Calibri"/>
          <w:color w:val="000000"/>
          <w:sz w:val="22"/>
          <w:szCs w:val="22"/>
        </w:rPr>
        <w:t xml:space="preserve">) may be about 4 mm in length, while larger species such as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may exceed 15 mm. Nymphs generally resemble adults in form but usually differ markedly in colouration and markings. The subfamily is quite diverse, especially in the American tropics, with over 210 genera (Young, 1977). Colouration varies from uniformly green (e.g. </w:t>
      </w:r>
      <w:r>
        <w:rPr>
          <w:rFonts w:ascii="Calibri" w:hAnsi="Calibri" w:eastAsia="Calibri" w:cs="Calibri"/>
          <w:i/>
          <w:iCs/>
          <w:color w:val="000000"/>
          <w:sz w:val="22"/>
          <w:szCs w:val="22"/>
        </w:rPr>
        <w:t xml:space="preserve">Draeculacephala </w:t>
      </w:r>
      <w:r>
        <w:rPr>
          <w:rFonts w:ascii="Calibri" w:hAnsi="Calibri" w:eastAsia="Calibri" w:cs="Calibri"/>
          <w:color w:val="000000"/>
          <w:sz w:val="22"/>
          <w:szCs w:val="22"/>
        </w:rPr>
        <w:t xml:space="preserve">spp.) or other cryptic colouration to combinations of bright-red, orange, yellow and blue tropical species. Sharpshooters typically have broad plant host ranges. Even those species that are found on a single or few host species are capable of prolonged survival in captivity on unusual hosts. The rhododendron sharpshooter, </w:t>
      </w:r>
      <w:r>
        <w:rPr>
          <w:rFonts w:ascii="Calibri" w:hAnsi="Calibri" w:eastAsia="Calibri" w:cs="Calibri"/>
          <w:i/>
          <w:iCs/>
          <w:color w:val="000000"/>
          <w:sz w:val="22"/>
          <w:szCs w:val="22"/>
        </w:rPr>
        <w:t xml:space="preserve">Graphocephala fennahi</w:t>
      </w:r>
      <w:r>
        <w:rPr>
          <w:rFonts w:ascii="Calibri" w:hAnsi="Calibri" w:eastAsia="Calibri" w:cs="Calibri"/>
          <w:color w:val="000000"/>
          <w:sz w:val="22"/>
          <w:szCs w:val="22"/>
        </w:rPr>
        <w:t xml:space="preserve">, is a North American species now established in Europe, where it occurs not only on </w:t>
      </w:r>
      <w:r>
        <w:rPr>
          <w:rFonts w:ascii="Calibri" w:hAnsi="Calibri" w:eastAsia="Calibri" w:cs="Calibri"/>
          <w:i/>
          <w:iCs/>
          <w:color w:val="000000"/>
          <w:sz w:val="22"/>
          <w:szCs w:val="22"/>
        </w:rPr>
        <w:t xml:space="preserve">Rhododendron</w:t>
      </w:r>
      <w:r>
        <w:rPr>
          <w:rFonts w:ascii="Calibri" w:hAnsi="Calibri" w:eastAsia="Calibri" w:cs="Calibri"/>
          <w:color w:val="000000"/>
          <w:sz w:val="22"/>
          <w:szCs w:val="22"/>
        </w:rPr>
        <w:t xml:space="preserve"> but on many other woody plants. Female sharpshooters and spittlebugs insert their eggs into plant tissues. The eggs of some sharpshooter species remain dormant over winter.</w:t>
      </w:r>
    </w:p>
    <w:p>
      <w:pPr>
        <w:widowControl w:val="on"/>
        <w:pBdr/>
        <w:spacing w:before="220" w:after="220" w:line="240" w:lineRule="auto"/>
        <w:ind w:left="0" w:right="0"/>
        <w:jc w:val="both"/>
      </w:pPr>
      <w:r>
        <w:rPr>
          <w:rFonts w:ascii="Calibri" w:hAnsi="Calibri" w:eastAsia="Calibri" w:cs="Calibri"/>
          <w:color w:val="000000"/>
          <w:sz w:val="22"/>
          <w:szCs w:val="22"/>
        </w:rPr>
        <w:t xml:space="preserve">Cercopidae may be distinguished from leafhoppers, which possess one or more rows of spines along the hind tibia, by the smooth hind tibia with a few or a circlet of stout spines at the apex of the tibia. The body shape of froghoppers is generally stouter than that of leafhoppers.</w:t>
      </w:r>
    </w:p>
    <w:p>
      <w:pPr>
        <w:widowControl w:val="on"/>
        <w:pBdr/>
        <w:spacing w:before="220" w:after="220" w:line="240" w:lineRule="auto"/>
        <w:ind w:left="0" w:right="0"/>
        <w:jc w:val="both"/>
      </w:pPr>
      <w:r>
        <w:rPr>
          <w:rFonts w:ascii="Calibri" w:hAnsi="Calibri" w:eastAsia="Calibri" w:cs="Calibri"/>
          <w:color w:val="000000"/>
          <w:sz w:val="22"/>
          <w:szCs w:val="22"/>
        </w:rPr>
        <w:t xml:space="preserve">The meadow spittlebug </w:t>
      </w:r>
      <w:r>
        <w:rPr>
          <w:rFonts w:ascii="Calibri" w:hAnsi="Calibri" w:eastAsia="Calibri" w:cs="Calibri"/>
          <w:i/>
          <w:iCs/>
          <w:color w:val="000000"/>
          <w:sz w:val="22"/>
          <w:szCs w:val="22"/>
        </w:rPr>
        <w:t xml:space="preserve">Philaenus spumarius</w:t>
      </w:r>
      <w:r>
        <w:rPr>
          <w:rFonts w:ascii="Calibri" w:hAnsi="Calibri" w:eastAsia="Calibri" w:cs="Calibri"/>
          <w:color w:val="000000"/>
          <w:sz w:val="22"/>
          <w:szCs w:val="22"/>
        </w:rPr>
        <w:t xml:space="preserve"> belongs to the order Hemiptera, superfamily Cercopoidea, family Aphrophoridae. The name spittlebug came from the shell built up by the nymphs mixing fluid voided from the anus and a secretion produced by glands located between the 7th and the 8th abdominal sternites. Air bubbles are introduced within the spittle by mean of caudal appendages and a ventral tube formed by abdominal tergites bent downward (Cornara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spumarius</w:t>
      </w:r>
      <w:r>
        <w:rPr>
          <w:rFonts w:ascii="Calibri" w:hAnsi="Calibri" w:eastAsia="Calibri" w:cs="Calibri"/>
          <w:color w:val="000000"/>
          <w:sz w:val="22"/>
          <w:szCs w:val="22"/>
        </w:rPr>
        <w:t xml:space="preserve">, that has never been considered an agricultural pest in Europe before the introduction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is extremely variable in colour, ranging from light grey to blackish although the most typical form is yellow-green with indistinct dark lines.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spumarius</w:t>
      </w:r>
      <w:r>
        <w:rPr>
          <w:rFonts w:ascii="Calibri" w:hAnsi="Calibri" w:eastAsia="Calibri" w:cs="Calibri"/>
          <w:color w:val="000000"/>
          <w:sz w:val="22"/>
          <w:szCs w:val="22"/>
        </w:rPr>
        <w:t xml:space="preserve"> is widely distributed (temperate regions of Europe, Asia, North America and also North Africa) and occurs in most terrestrial habitats (meadows, abandoned fields, waste ground, roadsides, banks of streams, hayfields, marshlands, parks, gardens and cultivated fields; Yurtsever, 2000) on hundreds of host plants ranging from grasses to trees, including meadow crops, herbs, thistles, garden plants, shrubs, and conifers. However, nitrogen fixing legumes and other plants with high amino acids concentration in the xylem sap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w:t>
      </w:r>
      <w:r>
        <w:rPr>
          <w:rFonts w:ascii="Calibri" w:hAnsi="Calibri" w:eastAsia="Calibri" w:cs="Calibri"/>
          <w:color w:val="000000"/>
          <w:sz w:val="22"/>
          <w:szCs w:val="22"/>
        </w:rPr>
        <w:t xml:space="preserve">sp., </w:t>
      </w:r>
      <w:r>
        <w:rPr>
          <w:rFonts w:ascii="Calibri" w:hAnsi="Calibri" w:eastAsia="Calibri" w:cs="Calibri"/>
          <w:i/>
          <w:iCs/>
          <w:color w:val="000000"/>
          <w:sz w:val="22"/>
          <w:szCs w:val="22"/>
        </w:rPr>
        <w:t xml:space="preserve">Vicia </w:t>
      </w:r>
      <w:r>
        <w:rPr>
          <w:rFonts w:ascii="Calibri" w:hAnsi="Calibri" w:eastAsia="Calibri" w:cs="Calibri"/>
          <w:color w:val="000000"/>
          <w:sz w:val="22"/>
          <w:szCs w:val="22"/>
        </w:rPr>
        <w:t xml:space="preserve">spp., and </w:t>
      </w:r>
      <w:r>
        <w:rPr>
          <w:rFonts w:ascii="Calibri" w:hAnsi="Calibri" w:eastAsia="Calibri" w:cs="Calibri"/>
          <w:i/>
          <w:iCs/>
          <w:color w:val="000000"/>
          <w:sz w:val="22"/>
          <w:szCs w:val="22"/>
        </w:rPr>
        <w:t xml:space="preserve">Xanthium strumarium</w:t>
      </w:r>
      <w:r>
        <w:rPr>
          <w:rFonts w:ascii="Calibri" w:hAnsi="Calibri" w:eastAsia="Calibri" w:cs="Calibri"/>
          <w:color w:val="000000"/>
          <w:sz w:val="22"/>
          <w:szCs w:val="22"/>
        </w:rPr>
        <w:t xml:space="preserve">) are the preferred 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spumarius</w:t>
      </w:r>
      <w:r>
        <w:rPr>
          <w:rFonts w:ascii="Calibri" w:hAnsi="Calibri" w:eastAsia="Calibri" w:cs="Calibri"/>
          <w:color w:val="000000"/>
          <w:sz w:val="22"/>
          <w:szCs w:val="22"/>
        </w:rPr>
        <w:t xml:space="preserve"> overwinter as eggs. Eggs are oviposited in stubble, herbs, dead parts of plants, plant residues, cracks and tree trunk barks, or in the leaf litter (but the majority of eggs are laid close to the ground between two apposed surfaces) at the end of summer (in Apulia, oviposition was achieved in semi-artificial conditions in October). Hatching occurs in the following spring. The larvae, not very mobile, feed on the sap present in the xylem by sticking their stylets into the plant. Larval development has five instars. Adults appear in April and live until autumn (but they may survive until the successive spring in case of mild winters: Saponari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They are not very active and exhibit a jumping behaviour when they are disturbed. </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the nymphs live inside the spittle, they can actively crawl over short distances, thus moving from one herbaceous plant to another (Bodino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Adults are much more mobile, both actively and passively. Passive dispersal over great distances is mediated by wind and human activities (transportation by cars can also occur).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Sampling </w:t>
      </w:r>
    </w:p>
    <w:p>
      <w:pPr>
        <w:widowControl w:val="on"/>
        <w:pBdr/>
        <w:spacing w:before="220" w:after="220" w:line="240" w:lineRule="auto"/>
        <w:ind w:left="0" w:right="0"/>
        <w:jc w:val="both"/>
      </w:pPr>
      <w:r>
        <w:rPr>
          <w:rFonts w:ascii="Calibri" w:hAnsi="Calibri" w:eastAsia="Calibri" w:cs="Calibri"/>
          <w:color w:val="000000"/>
          <w:sz w:val="22"/>
          <w:szCs w:val="22"/>
        </w:rPr>
        <w:t xml:space="preserve">Samples for the laboratory should be collected during summertime and be composed of branches or cuttings with (mature) leaves attached. Sampling of young growing shoots briefly after emergence should be avoided because the bacteria may be difficult to detect in the new season’s flush. For small-sized plants, the entire plant can be sent to the laboratory. In the case of detection surveys, it is usually recommended to sample multiple plants and test a pooled sample from the survey site. For example, to test for the presence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in olive trees, a laboratory sample may consist of up to 20 g of leaf petioles, corresponding to about 800-900 leaf petioles, while 4 leaf petioles are taken per plant. This would result that up to 200-225 plants are then tested in a single pooled sample. </w:t>
      </w:r>
    </w:p>
    <w:p>
      <w:pPr>
        <w:widowControl w:val="on"/>
        <w:pBdr/>
        <w:spacing w:before="220" w:after="220" w:line="240" w:lineRule="auto"/>
        <w:ind w:left="0" w:right="0"/>
        <w:jc w:val="both"/>
      </w:pPr>
      <w:r>
        <w:rPr>
          <w:rFonts w:ascii="Calibri" w:hAnsi="Calibri" w:eastAsia="Calibri" w:cs="Calibri"/>
          <w:color w:val="000000"/>
          <w:sz w:val="22"/>
          <w:szCs w:val="22"/>
        </w:rPr>
        <w:t xml:space="preserve">Vector sampling is considered to be an efficient practice to detect the bacterium in a given area. Currently, sweep nets are commonly used to collect adult insects of </w:t>
      </w:r>
      <w:r>
        <w:rPr>
          <w:rFonts w:ascii="Calibri" w:hAnsi="Calibri" w:eastAsia="Calibri" w:cs="Calibri"/>
          <w:i/>
          <w:iCs/>
          <w:color w:val="000000"/>
          <w:sz w:val="22"/>
          <w:szCs w:val="22"/>
        </w:rPr>
        <w:t xml:space="preserve">P. spumarius</w:t>
      </w:r>
      <w:r>
        <w:rPr>
          <w:rFonts w:ascii="Calibri" w:hAnsi="Calibri" w:eastAsia="Calibri" w:cs="Calibri"/>
          <w:color w:val="000000"/>
          <w:sz w:val="22"/>
          <w:szCs w:val="22"/>
        </w:rPr>
        <w:t xml:space="preserve"> (Cruaud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Cornara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Other trapping methods, such as minicage (biocenometers), pitfall traps, sticky traps, aerial suction traps, beat trays and tanglefoot bands have been proven to be less effective than sweep nets. To maximise the likelihood of detection, insect samples should be collected when the adults are abundant in the field and after they have fed on multiple hosts at the end of the summer or after aestivation.</w:t>
      </w:r>
    </w:p>
    <w:p>
      <w:pPr>
        <w:widowControl w:val="on"/>
        <w:pBdr/>
        <w:spacing w:before="220" w:after="220" w:line="240" w:lineRule="auto"/>
        <w:ind w:left="0" w:right="0"/>
        <w:jc w:val="both"/>
      </w:pPr>
      <w:r>
        <w:rPr>
          <w:rFonts w:ascii="Calibri" w:hAnsi="Calibri" w:eastAsia="Calibri" w:cs="Calibri"/>
          <w:color w:val="000000"/>
          <w:sz w:val="22"/>
          <w:szCs w:val="22"/>
        </w:rPr>
        <w:t xml:space="preserve">More details about sampling can be found in the EPPO Standard PM 7/24 (EPPO, 2023) and the EFSA Pest survey card (EFSA, 2019a).</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Laboratory testing</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Given the difficulty of isolating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various serological and molecular diagnostic protocols have been validated to be applied directly on plant tissue or insect vectors extracts. Given their lower sensitivity, the use of serological tests is advised only for screening large numbers of symptomatic plants as well as asymptomatic material from an outbreak area or a buffer zone around an outbreak, as the concentration of the bacterium in the infected tissues is likely to be higher. Molecular methods based on the use of PCR, are generally retained to be more sensitive and specific, although the presence of inhibitors may be a problem with some matrices. Their use is recommended in particular for detecting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in asymptomatic plants, insect vectors and for subspecies assignment directly or by sanger sequencing the amplicons of at least two and up to seven, housekeeping gene fragments (EPPO, 2023). For areas where the pathogen is known to be present, the result of a single test is considered sufficient (EPPO, 2023) but in areas considered to be pest free, for a positive detection to be considered valid, a minimum of two positive screening tests should be undertaken for plant samples. These tests should either differ in the underlying biological principles or in the genomic sequence they target. Remote sensing techniques and hyperspectral imaging methods are becoming more reliable for the early detection of infected trees, particularly for the detection of the pre-visual symptoms (Kumar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Zarco-Tejada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airborne imaging spectroscopy and thermography revealed the presence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in olive trees prior to symptom expression. </w:t>
      </w:r>
    </w:p>
    <w:p>
      <w:pPr>
        <w:widowControl w:val="on"/>
        <w:pBdr/>
        <w:spacing w:before="220" w:after="220" w:line="240" w:lineRule="auto"/>
        <w:ind w:left="0" w:right="0"/>
        <w:jc w:val="both"/>
      </w:pPr>
      <w:r>
        <w:rPr>
          <w:rFonts w:ascii="Calibri" w:hAnsi="Calibri" w:eastAsia="Calibri" w:cs="Calibri"/>
          <w:color w:val="000000"/>
          <w:sz w:val="22"/>
          <w:szCs w:val="22"/>
        </w:rPr>
        <w:t xml:space="preserve">Real-time PCR (Harper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erratum 2013) is recommended for detection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in vector samples. In order to reduce the number of samples to be tested in the laboratory, it is possible to pool the samples of the same species. For small vectors (e.g. </w:t>
      </w:r>
      <w:r>
        <w:rPr>
          <w:rFonts w:ascii="Calibri" w:hAnsi="Calibri" w:eastAsia="Calibri" w:cs="Calibri"/>
          <w:i/>
          <w:iCs/>
          <w:color w:val="000000"/>
          <w:sz w:val="22"/>
          <w:szCs w:val="22"/>
        </w:rPr>
        <w:t xml:space="preserve">Philaenus</w:t>
      </w:r>
      <w:r>
        <w:rPr>
          <w:rFonts w:ascii="Calibri" w:hAnsi="Calibri" w:eastAsia="Calibri" w:cs="Calibri"/>
          <w:color w:val="000000"/>
          <w:sz w:val="22"/>
          <w:szCs w:val="22"/>
        </w:rPr>
        <w:t xml:space="preserve">), 1–5 heads can be pooled, while for large vectors (e.g. </w:t>
      </w:r>
      <w:r>
        <w:rPr>
          <w:rFonts w:ascii="Calibri" w:hAnsi="Calibri" w:eastAsia="Calibri" w:cs="Calibri"/>
          <w:i/>
          <w:iCs/>
          <w:color w:val="000000"/>
          <w:sz w:val="22"/>
          <w:szCs w:val="22"/>
        </w:rPr>
        <w:t xml:space="preserve">Cicada orni</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Aphrophora</w:t>
      </w:r>
      <w:r>
        <w:rPr>
          <w:rFonts w:ascii="Calibri" w:hAnsi="Calibri" w:eastAsia="Calibri" w:cs="Calibri"/>
          <w:color w:val="000000"/>
          <w:sz w:val="22"/>
          <w:szCs w:val="22"/>
        </w:rPr>
        <w:t xml:space="preserve"> spp.) a single insect’s head can be used (EPPO, 2023). </w:t>
      </w:r>
    </w:p>
    <w:p>
      <w:pPr>
        <w:widowControl w:val="on"/>
        <w:pBdr/>
        <w:spacing w:before="220" w:after="220" w:line="240" w:lineRule="auto"/>
        <w:ind w:left="0" w:right="0"/>
        <w:jc w:val="both"/>
      </w:pPr>
      <w:r>
        <w:rPr>
          <w:rFonts w:ascii="Calibri" w:hAnsi="Calibri" w:eastAsia="Calibri" w:cs="Calibri"/>
          <w:color w:val="000000"/>
          <w:sz w:val="22"/>
          <w:szCs w:val="22"/>
        </w:rPr>
        <w:t xml:space="preserve">More details about laboratory testing can be found in the EPPO Standard PM 7/24 and ISPM 27/DP 25 (EPPO, 2019a; IPPC,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is unable to spread in the environment autonomously either by contact or by air diffusion. It also appears that</w:t>
      </w:r>
      <w:r>
        <w:rPr>
          <w:rFonts w:ascii="Calibri" w:hAnsi="Calibri" w:eastAsia="Calibri" w:cs="Calibri"/>
          <w:i/>
          <w:iCs/>
          <w:color w:val="000000"/>
          <w:sz w:val="22"/>
          <w:szCs w:val="22"/>
        </w:rPr>
        <w:t xml:space="preserve"> X. fastidiosa</w:t>
      </w:r>
      <w:r>
        <w:rPr>
          <w:rFonts w:ascii="Calibri" w:hAnsi="Calibri" w:eastAsia="Calibri" w:cs="Calibri"/>
          <w:color w:val="000000"/>
          <w:sz w:val="22"/>
          <w:szCs w:val="22"/>
        </w:rPr>
        <w:t xml:space="preserve"> is not seed-transmitted. Natural spread of </w:t>
      </w:r>
      <w:r>
        <w:rPr>
          <w:rFonts w:ascii="Calibri" w:hAnsi="Calibri" w:eastAsia="Calibri" w:cs="Calibri"/>
          <w:i/>
          <w:iCs/>
          <w:color w:val="000000"/>
          <w:sz w:val="22"/>
          <w:szCs w:val="22"/>
        </w:rPr>
        <w:t xml:space="preserve">X. fastidiosa </w:t>
      </w:r>
      <w:r>
        <w:rPr>
          <w:rFonts w:ascii="Calibri" w:hAnsi="Calibri" w:eastAsia="Calibri" w:cs="Calibri"/>
          <w:color w:val="000000"/>
          <w:sz w:val="22"/>
          <w:szCs w:val="22"/>
        </w:rPr>
        <w:t xml:space="preserve">is mainly ensured by its insect vectors that generally fly short distances (on average up to 100-150 metres) but can be transported by wind over longer distances. The main pathway for entry and spread of </w:t>
      </w:r>
      <w:r>
        <w:rPr>
          <w:rFonts w:ascii="Calibri" w:hAnsi="Calibri" w:eastAsia="Calibri" w:cs="Calibri"/>
          <w:i/>
          <w:iCs/>
          <w:color w:val="000000"/>
          <w:sz w:val="22"/>
          <w:szCs w:val="22"/>
        </w:rPr>
        <w:t xml:space="preserve">X. fastidiosa </w:t>
      </w:r>
      <w:r>
        <w:rPr>
          <w:rFonts w:ascii="Calibri" w:hAnsi="Calibri" w:eastAsia="Calibri" w:cs="Calibri"/>
          <w:color w:val="000000"/>
          <w:sz w:val="22"/>
          <w:szCs w:val="22"/>
        </w:rPr>
        <w:t xml:space="preserve">is the trade, or movement, of plants for planting. Infectious vectors can also be carried over short and long distances on plants, plant parts, or as hitchhikers (i.e. through indirect means, such as clothing or body parts of people, vehicles, onto which they can be passively transported). Fruit, cut flowers, ornamental foliage and wood (not for plant propagation purposes) are considered as unlikely pathways for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within the main areas where</w:t>
      </w:r>
      <w:r>
        <w:rPr>
          <w:rFonts w:ascii="Calibri" w:hAnsi="Calibri" w:eastAsia="Calibri" w:cs="Calibri"/>
          <w:i/>
          <w:iCs/>
          <w:color w:val="000000"/>
          <w:sz w:val="22"/>
          <w:szCs w:val="22"/>
        </w:rPr>
        <w:t xml:space="preserve"> X. fastidiosa</w:t>
      </w:r>
      <w:r>
        <w:rPr>
          <w:rFonts w:ascii="Calibri" w:hAnsi="Calibri" w:eastAsia="Calibri" w:cs="Calibri"/>
          <w:color w:val="000000"/>
          <w:sz w:val="22"/>
          <w:szCs w:val="22"/>
        </w:rPr>
        <w:t xml:space="preserve"> occurs naturally (coastal plains of the Gulf of Mexico), </w:t>
      </w:r>
      <w:r>
        <w:rPr>
          <w:rFonts w:ascii="Calibri" w:hAnsi="Calibri" w:eastAsia="Calibri" w:cs="Calibri"/>
          <w:i/>
          <w:iCs/>
          <w:color w:val="000000"/>
          <w:sz w:val="22"/>
          <w:szCs w:val="22"/>
        </w:rPr>
        <w:t xml:space="preserve">Vitis vinifera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V. labrusca</w:t>
      </w:r>
      <w:r>
        <w:rPr>
          <w:rFonts w:ascii="Calibri" w:hAnsi="Calibri" w:eastAsia="Calibri" w:cs="Calibri"/>
          <w:color w:val="000000"/>
          <w:sz w:val="22"/>
          <w:szCs w:val="22"/>
        </w:rPr>
        <w:t xml:space="preserve"> cannot be cultivated because they are rapidly infected due to high rates of natural spread. As a consequence, only selections of </w:t>
      </w:r>
      <w:r>
        <w:rPr>
          <w:rFonts w:ascii="Calibri" w:hAnsi="Calibri" w:eastAsia="Calibri" w:cs="Calibri"/>
          <w:i/>
          <w:iCs/>
          <w:color w:val="000000"/>
          <w:sz w:val="22"/>
          <w:szCs w:val="22"/>
        </w:rPr>
        <w:t xml:space="preserve">V. rotundifolia</w:t>
      </w:r>
      <w:r>
        <w:rPr>
          <w:rFonts w:ascii="Calibri" w:hAnsi="Calibri" w:eastAsia="Calibri" w:cs="Calibri"/>
          <w:color w:val="000000"/>
          <w:sz w:val="22"/>
          <w:szCs w:val="22"/>
        </w:rPr>
        <w:t xml:space="preserve"> (muscadine) and specially bred resistant hybrids can be cultivated. The same situation exists throughout tropical America. Pierce's disease is thus a major constraint on grapevine production in the USA and tropical America. In California alone, the value of grapevine losses to Pierce’s disease, including the costs of roguing and replanting diseased vines, is on average of 56.1 million USD/year (wine, table and raisin grapes). Moreover, since another 48.3 million USD are spent by nurseries, citrus growers, and government agencies to limit the populations</w:t>
      </w:r>
      <w:r>
        <w:rPr>
          <w:rFonts w:ascii="Calibri" w:hAnsi="Calibri" w:eastAsia="Calibri" w:cs="Calibri"/>
          <w:i/>
          <w:iCs/>
          <w:color w:val="000000"/>
          <w:sz w:val="22"/>
          <w:szCs w:val="22"/>
        </w:rPr>
        <w:t xml:space="preserve"> of H. vitripennis</w:t>
      </w:r>
      <w:r>
        <w:rPr>
          <w:rFonts w:ascii="Calibri" w:hAnsi="Calibri" w:eastAsia="Calibri" w:cs="Calibri"/>
          <w:color w:val="000000"/>
          <w:sz w:val="22"/>
          <w:szCs w:val="22"/>
        </w:rPr>
        <w:t xml:space="preserve">, the estimated cost of Pierce’s disease is approximately of 104.4 million USD per year (Tumber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By contrast, in peaches, phony disease does not kill trees or cause dieback, but it does significantly reduce the size and number of fruits. An analysis of biophysical effects on peach trees has been made by Anderson &amp; French (1987). The disease was extremely important in the south-eastern USA in the 1940s, when 5-year-old orchards were often found to be 50% affected and older orchards entirely so. However, the efficient control methods now available (insecticides, destruction of infected trees, elimination of wild host plants around orchards) allow a high degree of control, except in areas where incidence is very high. </w:t>
      </w:r>
    </w:p>
    <w:p>
      <w:pPr>
        <w:widowControl w:val="on"/>
        <w:pBdr/>
        <w:spacing w:before="220" w:after="220" w:line="240" w:lineRule="auto"/>
        <w:ind w:left="0" w:right="0"/>
        <w:jc w:val="both"/>
      </w:pPr>
      <w:r>
        <w:rPr>
          <w:rFonts w:ascii="Calibri" w:hAnsi="Calibri" w:eastAsia="Calibri" w:cs="Calibri"/>
          <w:color w:val="000000"/>
          <w:sz w:val="22"/>
          <w:szCs w:val="22"/>
        </w:rPr>
        <w:t xml:space="preserve">In citrus, variegated chlorosis has been described by Roistacher as ‘the world's most destructive disease of sweet orange’. It has spread rapidly through large areas of southern Brazil and appears that it cannot be controlled. In a survey made in São Paulo State in June 1990, it was reported that 13 sites out of 920 had infected trees. In a follow-up survey in August 1991, 72 out of the 920 sites were infected (a 5-fold increase in a period of just 14 months). By 2000, it was estimated that the disease affected 34% of the 200 million sweet orange trees (Bové and Ayres, 2008), and some growers in São Paulo state are now planting mangoes instead of citrus.</w:t>
      </w:r>
    </w:p>
    <w:p>
      <w:pPr>
        <w:widowControl w:val="on"/>
        <w:pBdr/>
        <w:spacing w:before="220" w:after="220" w:line="240" w:lineRule="auto"/>
        <w:ind w:left="0" w:right="0"/>
        <w:jc w:val="both"/>
      </w:pPr>
      <w:r>
        <w:rPr>
          <w:rFonts w:ascii="Calibri" w:hAnsi="Calibri" w:eastAsia="Calibri" w:cs="Calibri"/>
          <w:color w:val="000000"/>
          <w:sz w:val="22"/>
          <w:szCs w:val="22"/>
        </w:rPr>
        <w:t xml:space="preserve">In olive, the most serious epidemic has developed in Apulia (Southern Italy). The bacterium was diagnosed for the first time in 2013, in the municipal area of Gallipoli (Province of Lecce), and the ‘focus’ of infection was already about 8 000 hectares. Since then the disease has advanced by an average of 2 km a month, and now it has reached the municipal area of Monopoli (Province of Bari), 140 kilometres from Gallipoli. As of 2019, it has been estimated that in the Provinces of Lecce, Brindisi and Taranto approximately 11 million plants were infected, over an area of about 50 000 ha.</w:t>
      </w:r>
    </w:p>
    <w:p>
      <w:pPr>
        <w:widowControl w:val="on"/>
        <w:pBdr/>
        <w:spacing w:before="220" w:after="220" w:line="240" w:lineRule="auto"/>
        <w:ind w:left="0" w:right="0"/>
        <w:jc w:val="both"/>
      </w:pPr>
      <w:r>
        <w:rPr>
          <w:rFonts w:ascii="Calibri" w:hAnsi="Calibri" w:eastAsia="Calibri" w:cs="Calibri"/>
          <w:color w:val="000000"/>
          <w:sz w:val="22"/>
          <w:szCs w:val="22"/>
        </w:rPr>
        <w:t xml:space="preserve">Damage concerned olive trees in production as well as nurseries of olive plants and have been estimated at a total of 1.2 billion EUR. An indirect impact concerned the export from Italy of any species of plants susceptible to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Finally, the damage caused by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to the landscape of the ‘Salento’ Peninsula in Apulia and to the Mediterranean cultural heritage associated to olive trees is unquantifiable.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The control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relies on different methods and can have different targets: the vector, the bacterium, both the vector and the bacterium, and host plants that may function as reservoirs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Control strategies against insect vectors (mostly </w:t>
      </w:r>
      <w:r>
        <w:rPr>
          <w:rFonts w:ascii="Calibri" w:hAnsi="Calibri" w:eastAsia="Calibri" w:cs="Calibri"/>
          <w:i/>
          <w:iCs/>
          <w:color w:val="000000"/>
          <w:sz w:val="22"/>
          <w:szCs w:val="22"/>
        </w:rPr>
        <w:t xml:space="preserve">P. spumarius </w:t>
      </w:r>
      <w:r>
        <w:rPr>
          <w:rFonts w:ascii="Calibri" w:hAnsi="Calibri" w:eastAsia="Calibri" w:cs="Calibri"/>
          <w:color w:val="000000"/>
          <w:sz w:val="22"/>
          <w:szCs w:val="22"/>
        </w:rPr>
        <w:t xml:space="preserve">in the case of OQDS) should take into account the interactions of the vectors with the pathogen (transmission characteristics), the host plants (of the pathogen and vector) and the environment, as well as the inoculum sources and types of spread (primary and secondary) (Almeida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220" w:after="220" w:line="240" w:lineRule="auto"/>
        <w:ind w:left="0" w:right="0"/>
        <w:jc w:val="both"/>
      </w:pPr>
      <w:r>
        <w:rPr>
          <w:rFonts w:ascii="Calibri" w:hAnsi="Calibri" w:eastAsia="Calibri" w:cs="Calibri"/>
          <w:color w:val="000000"/>
          <w:sz w:val="22"/>
          <w:szCs w:val="22"/>
        </w:rPr>
        <w:t xml:space="preserve">The management strategies that are detailed below mainly apply to OQDS and are based on currently available information; however, they are likely to evolve as new knowledge becomes available. The objective is to reduce population density of </w:t>
      </w:r>
      <w:r>
        <w:rPr>
          <w:rFonts w:ascii="Calibri" w:hAnsi="Calibri" w:eastAsia="Calibri" w:cs="Calibri"/>
          <w:i/>
          <w:iCs/>
          <w:color w:val="000000"/>
          <w:sz w:val="22"/>
          <w:szCs w:val="22"/>
        </w:rPr>
        <w:t xml:space="preserve">P. spumarius</w:t>
      </w:r>
      <w:r>
        <w:rPr>
          <w:rFonts w:ascii="Calibri" w:hAnsi="Calibri" w:eastAsia="Calibri" w:cs="Calibri"/>
          <w:color w:val="000000"/>
          <w:sz w:val="22"/>
          <w:szCs w:val="22"/>
        </w:rPr>
        <w:t xml:space="preserve"> and to avoid its further spread. Primary (from weeds to olives) and secondary spread (among olive trees within and between orchards)</w:t>
      </w:r>
      <w:r>
        <w:rPr>
          <w:rFonts w:ascii="Calibri" w:hAnsi="Calibri" w:eastAsia="Calibri" w:cs="Calibri"/>
          <w:b/>
          <w:bCs/>
          <w:i/>
          <w:iCs/>
          <w:color w:val="000000"/>
          <w:sz w:val="22"/>
          <w:szCs w:val="22"/>
        </w:rPr>
        <w:t xml:space="preserve"> </w:t>
      </w:r>
      <w:r>
        <w:rPr>
          <w:rFonts w:ascii="Calibri" w:hAnsi="Calibri" w:eastAsia="Calibri" w:cs="Calibri"/>
          <w:color w:val="000000"/>
          <w:sz w:val="22"/>
          <w:szCs w:val="22"/>
        </w:rPr>
        <w:t xml:space="preserve">is ensured</w:t>
      </w:r>
      <w:r>
        <w:rPr>
          <w:rFonts w:ascii="Calibri" w:hAnsi="Calibri" w:eastAsia="Calibri" w:cs="Calibri"/>
          <w:b/>
          <w:bCs/>
          <w:i/>
          <w:iCs/>
          <w:color w:val="000000"/>
          <w:sz w:val="22"/>
          <w:szCs w:val="22"/>
        </w:rPr>
        <w:t xml:space="preserve"> </w:t>
      </w:r>
      <w:r>
        <w:rPr>
          <w:rFonts w:ascii="Calibri" w:hAnsi="Calibri" w:eastAsia="Calibri" w:cs="Calibri"/>
          <w:color w:val="000000"/>
          <w:sz w:val="22"/>
          <w:szCs w:val="22"/>
        </w:rPr>
        <w:t xml:space="preserve">by</w:t>
      </w:r>
      <w:r>
        <w:rPr>
          <w:rFonts w:ascii="Calibri" w:hAnsi="Calibri" w:eastAsia="Calibri" w:cs="Calibri"/>
          <w:b/>
          <w:bCs/>
          <w:i/>
          <w:iCs/>
          <w:color w:val="000000"/>
          <w:sz w:val="22"/>
          <w:szCs w:val="22"/>
        </w:rPr>
        <w:t xml:space="preserve"> </w:t>
      </w:r>
      <w:r>
        <w:rPr>
          <w:rFonts w:ascii="Calibri" w:hAnsi="Calibri" w:eastAsia="Calibri" w:cs="Calibri"/>
          <w:i/>
          <w:iCs/>
          <w:color w:val="000000"/>
          <w:sz w:val="22"/>
          <w:szCs w:val="22"/>
        </w:rPr>
        <w:t xml:space="preserve">P. spumarius</w:t>
      </w:r>
      <w:r>
        <w:rPr>
          <w:rFonts w:ascii="Calibri" w:hAnsi="Calibri" w:eastAsia="Calibri" w:cs="Calibri"/>
          <w:color w:val="000000"/>
          <w:sz w:val="22"/>
          <w:szCs w:val="22"/>
        </w:rPr>
        <w:t xml:space="preserve">, and</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most likely by adult </w:t>
      </w:r>
      <w:r>
        <w:rPr>
          <w:rFonts w:ascii="Calibri" w:hAnsi="Calibri" w:eastAsia="Calibri" w:cs="Calibri"/>
          <w:i/>
          <w:iCs/>
          <w:color w:val="000000"/>
          <w:sz w:val="22"/>
          <w:szCs w:val="22"/>
        </w:rPr>
        <w:t xml:space="preserve">P. spumarius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effective active substances to control adults of </w:t>
      </w:r>
      <w:r>
        <w:rPr>
          <w:rFonts w:ascii="Calibri" w:hAnsi="Calibri" w:eastAsia="Calibri" w:cs="Calibri"/>
          <w:i/>
          <w:iCs/>
          <w:color w:val="000000"/>
          <w:sz w:val="22"/>
          <w:szCs w:val="22"/>
        </w:rPr>
        <w:t xml:space="preserve">P. spumarius</w:t>
      </w:r>
      <w:r>
        <w:rPr>
          <w:rFonts w:ascii="Calibri" w:hAnsi="Calibri" w:eastAsia="Calibri" w:cs="Calibri"/>
          <w:color w:val="000000"/>
          <w:sz w:val="22"/>
          <w:szCs w:val="22"/>
        </w:rPr>
        <w:t xml:space="preserve"> on olive trees are neonicotinoids (i.e. acetamiprid) and pyrethroids (deltamethrin) (Dongiovanni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2018a). Application of insect growth regulators (buprofenzin and spirotetramat) against spittlebug nymphs showed very low efficacy. Preliminary data suggest that citrus oil is more effective than pyrethrins, however both products are not persistent. For the control of the juveniles, the neonicotinoids and pyrethroid products cause significant reduction in nymphs on the sprayed vegetation.</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no antibacterial compounds are routinely applied to perennial crops, except copper, which is unable to cure plants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or even to prevent transmission by insects. However, a compound containing zinc, copper and citric acid has been shown to reduce the multiplication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in olive tissues (Scortichini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Another selective and potential control method is the application of particle film technology (e.g. kaolin) to interfere with the vector-host plant selection. When applied on grapes, kaolin particles change the colour of the tree canopy, thus inhibiting landing by sharpshooter vectors and reducing pathogen transmission (Puterka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Tubajika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However, it seems that this method does not work in the case of OQDS.</w:t>
      </w:r>
    </w:p>
    <w:p>
      <w:pPr>
        <w:widowControl w:val="on"/>
        <w:pBdr/>
        <w:spacing w:before="220" w:after="220" w:line="240" w:lineRule="auto"/>
        <w:ind w:left="0" w:right="0"/>
        <w:jc w:val="both"/>
      </w:pPr>
      <w:r>
        <w:rPr>
          <w:rFonts w:ascii="Calibri" w:hAnsi="Calibri" w:eastAsia="Calibri" w:cs="Calibri"/>
          <w:color w:val="000000"/>
          <w:sz w:val="22"/>
          <w:szCs w:val="22"/>
        </w:rPr>
        <w:t xml:space="preserve">With regard to biological control, very little is currently known on the use of natural enemies (parasitoids of eggs, nymphs, adults; or entomopathogenic micro-organisms) against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vectors. </w:t>
      </w:r>
    </w:p>
    <w:p>
      <w:pPr>
        <w:widowControl w:val="on"/>
        <w:pBdr/>
        <w:spacing w:before="220" w:after="220" w:line="240" w:lineRule="auto"/>
        <w:ind w:left="0" w:right="0"/>
        <w:jc w:val="both"/>
      </w:pPr>
      <w:r>
        <w:rPr>
          <w:rFonts w:ascii="Calibri" w:hAnsi="Calibri" w:eastAsia="Calibri" w:cs="Calibri"/>
          <w:color w:val="000000"/>
          <w:sz w:val="22"/>
          <w:szCs w:val="22"/>
        </w:rPr>
        <w:t xml:space="preserve">Elimination of weeds within and around olive groves may help in reducing the vector populations. For example, in Apulia tillage performed in winter and spring significantly reduced (almost to zero) the abundance of both </w:t>
      </w:r>
      <w:r>
        <w:rPr>
          <w:rFonts w:ascii="Calibri" w:hAnsi="Calibri" w:eastAsia="Calibri" w:cs="Calibri"/>
          <w:i/>
          <w:iCs/>
          <w:color w:val="000000"/>
          <w:sz w:val="22"/>
          <w:szCs w:val="22"/>
        </w:rPr>
        <w:t xml:space="preserve">P. spumarius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 campestris</w:t>
      </w:r>
      <w:r>
        <w:rPr>
          <w:rFonts w:ascii="Calibri" w:hAnsi="Calibri" w:eastAsia="Calibri" w:cs="Calibri"/>
          <w:color w:val="000000"/>
          <w:sz w:val="22"/>
          <w:szCs w:val="22"/>
        </w:rPr>
        <w:t xml:space="preserve"> on olive trees and ground vegetation.</w:t>
      </w:r>
    </w:p>
    <w:p>
      <w:pPr>
        <w:widowControl w:val="on"/>
        <w:pBdr/>
        <w:spacing w:before="220" w:after="220" w:line="240" w:lineRule="auto"/>
        <w:ind w:left="0" w:right="0"/>
        <w:jc w:val="both"/>
      </w:pPr>
      <w:r>
        <w:rPr>
          <w:rFonts w:ascii="Calibri" w:hAnsi="Calibri" w:eastAsia="Calibri" w:cs="Calibri"/>
          <w:color w:val="000000"/>
          <w:sz w:val="22"/>
          <w:szCs w:val="22"/>
        </w:rPr>
        <w:t xml:space="preserve">Sowing of </w:t>
      </w:r>
      <w:r>
        <w:rPr>
          <w:rFonts w:ascii="Calibri" w:hAnsi="Calibri" w:eastAsia="Calibri" w:cs="Calibri"/>
          <w:i/>
          <w:iCs/>
          <w:color w:val="000000"/>
          <w:sz w:val="22"/>
          <w:szCs w:val="22"/>
        </w:rPr>
        <w:t xml:space="preserve">Lolium </w:t>
      </w:r>
      <w:r>
        <w:rPr>
          <w:rFonts w:ascii="Calibri" w:hAnsi="Calibri" w:eastAsia="Calibri" w:cs="Calibri"/>
          <w:color w:val="000000"/>
          <w:sz w:val="22"/>
          <w:szCs w:val="22"/>
        </w:rPr>
        <w:t xml:space="preserve">spp. and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as a cover crop in winter decreased </w:t>
      </w:r>
      <w:r>
        <w:rPr>
          <w:rFonts w:ascii="Calibri" w:hAnsi="Calibri" w:eastAsia="Calibri" w:cs="Calibri"/>
          <w:i/>
          <w:iCs/>
          <w:color w:val="000000"/>
          <w:sz w:val="22"/>
          <w:szCs w:val="22"/>
        </w:rPr>
        <w:t xml:space="preserve">P. spumarius</w:t>
      </w:r>
      <w:r>
        <w:rPr>
          <w:rFonts w:ascii="Calibri" w:hAnsi="Calibri" w:eastAsia="Calibri" w:cs="Calibri"/>
          <w:color w:val="000000"/>
          <w:sz w:val="22"/>
          <w:szCs w:val="22"/>
        </w:rPr>
        <w:t xml:space="preserve"> juvenile populations. </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promising control measures against diseases caused by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rely on the use of resistant germplasm. Various degrees of resistance, tolerance and susceptibility have been observed in economically relevant crops such as grape, citrus, almond, and more recently, olive. In this last case extended surveys and experimental infectivity studies identified cv. Leccino as being tolerant to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pauca</w:t>
      </w:r>
      <w:r>
        <w:rPr>
          <w:rFonts w:ascii="Calibri" w:hAnsi="Calibri" w:eastAsia="Calibri" w:cs="Calibri"/>
          <w:color w:val="000000"/>
          <w:sz w:val="22"/>
          <w:szCs w:val="22"/>
        </w:rPr>
        <w:t xml:space="preserve"> ST53 infections based on lower incidence, lower bacterial levels, and symptom severity when compared to cv. Ogliarola salentina (Boscia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It is also hoped that tolerance or resistance traits can also be found in other olive varieties: one of these is the cultivar FS-17 also known as ‘Favolosa’. In California, grape selections carrying a genetic trait that confers resistance/tolerance to Pierce’s disease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spp. have been released to grapevine nurseries for propagation and resistant varieties should become soon available for commercial use (Walker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Moreover, transgenic grapevine rootstocks, expressing a pear polygalacturonase inhibitory protein (PGIP) or a chimeric antimicrobial protein (CAP), have showed resistance to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The search for resistant germplasm also continues in the case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w:t>
      </w:r>
    </w:p>
    <w:p>
      <w:pPr>
        <w:widowControl w:val="on"/>
        <w:pBdr/>
        <w:spacing w:before="220" w:after="220" w:line="240" w:lineRule="auto"/>
        <w:ind w:left="0" w:right="0"/>
        <w:jc w:val="both"/>
      </w:pPr>
      <w:r>
        <w:rPr>
          <w:rFonts w:ascii="Calibri" w:hAnsi="Calibri" w:eastAsia="Calibri" w:cs="Calibri"/>
          <w:color w:val="000000"/>
          <w:sz w:val="22"/>
          <w:szCs w:val="22"/>
        </w:rPr>
        <w:t xml:space="preserve">Finally, control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also consists in minimizing other sources of stress to the host plant (e.g. drought, overproduction, other diseases). The effect of some agricultural practices on </w:t>
      </w:r>
      <w:r>
        <w:rPr>
          <w:rFonts w:ascii="Calibri" w:hAnsi="Calibri" w:eastAsia="Calibri" w:cs="Calibri"/>
          <w:i/>
          <w:iCs/>
          <w:color w:val="000000"/>
          <w:sz w:val="22"/>
          <w:szCs w:val="22"/>
        </w:rPr>
        <w:t xml:space="preserve">Xylella</w:t>
      </w:r>
      <w:r>
        <w:rPr>
          <w:rFonts w:ascii="Calibri" w:hAnsi="Calibri" w:eastAsia="Calibri" w:cs="Calibri"/>
          <w:color w:val="000000"/>
          <w:sz w:val="22"/>
          <w:szCs w:val="22"/>
        </w:rPr>
        <w:t xml:space="preserve"> infections, such as pruning, irrigation and fertilisation, have also been investigated with encouraging results.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From 1981 to 2017,</w:t>
      </w:r>
      <w:r>
        <w:rPr>
          <w:rFonts w:ascii="Calibri" w:hAnsi="Calibri" w:eastAsia="Calibri" w:cs="Calibri"/>
          <w:i/>
          <w:iCs/>
          <w:color w:val="000000"/>
          <w:sz w:val="22"/>
          <w:szCs w:val="22"/>
        </w:rPr>
        <w:t xml:space="preserve"> X. fastidiosa</w:t>
      </w:r>
      <w:r>
        <w:rPr>
          <w:rFonts w:ascii="Calibri" w:hAnsi="Calibri" w:eastAsia="Calibri" w:cs="Calibri"/>
          <w:color w:val="000000"/>
          <w:sz w:val="22"/>
          <w:szCs w:val="22"/>
        </w:rPr>
        <w:t xml:space="preserve"> was included in the EPPO A1 List of pests recommended for regulation as quarantine pests, but following its introduction in the EPPO region, it was transferred to the EPPO A2 List in 2017. In 2019,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was included in the list of priority pests of the European Union, in the framework of its new plant health legislation (EU, 2019). The introduction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pauca</w:t>
      </w:r>
      <w:r>
        <w:rPr>
          <w:rFonts w:ascii="Calibri" w:hAnsi="Calibri" w:eastAsia="Calibri" w:cs="Calibri"/>
          <w:color w:val="000000"/>
          <w:sz w:val="22"/>
          <w:szCs w:val="22"/>
        </w:rPr>
        <w:t xml:space="preserve"> strain ST53 and different ST of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fastidiosa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multiplex</w:t>
      </w:r>
      <w:r>
        <w:rPr>
          <w:rFonts w:ascii="Calibri" w:hAnsi="Calibri" w:eastAsia="Calibri" w:cs="Calibri"/>
          <w:color w:val="000000"/>
          <w:sz w:val="22"/>
          <w:szCs w:val="22"/>
        </w:rPr>
        <w:t xml:space="preserve"> in the EPPO region represents a high risk to economically important crops and to the environment. In particular, the grapevine strain of </w:t>
      </w:r>
      <w:r>
        <w:rPr>
          <w:rFonts w:ascii="Calibri" w:hAnsi="Calibri" w:eastAsia="Calibri" w:cs="Calibri"/>
          <w:i/>
          <w:iCs/>
          <w:color w:val="000000"/>
          <w:sz w:val="22"/>
          <w:szCs w:val="22"/>
        </w:rPr>
        <w:t xml:space="preserve">X. fastidiosa </w:t>
      </w:r>
      <w:r>
        <w:rPr>
          <w:rFonts w:ascii="Calibri" w:hAnsi="Calibri" w:eastAsia="Calibri" w:cs="Calibri"/>
          <w:color w:val="000000"/>
          <w:sz w:val="22"/>
          <w:szCs w:val="22"/>
        </w:rPr>
        <w:t xml:space="preserve">had and still</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has the potential to kill large numbers of grapevines and to make areas unfit for growing</w:t>
      </w:r>
      <w:r>
        <w:rPr>
          <w:rFonts w:ascii="Calibri" w:hAnsi="Calibri" w:eastAsia="Calibri" w:cs="Calibri"/>
          <w:i/>
          <w:iCs/>
          <w:color w:val="000000"/>
          <w:sz w:val="22"/>
          <w:szCs w:val="22"/>
        </w:rPr>
        <w:t xml:space="preserve"> V. vinifera</w:t>
      </w:r>
      <w:r>
        <w:rPr>
          <w:rFonts w:ascii="Calibri" w:hAnsi="Calibri" w:eastAsia="Calibri" w:cs="Calibri"/>
          <w:color w:val="000000"/>
          <w:sz w:val="22"/>
          <w:szCs w:val="22"/>
        </w:rPr>
        <w:t xml:space="preserve">. Its North American vectors do not occur in the EPPO region, but vector capacity is so non-specific that one could certainly expect European Cicadellinae (e.g. </w:t>
      </w:r>
      <w:r>
        <w:rPr>
          <w:rFonts w:ascii="Calibri" w:hAnsi="Calibri" w:eastAsia="Calibri" w:cs="Calibri"/>
          <w:i/>
          <w:iCs/>
          <w:color w:val="000000"/>
          <w:sz w:val="22"/>
          <w:szCs w:val="22"/>
        </w:rPr>
        <w:t xml:space="preserve">Cicadella viridis</w:t>
      </w:r>
      <w:r>
        <w:rPr>
          <w:rFonts w:ascii="Calibri" w:hAnsi="Calibri" w:eastAsia="Calibri" w:cs="Calibri"/>
          <w:color w:val="000000"/>
          <w:sz w:val="22"/>
          <w:szCs w:val="22"/>
        </w:rPr>
        <w:t xml:space="preserve">) or Cercopidae to transmit the bacterium if introduced. The main threat in the long term is that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could become established in natural vegetation which would then act as a reservoir for infection of vineyards. </w:t>
      </w:r>
    </w:p>
    <w:p>
      <w:pPr>
        <w:widowControl w:val="on"/>
        <w:pBdr/>
        <w:spacing w:before="220" w:after="220" w:line="240" w:lineRule="auto"/>
        <w:ind w:left="0" w:right="0"/>
        <w:jc w:val="both"/>
      </w:pPr>
      <w:r>
        <w:rPr>
          <w:rFonts w:ascii="Calibri" w:hAnsi="Calibri" w:eastAsia="Calibri" w:cs="Calibri"/>
          <w:color w:val="000000"/>
          <w:sz w:val="22"/>
          <w:szCs w:val="22"/>
        </w:rPr>
        <w:t xml:space="preserve">Models have been used to estimate the potential distribution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and have revealed that the following areas in Southern Europe and the Mediterranean area were climatically suitable for the establishment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and were more particularly at risk: Atlantic regions of Southern Portugal and Southwestern Spain, coastal areas in Southern France, Italy and Croatia as well as all their islands and archipelagos. Moreover subsp. </w:t>
      </w:r>
      <w:r>
        <w:rPr>
          <w:rFonts w:ascii="Calibri" w:hAnsi="Calibri" w:eastAsia="Calibri" w:cs="Calibri"/>
          <w:i/>
          <w:iCs/>
          <w:color w:val="000000"/>
          <w:sz w:val="22"/>
          <w:szCs w:val="22"/>
        </w:rPr>
        <w:t xml:space="preserve">multiplex</w:t>
      </w:r>
      <w:r>
        <w:rPr>
          <w:rFonts w:ascii="Calibri" w:hAnsi="Calibri" w:eastAsia="Calibri" w:cs="Calibri"/>
          <w:color w:val="000000"/>
          <w:sz w:val="22"/>
          <w:szCs w:val="22"/>
        </w:rPr>
        <w:t xml:space="preserve"> could possibly establish further north in the EU compared to other subspecies (EFSA, 2019b). However, as the potential disease distribution may depend on the biology of its potential vectors, it is accordingly rather difficult to assess. </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in the EPPO region of different populations and subspecies of the bacterium may allow the appearance of recombining strains, resulting from crosses between the different subspecies. These events may increase the risk of appearance of new pathogenic strains that are more virulent or pathogenic to new hosts (Vanhove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likelihood of such crosses between different strains could be favoured by the existence of an overlapping host range. For example, it has been determined that in the European Union territory, out of the 43 plant species reported as host of subspecies </w:t>
      </w:r>
      <w:r>
        <w:rPr>
          <w:rFonts w:ascii="Calibri" w:hAnsi="Calibri" w:eastAsia="Calibri" w:cs="Calibri"/>
          <w:i/>
          <w:iCs/>
          <w:color w:val="000000"/>
          <w:sz w:val="22"/>
          <w:szCs w:val="22"/>
        </w:rPr>
        <w:t xml:space="preserve">pauca</w:t>
      </w:r>
      <w:r>
        <w:rPr>
          <w:rFonts w:ascii="Calibri" w:hAnsi="Calibri" w:eastAsia="Calibri" w:cs="Calibri"/>
          <w:color w:val="000000"/>
          <w:sz w:val="22"/>
          <w:szCs w:val="22"/>
        </w:rPr>
        <w:t xml:space="preserve">, 23% were also shown to be host of another subspecies, most frequently subsp. </w:t>
      </w:r>
      <w:r>
        <w:rPr>
          <w:rFonts w:ascii="Calibri" w:hAnsi="Calibri" w:eastAsia="Calibri" w:cs="Calibri"/>
          <w:i/>
          <w:iCs/>
          <w:color w:val="000000"/>
          <w:sz w:val="22"/>
          <w:szCs w:val="22"/>
        </w:rPr>
        <w:t xml:space="preserve">multiplex,</w:t>
      </w:r>
      <w:r>
        <w:rPr>
          <w:rFonts w:ascii="Calibri" w:hAnsi="Calibri" w:eastAsia="Calibri" w:cs="Calibri"/>
          <w:color w:val="000000"/>
          <w:sz w:val="22"/>
          <w:szCs w:val="22"/>
        </w:rPr>
        <w:t xml:space="preserve"> and that 35% may be host for all the three subspecies (European Commission, 2020).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effective method for preventing the introduction and spread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into uninfected areas is to impose strict phytosanitary measures and perform inspections (EPPO, 2016b) on imported host plant material, as well as to survey the health status of potential host plants and vectors, in particular in orchards and nurseries (EPPO, 2016c). In this respect, correct and timely disease identification is crucial for the appropriate application of any phytosanitary measure. Rapid detection (and destruction) of new foci of infection are also of the greatest importance.</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phytosanitary regulations are in place to prevent the entry and spread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For the EU Member States, phytosanitary measures are detailed in the Decision (EU) 2015/789 (EU, 2015).</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serious threat that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represents for grapevine and citrus cultivation, prohibitions to import plants for planting of citrus, grapevine and coffee plants from third countries where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occurs have been imposed by many EPPO member countries. In addition, several countries require that host plants for planting from infected third countries are either grown in a pest free area, or under protected conditions with inspection, sampling and testing for the absence of the bacterium prior to their export. For certain host plants (e.g.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hot water treatment (50°C for 45 min) can be considered effective to sanitize plants for planting coming from an infected area (EFSA, 2015b). Plants for planting can also be grown under complete physical isolation (EPPO, 2016d) to exclude insect vectors.</w:t>
      </w:r>
    </w:p>
    <w:p>
      <w:pPr>
        <w:widowControl w:val="on"/>
        <w:pBdr/>
        <w:spacing w:before="220" w:after="220" w:line="240" w:lineRule="auto"/>
        <w:ind w:left="0" w:right="0"/>
        <w:jc w:val="both"/>
      </w:pPr>
      <w:r>
        <w:rPr>
          <w:rFonts w:ascii="Calibri" w:hAnsi="Calibri" w:eastAsia="Calibri" w:cs="Calibri"/>
          <w:color w:val="000000"/>
          <w:sz w:val="22"/>
          <w:szCs w:val="22"/>
        </w:rPr>
        <w:t xml:space="preserve">Countries are also recommended to carry out regular surveys to verify the absence or presence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on their territory. Within the European Union territory, specific annual surveys should be carried out by all Member States and lists of specified host plants have been defined to that effect (European Commission, 2015, 2020; EFSA, 2019a). Detailed information regarding the disease spread capacity is of course fundamental when determining the extent of the area to survey. In this respect, the use of spread models could facilitate the decision-making process. For example, a model has been used to determine the disease spread within an olive orchard. It was estimated that the median short-distance spread was of approximately 150 m per year and that the median long-distance spread was of approximately 10 km per year (EFSA, 2019b). However, the above values may change according to several parameters, such as the density, spatial distribution and number of different of host plants species, abundance, mobility and biological characteristics of insect vectors.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event of a new outbreak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eradication or containment measures should be applied. These include the delimitation of infected and buffer zones where appropriate official measures are applied with varying intensity according to the zone concerned. These measures include the destruction of infected plants and potential host plants located in their vicinity, specific surveys (including intensive sampling and testing), restrictions on the movement of host plants, as well as appropriate control measures against the vectors and plants that may host those vectors. So far, it has to be recognized that no eradication attempts have been successful in outdoor conditions, and in areas where the disease has established.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Almeida RPP, Blua MJ, Lopes JR, Purcell AH (2005) Vector transmission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applying fundamental knowledge to generate disease management strategies.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775-786. </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PC, French WJ (1987) Biophysical characteristics of peach trees infected with phony peach disease. </w:t>
      </w:r>
      <w:r>
        <w:rPr>
          <w:rFonts w:ascii="Calibri" w:hAnsi="Calibri" w:eastAsia="Calibri" w:cs="Calibri"/>
          <w:i/>
          <w:iCs/>
          <w:color w:val="000000"/>
          <w:sz w:val="22"/>
          <w:szCs w:val="22"/>
        </w:rPr>
        <w:t xml:space="preserve">Physiological and 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25-40.</w:t>
      </w:r>
    </w:p>
    <w:p>
      <w:pPr>
        <w:widowControl w:val="on"/>
        <w:pBdr/>
        <w:spacing w:before="220" w:after="220" w:line="240" w:lineRule="auto"/>
        <w:ind w:left="0" w:right="0"/>
        <w:jc w:val="left"/>
      </w:pPr>
      <w:r>
        <w:rPr>
          <w:rFonts w:ascii="Calibri" w:hAnsi="Calibri" w:eastAsia="Calibri" w:cs="Calibri"/>
          <w:color w:val="000000"/>
          <w:sz w:val="22"/>
          <w:szCs w:val="22"/>
        </w:rPr>
        <w:t xml:space="preserve">Berisha B, Chen YD, Zhang GY, Xu BY, Chen TA (1998) Isolation of Pierce's disease bacteria from grapevines in Europe.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427-433.</w:t>
      </w:r>
    </w:p>
    <w:p>
      <w:pPr>
        <w:widowControl w:val="on"/>
        <w:pBdr/>
        <w:spacing w:before="220" w:after="220" w:line="240" w:lineRule="auto"/>
        <w:ind w:left="0" w:right="0"/>
        <w:jc w:val="left"/>
      </w:pPr>
      <w:r>
        <w:rPr>
          <w:rFonts w:ascii="Calibri" w:hAnsi="Calibri" w:eastAsia="Calibri" w:cs="Calibri"/>
          <w:color w:val="000000"/>
          <w:sz w:val="22"/>
          <w:szCs w:val="22"/>
        </w:rPr>
        <w:t xml:space="preserve">Bodino N, Plazio E, Cavalieri V, Dongiovanni E, Ripamonti M, Volani S, Gilioli G, Fumarola G, Di Carolo M, Porcelli F, Bosco D (2017) Host-plant association and host-shifting of nymphs and adults of </w:t>
      </w:r>
      <w:r>
        <w:rPr>
          <w:rFonts w:ascii="Calibri" w:hAnsi="Calibri" w:eastAsia="Calibri" w:cs="Calibri"/>
          <w:i/>
          <w:iCs/>
          <w:color w:val="000000"/>
          <w:sz w:val="22"/>
          <w:szCs w:val="22"/>
        </w:rPr>
        <w:t xml:space="preserve">Philaenus spumarius</w:t>
      </w:r>
      <w:r>
        <w:rPr>
          <w:rFonts w:ascii="Calibri" w:hAnsi="Calibri" w:eastAsia="Calibri" w:cs="Calibri"/>
          <w:color w:val="000000"/>
          <w:sz w:val="22"/>
          <w:szCs w:val="22"/>
        </w:rPr>
        <w:t xml:space="preserve"> L. in Italian olive orchards. In: </w:t>
      </w:r>
      <w:r>
        <w:rPr>
          <w:rFonts w:ascii="Calibri" w:hAnsi="Calibri" w:eastAsia="Calibri" w:cs="Calibri"/>
          <w:i/>
          <w:iCs/>
          <w:color w:val="000000"/>
          <w:sz w:val="22"/>
          <w:szCs w:val="22"/>
        </w:rPr>
        <w:t xml:space="preserve">Proceedings of the 3rd Hemipteran-plant interactions symposium (HPIS), </w:t>
      </w:r>
      <w:r>
        <w:rPr>
          <w:rFonts w:ascii="Calibri" w:hAnsi="Calibri" w:eastAsia="Calibri" w:cs="Calibri"/>
          <w:color w:val="000000"/>
          <w:sz w:val="22"/>
          <w:szCs w:val="22"/>
        </w:rPr>
        <w:t xml:space="preserve">Madrid, Spain, 4-8 June 2017, 36 pp. </w:t>
      </w:r>
    </w:p>
    <w:p>
      <w:pPr>
        <w:widowControl w:val="on"/>
        <w:pBdr/>
        <w:spacing w:before="220" w:after="220" w:line="240" w:lineRule="auto"/>
        <w:ind w:left="0" w:right="0"/>
        <w:jc w:val="left"/>
      </w:pPr>
      <w:r>
        <w:rPr>
          <w:rFonts w:ascii="Calibri" w:hAnsi="Calibri" w:eastAsia="Calibri" w:cs="Calibri"/>
          <w:color w:val="000000"/>
          <w:sz w:val="22"/>
          <w:szCs w:val="22"/>
        </w:rPr>
        <w:t xml:space="preserve">Boscia D, Altamura G, Ciniero A, Di Carolo M, Dongiovanni C, Fumarola G, Giampetruzzi A, Greco P, La Notte P, Loconsole G, Manni F, Melcarne G, Montilon V, Morelli M, Murrone N, Palmisano F, Pollastro P, Potere O, Roseti V, Saldarelli P, Saponari A, Saponari M, Savino V, Silletti MR, Specchia F, Susca L (2017) Resistance to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in different olive cultivars. </w:t>
      </w:r>
      <w:r>
        <w:rPr>
          <w:rFonts w:ascii="Calibri" w:hAnsi="Calibri" w:eastAsia="Calibri" w:cs="Calibri"/>
          <w:i/>
          <w:iCs/>
          <w:color w:val="000000"/>
          <w:sz w:val="22"/>
          <w:szCs w:val="22"/>
        </w:rPr>
        <w:t xml:space="preserve">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59-63.</w:t>
      </w:r>
    </w:p>
    <w:p>
      <w:pPr>
        <w:widowControl w:val="on"/>
        <w:pBdr/>
        <w:spacing w:before="220" w:after="220" w:line="240" w:lineRule="auto"/>
        <w:ind w:left="0" w:right="0"/>
        <w:jc w:val="left"/>
      </w:pPr>
      <w:r>
        <w:rPr>
          <w:rFonts w:ascii="Calibri" w:hAnsi="Calibri" w:eastAsia="Calibri" w:cs="Calibri"/>
          <w:color w:val="000000"/>
          <w:sz w:val="22"/>
          <w:szCs w:val="22"/>
        </w:rPr>
        <w:t xml:space="preserve">Bové JM, Ayres AJ (2008) Etiology of three recent diseases of citrus in São Paulo State: Sudden death, variegated chlorosis and huanglongbing. </w:t>
      </w:r>
      <w:r>
        <w:rPr>
          <w:rFonts w:ascii="Calibri" w:hAnsi="Calibri" w:eastAsia="Calibri" w:cs="Calibri"/>
          <w:i/>
          <w:iCs/>
          <w:color w:val="000000"/>
          <w:sz w:val="22"/>
          <w:szCs w:val="22"/>
        </w:rPr>
        <w:t xml:space="preserve">IUBMB Life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(4-5), 346-354.</w:t>
      </w:r>
    </w:p>
    <w:p>
      <w:pPr>
        <w:widowControl w:val="on"/>
        <w:pBdr/>
        <w:spacing w:before="220" w:after="220" w:line="240" w:lineRule="auto"/>
        <w:ind w:left="0" w:right="0"/>
        <w:jc w:val="left"/>
      </w:pPr>
      <w:r>
        <w:rPr>
          <w:rFonts w:ascii="Calibri" w:hAnsi="Calibri" w:eastAsia="Calibri" w:cs="Calibri"/>
          <w:color w:val="000000"/>
          <w:sz w:val="22"/>
          <w:szCs w:val="22"/>
        </w:rPr>
        <w:t xml:space="preserve">Bull CT, De Boer SH, Denny TP, Firrao G, Fischer-Le Saux M, Saddler GS, Scortichini M, Stead DE, Takikawa Y (2012) List of new names of plant pathogenic bacteria (2008-2010).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21-27. </w:t>
      </w:r>
    </w:p>
    <w:p>
      <w:pPr>
        <w:widowControl w:val="on"/>
        <w:pBdr/>
        <w:spacing w:before="220" w:after="220" w:line="240" w:lineRule="auto"/>
        <w:ind w:left="0" w:right="0"/>
        <w:jc w:val="left"/>
      </w:pPr>
      <w:r>
        <w:rPr>
          <w:rFonts w:ascii="Calibri" w:hAnsi="Calibri" w:eastAsia="Calibri" w:cs="Calibri"/>
          <w:color w:val="000000"/>
          <w:sz w:val="22"/>
          <w:szCs w:val="22"/>
        </w:rPr>
        <w:t xml:space="preserve">Cavalieri V, Dongiovanni C, Tauro D, Altamura G, Di Carolo M, Fumarola G, Saponari M, Bosco D (2018) Transmission of the CODIRO strain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by different insect species. In: </w:t>
      </w:r>
      <w:r>
        <w:rPr>
          <w:rFonts w:ascii="Calibri" w:hAnsi="Calibri" w:eastAsia="Calibri" w:cs="Calibri"/>
          <w:i/>
          <w:iCs/>
          <w:color w:val="000000"/>
          <w:sz w:val="22"/>
          <w:szCs w:val="22"/>
        </w:rPr>
        <w:t xml:space="preserve">Proceedings of the XI European Congress of Entomology</w:t>
      </w:r>
      <w:r>
        <w:rPr>
          <w:rFonts w:ascii="Calibri" w:hAnsi="Calibri" w:eastAsia="Calibri" w:cs="Calibri"/>
          <w:color w:val="000000"/>
          <w:sz w:val="22"/>
          <w:szCs w:val="22"/>
        </w:rPr>
        <w:t xml:space="preserve">, Naples, Italy, 2-6. </w:t>
      </w:r>
    </w:p>
    <w:p>
      <w:pPr>
        <w:widowControl w:val="on"/>
        <w:pBdr/>
        <w:spacing w:before="220" w:after="220" w:line="240" w:lineRule="auto"/>
        <w:ind w:left="0" w:right="0"/>
        <w:jc w:val="left"/>
      </w:pPr>
      <w:r>
        <w:rPr>
          <w:rFonts w:ascii="Calibri" w:hAnsi="Calibri" w:eastAsia="Calibri" w:cs="Calibri"/>
          <w:color w:val="000000"/>
          <w:sz w:val="22"/>
          <w:szCs w:val="22"/>
        </w:rPr>
        <w:t xml:space="preserve">Chu F‐LE, Volety AK (1997) Disease processes of the parasite </w:t>
      </w:r>
      <w:r>
        <w:rPr>
          <w:rFonts w:ascii="Calibri" w:hAnsi="Calibri" w:eastAsia="Calibri" w:cs="Calibri"/>
          <w:i/>
          <w:iCs/>
          <w:color w:val="000000"/>
          <w:sz w:val="22"/>
          <w:szCs w:val="22"/>
        </w:rPr>
        <w:t xml:space="preserve">Perkinsus marinus</w:t>
      </w:r>
      <w:r>
        <w:rPr>
          <w:rFonts w:ascii="Calibri" w:hAnsi="Calibri" w:eastAsia="Calibri" w:cs="Calibri"/>
          <w:color w:val="000000"/>
          <w:sz w:val="22"/>
          <w:szCs w:val="22"/>
        </w:rPr>
        <w:t xml:space="preserve"> in eastern oyster </w:t>
      </w:r>
      <w:r>
        <w:rPr>
          <w:rFonts w:ascii="Calibri" w:hAnsi="Calibri" w:eastAsia="Calibri" w:cs="Calibri"/>
          <w:i/>
          <w:iCs/>
          <w:color w:val="000000"/>
          <w:sz w:val="22"/>
          <w:szCs w:val="22"/>
        </w:rPr>
        <w:t xml:space="preserve">Crassostrea virginica</w:t>
      </w:r>
      <w:r>
        <w:rPr>
          <w:rFonts w:ascii="Calibri" w:hAnsi="Calibri" w:eastAsia="Calibri" w:cs="Calibri"/>
          <w:color w:val="000000"/>
          <w:sz w:val="22"/>
          <w:szCs w:val="22"/>
        </w:rPr>
        <w:t xml:space="preserve">: minimum doses for infection initiation, and interaction of temperature, salinity and infective cell dose. </w:t>
      </w:r>
      <w:r>
        <w:rPr>
          <w:rFonts w:ascii="Calibri" w:hAnsi="Calibri" w:eastAsia="Calibri" w:cs="Calibri"/>
          <w:i/>
          <w:iCs/>
          <w:color w:val="000000"/>
          <w:sz w:val="22"/>
          <w:szCs w:val="22"/>
        </w:rPr>
        <w:t xml:space="preserve">Diseases of Aquatic Organisms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61-68. </w:t>
      </w:r>
    </w:p>
    <w:p>
      <w:pPr>
        <w:widowControl w:val="on"/>
        <w:pBdr/>
        <w:spacing w:before="220" w:after="220" w:line="240" w:lineRule="auto"/>
        <w:ind w:left="0" w:right="0"/>
        <w:jc w:val="left"/>
      </w:pPr>
      <w:r>
        <w:rPr>
          <w:rFonts w:ascii="Calibri" w:hAnsi="Calibri" w:eastAsia="Calibri" w:cs="Calibri"/>
          <w:color w:val="000000"/>
          <w:sz w:val="22"/>
          <w:szCs w:val="22"/>
        </w:rPr>
        <w:t xml:space="preserve">Coletta-Filho H, Francisco CS, Lopes JRS, de Oliveira AF, da Silva LF (2016) First report of olive leaf scorch in Brazil, associated with </w:t>
      </w:r>
      <w:r>
        <w:rPr>
          <w:rFonts w:ascii="Calibri" w:hAnsi="Calibri" w:eastAsia="Calibri" w:cs="Calibri"/>
          <w:i/>
          <w:iCs/>
          <w:color w:val="000000"/>
          <w:sz w:val="22"/>
          <w:szCs w:val="22"/>
        </w:rPr>
        <w:t xml:space="preserve">Xylella fastidiosa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pauca. 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130-135.</w:t>
      </w:r>
    </w:p>
    <w:p>
      <w:pPr>
        <w:widowControl w:val="on"/>
        <w:pBdr/>
        <w:spacing w:before="220" w:after="220" w:line="240" w:lineRule="auto"/>
        <w:ind w:left="0" w:right="0"/>
        <w:jc w:val="left"/>
      </w:pPr>
      <w:r>
        <w:rPr>
          <w:rFonts w:ascii="Calibri" w:hAnsi="Calibri" w:eastAsia="Calibri" w:cs="Calibri"/>
          <w:color w:val="000000"/>
          <w:sz w:val="22"/>
          <w:szCs w:val="22"/>
        </w:rPr>
        <w:t xml:space="preserve">Cornara D, Saponari M, Zeilinger AR, de Stradis A, Boscia D, Loconsole G, Bosco D, Martelli GP, Almeida RP, Porcelli F (2017a) Spittlebugs as vectors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in olive orchards in Italy.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(2), 521-530. </w:t>
      </w:r>
    </w:p>
    <w:p>
      <w:pPr>
        <w:widowControl w:val="on"/>
        <w:pBdr/>
        <w:spacing w:before="220" w:after="220" w:line="240" w:lineRule="auto"/>
        <w:ind w:left="0" w:right="0"/>
        <w:jc w:val="left"/>
      </w:pPr>
      <w:r>
        <w:rPr>
          <w:rFonts w:ascii="Calibri" w:hAnsi="Calibri" w:eastAsia="Calibri" w:cs="Calibri"/>
          <w:color w:val="000000"/>
          <w:sz w:val="22"/>
          <w:szCs w:val="22"/>
        </w:rPr>
        <w:t xml:space="preserve">Cornara D, Cavalieri V, Dongiovanni C, Altamura G, Palmisano F, Bosco D, Porcelli F, Almeida RP, Saponari M (2017b) Transmission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by naturally infected </w:t>
      </w:r>
      <w:r>
        <w:rPr>
          <w:rFonts w:ascii="Calibri" w:hAnsi="Calibri" w:eastAsia="Calibri" w:cs="Calibri"/>
          <w:i/>
          <w:iCs/>
          <w:color w:val="000000"/>
          <w:sz w:val="22"/>
          <w:szCs w:val="22"/>
        </w:rPr>
        <w:t xml:space="preserve">Philaenus spumarius</w:t>
      </w:r>
      <w:r>
        <w:rPr>
          <w:rFonts w:ascii="Calibri" w:hAnsi="Calibri" w:eastAsia="Calibri" w:cs="Calibri"/>
          <w:color w:val="000000"/>
          <w:sz w:val="22"/>
          <w:szCs w:val="22"/>
        </w:rPr>
        <w:t xml:space="preserve"> (Hemiptera, Aphrophoridae) to different host plants.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141</w:t>
      </w:r>
      <w:r>
        <w:rPr>
          <w:rFonts w:ascii="Calibri" w:hAnsi="Calibri" w:eastAsia="Calibri" w:cs="Calibri"/>
          <w:color w:val="000000"/>
          <w:sz w:val="22"/>
          <w:szCs w:val="22"/>
        </w:rPr>
        <w:t xml:space="preserve">, 80-87. </w:t>
      </w:r>
    </w:p>
    <w:p>
      <w:pPr>
        <w:widowControl w:val="on"/>
        <w:pBdr/>
        <w:spacing w:before="220" w:after="220" w:line="240" w:lineRule="auto"/>
        <w:ind w:left="0" w:right="0"/>
        <w:jc w:val="left"/>
      </w:pPr>
      <w:r>
        <w:rPr>
          <w:rFonts w:ascii="Calibri" w:hAnsi="Calibri" w:eastAsia="Calibri" w:cs="Calibri"/>
          <w:color w:val="000000"/>
          <w:sz w:val="22"/>
          <w:szCs w:val="22"/>
        </w:rPr>
        <w:t xml:space="preserve">Cornara D, Bosco D, Fereres A (2018) </w:t>
      </w:r>
      <w:r>
        <w:rPr>
          <w:rFonts w:ascii="Calibri" w:hAnsi="Calibri" w:eastAsia="Calibri" w:cs="Calibri"/>
          <w:i/>
          <w:iCs/>
          <w:color w:val="000000"/>
          <w:sz w:val="22"/>
          <w:szCs w:val="22"/>
        </w:rPr>
        <w:t xml:space="preserve">Philaenus spumarius</w:t>
      </w:r>
      <w:r>
        <w:rPr>
          <w:rFonts w:ascii="Calibri" w:hAnsi="Calibri" w:eastAsia="Calibri" w:cs="Calibri"/>
          <w:color w:val="000000"/>
          <w:sz w:val="22"/>
          <w:szCs w:val="22"/>
        </w:rPr>
        <w:t xml:space="preserve">: when an old acquaintance becomes a new threat to European agriculture.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957-972. </w:t>
      </w:r>
    </w:p>
    <w:p>
      <w:pPr>
        <w:widowControl w:val="on"/>
        <w:pBdr/>
        <w:spacing w:before="220" w:after="220" w:line="240" w:lineRule="auto"/>
        <w:ind w:left="0" w:right="0"/>
        <w:jc w:val="left"/>
      </w:pPr>
      <w:r>
        <w:rPr>
          <w:rFonts w:ascii="Calibri" w:hAnsi="Calibri" w:eastAsia="Calibri" w:cs="Calibri"/>
          <w:color w:val="000000"/>
          <w:sz w:val="22"/>
          <w:szCs w:val="22"/>
        </w:rPr>
        <w:t xml:space="preserve">Cruaud A, Gonzalez A, Godefroid M, Nidelet S, Streito J, Thuillier J, Rossi JP, Santoni S, Rasplus J (2018) Using insects to detect, monitor and predict the distribution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a case study in Corsica.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(1). </w:t>
      </w:r>
      <w:hyperlink r:id="rId48136ad5c4d5acead" w:history="1">
        <w:r>
          <w:rPr>
            <w:rFonts w:ascii="Calibri" w:hAnsi="Calibri" w:eastAsia="Calibri" w:cs="Calibri"/>
            <w:color w:val="0000CC"/>
            <w:sz w:val="22"/>
            <w:szCs w:val="22"/>
            <w:u w:val="single"/>
          </w:rPr>
          <w:t xml:space="preserve">https://doi.org/10.1038/s41598-018-33957-z</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Denancé N, Legendre B, Briand M, Olivier V, de Boisseson C, Poliakoff F, Jacques MA (2017) Several subspecies and sequence types are associated with the emergence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in natural settings in France.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1054-1064. </w:t>
      </w:r>
    </w:p>
    <w:p>
      <w:pPr>
        <w:widowControl w:val="on"/>
        <w:pBdr/>
        <w:spacing w:before="220" w:after="220" w:line="240" w:lineRule="auto"/>
        <w:ind w:left="0" w:right="0"/>
        <w:jc w:val="left"/>
      </w:pPr>
      <w:r>
        <w:rPr>
          <w:rFonts w:ascii="Calibri" w:hAnsi="Calibri" w:eastAsia="Calibri" w:cs="Calibri"/>
          <w:color w:val="000000"/>
          <w:sz w:val="22"/>
          <w:szCs w:val="22"/>
        </w:rPr>
        <w:t xml:space="preserve">Denancé N, Briand M, Gaborieau R, Gaillard S, Jacques MA (2019) Identification of genetic relationships and subspecies signatures in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BMC genomics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239. </w:t>
      </w:r>
      <w:hyperlink r:id="rId30206ad5c4d5acfe9" w:history="1">
        <w:r>
          <w:rPr>
            <w:rFonts w:ascii="Calibri" w:hAnsi="Calibri" w:eastAsia="Calibri" w:cs="Calibri"/>
            <w:color w:val="0000CC"/>
            <w:sz w:val="22"/>
            <w:szCs w:val="22"/>
            <w:u w:val="single"/>
          </w:rPr>
          <w:t xml:space="preserve">https://doi.org/10.1186/s12864-019-5565-9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 Serio F, Bodino N, Cavalieri V, Demichelis S, Di Carolo M, Dongiovanni C, Fumarola G, Gilioli G, Guerrieri E, Picciotti U, Plazio E, Porcelli F, Saladini M, Salerno M, Simonetto A, Tauro D, Volani S, Zicca S, Bosco D (2019) Collection of data and information on biology and control of vectors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EFSA supporting publication 1628E, 102 pp. </w:t>
      </w:r>
      <w:hyperlink r:id="rId13356ad5c4d5ad044" w:history="1">
        <w:r>
          <w:rPr>
            <w:rFonts w:ascii="Calibri" w:hAnsi="Calibri" w:eastAsia="Calibri" w:cs="Calibri"/>
            <w:color w:val="0000CC"/>
            <w:sz w:val="22"/>
            <w:szCs w:val="22"/>
            <w:u w:val="single"/>
          </w:rPr>
          <w:t xml:space="preserve">https://doi.org/10.2903/sp.efsa.2019.EN-1628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Dohm DJ, O’Guinn ML, Turrell MJ (2002) Effect of environmental temperature on the ability of </w:t>
      </w:r>
      <w:r>
        <w:rPr>
          <w:rFonts w:ascii="Calibri" w:hAnsi="Calibri" w:eastAsia="Calibri" w:cs="Calibri"/>
          <w:i/>
          <w:iCs/>
          <w:color w:val="000000"/>
          <w:sz w:val="22"/>
          <w:szCs w:val="22"/>
        </w:rPr>
        <w:t xml:space="preserve">Culex pipiens</w:t>
      </w:r>
      <w:r>
        <w:rPr>
          <w:rFonts w:ascii="Calibri" w:hAnsi="Calibri" w:eastAsia="Calibri" w:cs="Calibri"/>
          <w:color w:val="000000"/>
          <w:sz w:val="22"/>
          <w:szCs w:val="22"/>
        </w:rPr>
        <w:t xml:space="preserve"> (Diptera: Culicidae) to transmit West Nile virus. </w:t>
      </w:r>
      <w:r>
        <w:rPr>
          <w:rFonts w:ascii="Calibri" w:hAnsi="Calibri" w:eastAsia="Calibri" w:cs="Calibri"/>
          <w:i/>
          <w:iCs/>
          <w:color w:val="000000"/>
          <w:sz w:val="22"/>
          <w:szCs w:val="22"/>
        </w:rPr>
        <w:t xml:space="preserve">Journal of Medical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221-225. </w:t>
      </w:r>
    </w:p>
    <w:p>
      <w:pPr>
        <w:widowControl w:val="on"/>
        <w:pBdr/>
        <w:spacing w:before="220" w:after="220" w:line="240" w:lineRule="auto"/>
        <w:ind w:left="0" w:right="0"/>
        <w:jc w:val="left"/>
      </w:pPr>
      <w:r>
        <w:rPr>
          <w:rFonts w:ascii="Calibri" w:hAnsi="Calibri" w:eastAsia="Calibri" w:cs="Calibri"/>
          <w:color w:val="000000"/>
          <w:sz w:val="22"/>
          <w:szCs w:val="22"/>
        </w:rPr>
        <w:t xml:space="preserve">Dongiovanni C, Altamura G, Di Carolo M, Fumarola G, Saponari M, Cavalieri V (2018a) Evaluation of efficacy of different insecticides against </w:t>
      </w:r>
      <w:r>
        <w:rPr>
          <w:rFonts w:ascii="Calibri" w:hAnsi="Calibri" w:eastAsia="Calibri" w:cs="Calibri"/>
          <w:i/>
          <w:iCs/>
          <w:color w:val="000000"/>
          <w:sz w:val="22"/>
          <w:szCs w:val="22"/>
        </w:rPr>
        <w:t xml:space="preserve">Philaenus spumarius </w:t>
      </w:r>
      <w:r>
        <w:rPr>
          <w:rFonts w:ascii="Calibri" w:hAnsi="Calibri" w:eastAsia="Calibri" w:cs="Calibri"/>
          <w:color w:val="000000"/>
          <w:sz w:val="22"/>
          <w:szCs w:val="22"/>
        </w:rPr>
        <w:t xml:space="preserve">L., vector of</w:t>
      </w:r>
      <w:r>
        <w:rPr>
          <w:rFonts w:ascii="Calibri" w:hAnsi="Calibri" w:eastAsia="Calibri" w:cs="Calibri"/>
          <w:i/>
          <w:iCs/>
          <w:color w:val="000000"/>
          <w:sz w:val="22"/>
          <w:szCs w:val="22"/>
        </w:rPr>
        <w:t xml:space="preserve"> Xylella fastidiosa</w:t>
      </w:r>
      <w:r>
        <w:rPr>
          <w:rFonts w:ascii="Calibri" w:hAnsi="Calibri" w:eastAsia="Calibri" w:cs="Calibri"/>
          <w:color w:val="000000"/>
          <w:sz w:val="22"/>
          <w:szCs w:val="22"/>
        </w:rPr>
        <w:t xml:space="preserve"> in olive orchards in Southern Italy, 2015-17. </w:t>
      </w:r>
      <w:r>
        <w:rPr>
          <w:rFonts w:ascii="Calibri" w:hAnsi="Calibri" w:eastAsia="Calibri" w:cs="Calibri"/>
          <w:i/>
          <w:iCs/>
          <w:color w:val="000000"/>
          <w:sz w:val="22"/>
          <w:szCs w:val="22"/>
        </w:rPr>
        <w:t xml:space="preserve">Arthropod Management Tests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 1-4. </w:t>
      </w:r>
      <w:hyperlink r:id="rId90336ad5c4d5ad17b" w:history="1">
        <w:r>
          <w:rPr>
            <w:rFonts w:ascii="Calibri" w:hAnsi="Calibri" w:eastAsia="Calibri" w:cs="Calibri"/>
            <w:color w:val="0000CC"/>
            <w:sz w:val="22"/>
            <w:szCs w:val="22"/>
            <w:u w:val="single"/>
          </w:rPr>
          <w:t xml:space="preserve">https://doi.org/10.1093/amt/tsy034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Dongiovanni C, Cavalieri V, Bodino N, Tauro D, Di Carolo M, Fumarola G, Altamura G, Lasorella C, Bosco D (2018b) Plant selection and population trend of spittlebug immatures (Hemiptera: Aphrophoridae) in olive groves of the Apulia Region of Italy.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(1), 67-74. </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(2015a) Scientific Opinion on the risks to plant health posed by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in the EU territory, with the identification and evaluation of risk reduction options.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3989, 262 pp. </w:t>
      </w:r>
      <w:hyperlink r:id="rId12186ad5c4d5ad277" w:history="1">
        <w:r>
          <w:rPr>
            <w:rFonts w:ascii="Calibri" w:hAnsi="Calibri" w:eastAsia="Calibri" w:cs="Calibri"/>
            <w:color w:val="0000CC"/>
            <w:sz w:val="22"/>
            <w:szCs w:val="22"/>
            <w:u w:val="single"/>
          </w:rPr>
          <w:t xml:space="preserve">https://doi.org/10.2903/j.efsa.2015.3989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(2015b) Scientific Opinion on hot water treatment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 for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(9), 4225, 10 pp. </w:t>
      </w:r>
      <w:hyperlink r:id="rId42736ad5c4d5ad35e" w:history="1">
        <w:r>
          <w:rPr>
            <w:rFonts w:ascii="Calibri" w:hAnsi="Calibri" w:eastAsia="Calibri" w:cs="Calibri"/>
            <w:color w:val="0000CC"/>
            <w:sz w:val="22"/>
            <w:szCs w:val="22"/>
            <w:u w:val="single"/>
          </w:rPr>
          <w:t xml:space="preserve">https://doi.org/10.2903/j.efsa.2015.4225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(2018) Scientific Opinion on the updated pest categorisation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(7), 5357, 61 pp. </w:t>
      </w:r>
      <w:hyperlink r:id="rId82136ad5c4d5ad3fe" w:history="1">
        <w:r>
          <w:rPr>
            <w:rFonts w:ascii="Calibri" w:hAnsi="Calibri" w:eastAsia="Calibri" w:cs="Calibri"/>
            <w:color w:val="0000CC"/>
            <w:sz w:val="22"/>
            <w:szCs w:val="22"/>
            <w:u w:val="single"/>
          </w:rPr>
          <w:t xml:space="preserve">https://doi.org/10.2903/j.efsa.2018.5357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(2019a) Pest survey card on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EFSA Supporting publication EN-1667. </w:t>
      </w:r>
      <w:hyperlink r:id="rId54016ad5c4d5ad458" w:history="1">
        <w:r>
          <w:rPr>
            <w:rFonts w:ascii="Calibri" w:hAnsi="Calibri" w:eastAsia="Calibri" w:cs="Calibri"/>
            <w:color w:val="0000CC"/>
            <w:sz w:val="22"/>
            <w:szCs w:val="22"/>
            <w:u w:val="single"/>
          </w:rPr>
          <w:t xml:space="preserve">https://doi.org/10.2903/sp.efsa.2019.EN-1667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(2019b) Update of the Scientific Opinion on the risks to plant health posed by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in the EU territory.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(5), 5665, 200 pp. </w:t>
      </w:r>
      <w:hyperlink r:id="rId71606ad5c4d5ad4de" w:history="1">
        <w:r>
          <w:rPr>
            <w:rFonts w:ascii="Calibri" w:hAnsi="Calibri" w:eastAsia="Calibri" w:cs="Calibri"/>
            <w:color w:val="0000CC"/>
            <w:sz w:val="22"/>
            <w:szCs w:val="22"/>
            <w:u w:val="single"/>
          </w:rPr>
          <w:t xml:space="preserve">https://doi.org/10.2903/j.efsa.2019.5665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(2019c) Scientific Opinion on the pest categorisation of non-EU </w:t>
      </w:r>
      <w:r>
        <w:rPr>
          <w:rFonts w:ascii="Calibri" w:hAnsi="Calibri" w:eastAsia="Calibri" w:cs="Calibri"/>
          <w:i/>
          <w:iCs/>
          <w:color w:val="000000"/>
          <w:sz w:val="22"/>
          <w:szCs w:val="22"/>
        </w:rPr>
        <w:t xml:space="preserve">Cicadomorpha</w:t>
      </w:r>
      <w:r>
        <w:rPr>
          <w:rFonts w:ascii="Calibri" w:hAnsi="Calibri" w:eastAsia="Calibri" w:cs="Calibri"/>
          <w:color w:val="000000"/>
          <w:sz w:val="22"/>
          <w:szCs w:val="22"/>
        </w:rPr>
        <w:t xml:space="preserve"> vectors of </w:t>
      </w:r>
      <w:r>
        <w:rPr>
          <w:rFonts w:ascii="Calibri" w:hAnsi="Calibri" w:eastAsia="Calibri" w:cs="Calibri"/>
          <w:i/>
          <w:iCs/>
          <w:color w:val="000000"/>
          <w:sz w:val="22"/>
          <w:szCs w:val="22"/>
        </w:rPr>
        <w:t xml:space="preserve">Xylella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(6), 5736. </w:t>
      </w:r>
      <w:hyperlink r:id="rId31946ad5c4d5ad584" w:history="1">
        <w:r>
          <w:rPr>
            <w:rFonts w:ascii="Calibri" w:hAnsi="Calibri" w:eastAsia="Calibri" w:cs="Calibri"/>
            <w:color w:val="0000CC"/>
            <w:sz w:val="22"/>
            <w:szCs w:val="22"/>
            <w:u w:val="single"/>
          </w:rPr>
          <w:t xml:space="preserve">https://doi.org/10.2903/j.efsa.2019.5736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(2020) Update of the </w:t>
      </w:r>
      <w:r>
        <w:rPr>
          <w:rFonts w:ascii="Calibri" w:hAnsi="Calibri" w:eastAsia="Calibri" w:cs="Calibri"/>
          <w:i/>
          <w:iCs/>
          <w:color w:val="000000"/>
          <w:sz w:val="22"/>
          <w:szCs w:val="22"/>
        </w:rPr>
        <w:t xml:space="preserve">Xylella </w:t>
      </w:r>
      <w:r>
        <w:rPr>
          <w:rFonts w:ascii="Calibri" w:hAnsi="Calibri" w:eastAsia="Calibri" w:cs="Calibri"/>
          <w:color w:val="000000"/>
          <w:sz w:val="22"/>
          <w:szCs w:val="22"/>
        </w:rPr>
        <w:t xml:space="preserve">spp. host plant database – systematic literature search up to 30 June 2019. </w:t>
      </w:r>
      <w:r>
        <w:rPr>
          <w:rFonts w:ascii="Calibri" w:hAnsi="Calibri" w:eastAsia="Calibri" w:cs="Calibri"/>
          <w:i/>
          <w:iCs/>
          <w:color w:val="000000"/>
          <w:sz w:val="22"/>
          <w:szCs w:val="22"/>
        </w:rPr>
        <w:t xml:space="preserve">EFSA Journal</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(4), 6114, 61 pp.  </w:t>
      </w:r>
      <w:hyperlink r:id="rId22636ad5c4d5ad621" w:history="1">
        <w:r>
          <w:rPr>
            <w:rFonts w:ascii="Calibri" w:hAnsi="Calibri" w:eastAsia="Calibri" w:cs="Calibri"/>
            <w:color w:val="0000CC"/>
            <w:sz w:val="22"/>
            <w:szCs w:val="22"/>
            <w:u w:val="single"/>
          </w:rPr>
          <w:t xml:space="preserve">https://doi.org/10.2903/j.efsa.2020.6114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(1998) EPPO Reporting Service 1998/157. </w:t>
      </w:r>
      <w:hyperlink r:id="rId74496ad5c4d5ad657" w:history="1">
        <w:r>
          <w:rPr>
            <w:rFonts w:ascii="Calibri" w:hAnsi="Calibri" w:eastAsia="Calibri" w:cs="Calibri"/>
            <w:color w:val="0000CC"/>
            <w:sz w:val="22"/>
            <w:szCs w:val="22"/>
            <w:u w:val="single"/>
          </w:rPr>
          <w:t xml:space="preserve">https://gd.eppo.int/reporting/article-3666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(2016b) PM 3/81 (1) Inspection of consignments for </w:t>
      </w:r>
      <w:r>
        <w:rPr>
          <w:rFonts w:ascii="Calibri" w:hAnsi="Calibri" w:eastAsia="Calibri" w:cs="Calibri"/>
          <w:i/>
          <w:iCs/>
          <w:color w:val="000000"/>
          <w:sz w:val="22"/>
          <w:szCs w:val="22"/>
        </w:rPr>
        <w:t xml:space="preserve">Xylella fastidiosa.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395-406. </w:t>
      </w:r>
      <w:hyperlink r:id="rId26076ad5c4d5ad6c9" w:history="1">
        <w:r>
          <w:rPr>
            <w:rFonts w:ascii="Calibri" w:hAnsi="Calibri" w:eastAsia="Calibri" w:cs="Calibri"/>
            <w:color w:val="0000CC"/>
            <w:sz w:val="22"/>
            <w:szCs w:val="22"/>
            <w:u w:val="single"/>
          </w:rPr>
          <w:t xml:space="preserve">https://doi.org/10.1111/epp.12325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(2016c) PM 3/82 (1) Inspection of places of production for </w:t>
      </w:r>
      <w:r>
        <w:rPr>
          <w:rFonts w:ascii="Calibri" w:hAnsi="Calibri" w:eastAsia="Calibri" w:cs="Calibri"/>
          <w:i/>
          <w:iCs/>
          <w:color w:val="000000"/>
          <w:sz w:val="22"/>
          <w:szCs w:val="22"/>
        </w:rPr>
        <w:t xml:space="preserve">Xylella fastidiosa.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407-418. </w:t>
      </w:r>
      <w:hyperlink r:id="rId48006ad5c4d5ad739" w:history="1">
        <w:r>
          <w:rPr>
            <w:rFonts w:ascii="Calibri" w:hAnsi="Calibri" w:eastAsia="Calibri" w:cs="Calibri"/>
            <w:color w:val="0000CC"/>
            <w:sz w:val="22"/>
            <w:szCs w:val="22"/>
            <w:u w:val="single"/>
          </w:rPr>
          <w:t xml:space="preserve">https://doi.org/10.1111/epp.12328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(2016d) PM 5/8 (1) Guidelines on the phytosanitary measure ‘Plants grown under complete physical isolation’</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421-423. </w:t>
      </w:r>
      <w:hyperlink r:id="rId73196ad5c4d5ad7ad" w:history="1">
        <w:r>
          <w:rPr>
            <w:rFonts w:ascii="Calibri" w:hAnsi="Calibri" w:eastAsia="Calibri" w:cs="Calibri"/>
            <w:color w:val="0000CC"/>
            <w:sz w:val="22"/>
            <w:szCs w:val="22"/>
            <w:u w:val="single"/>
          </w:rPr>
          <w:t xml:space="preserve">https://doi.org/10.1111/epp.12340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(2023) PM 7/24 (5) Diagnostic standard for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(2), 205-276.</w:t>
      </w:r>
    </w:p>
    <w:p>
      <w:pPr>
        <w:widowControl w:val="on"/>
        <w:pBdr/>
        <w:spacing w:before="220" w:after="220" w:line="240" w:lineRule="auto"/>
        <w:ind w:left="0" w:right="0"/>
        <w:jc w:val="left"/>
      </w:pPr>
      <w:r>
        <w:rPr>
          <w:rFonts w:ascii="Calibri" w:hAnsi="Calibri" w:eastAsia="Calibri" w:cs="Calibri"/>
          <w:color w:val="000000"/>
          <w:sz w:val="22"/>
          <w:szCs w:val="22"/>
        </w:rPr>
        <w:t xml:space="preserve">European Commission (2015) Guidelines for the survey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(Wells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in the Union territory. Directorate-General for Health and Food Safety, Brussels. </w:t>
      </w:r>
      <w:hyperlink r:id="rId23596ad5c4d5ad8c2" w:history="1">
        <w:r>
          <w:rPr>
            <w:rFonts w:ascii="Calibri" w:hAnsi="Calibri" w:eastAsia="Calibri" w:cs="Calibri"/>
            <w:color w:val="0000CC"/>
            <w:sz w:val="22"/>
            <w:szCs w:val="22"/>
            <w:u w:val="single"/>
          </w:rPr>
          <w:t xml:space="preserve">https://ec.europa.eu/food/sites/food/files/plant/docs/ph_biosec_legis_guidelines_xylella-survey.pdf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European Commission (2020) Commission database of host plants found to be susceptible to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in the Union territory. </w:t>
      </w:r>
      <w:hyperlink r:id="rId34136ad5c4d5ad9c4" w:history="1">
        <w:r>
          <w:rPr>
            <w:rFonts w:ascii="Calibri" w:hAnsi="Calibri" w:eastAsia="Calibri" w:cs="Calibri"/>
            <w:color w:val="0000CC"/>
            <w:sz w:val="22"/>
            <w:szCs w:val="22"/>
            <w:u w:val="single"/>
          </w:rPr>
          <w:t xml:space="preserve">https://ec.europa.eu/food/plant/plant_health_biosecurity/legislation/emergency_measures/xylella-fastidiosa/susceptible_en</w:t>
        </w:r>
      </w:hyperlink>
      <w:r>
        <w:rPr>
          <w:rFonts w:ascii="Calibri" w:hAnsi="Calibri" w:eastAsia="Calibri" w:cs="Calibri"/>
          <w:color w:val="000000"/>
          <w:sz w:val="22"/>
          <w:szCs w:val="22"/>
        </w:rPr>
        <w:t xml:space="preserve"> (last accessed 2020-03)</w:t>
      </w:r>
    </w:p>
    <w:p>
      <w:pPr>
        <w:widowControl w:val="on"/>
        <w:pBdr/>
        <w:spacing w:before="220" w:after="220" w:line="240" w:lineRule="auto"/>
        <w:ind w:left="0" w:right="0"/>
        <w:jc w:val="left"/>
      </w:pPr>
      <w:r>
        <w:rPr>
          <w:rFonts w:ascii="Calibri" w:hAnsi="Calibri" w:eastAsia="Calibri" w:cs="Calibri"/>
          <w:color w:val="000000"/>
          <w:sz w:val="22"/>
          <w:szCs w:val="22"/>
        </w:rPr>
        <w:t xml:space="preserve">EU (2015) Commission implementing decision (EU) 2015/789 of 18 May 2015 as regards measures to prevent the introduction into and the spread within the Union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(Wells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125, 36-53.</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delegated regulation (EU) 2019/1702 pf 1 August 2019 supplementing Regulation (EU) 2016/2031 of the European Parliament and of the Council by establishing the list of priority pests.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206, 8-10. </w:t>
      </w:r>
    </w:p>
    <w:p>
      <w:pPr>
        <w:widowControl w:val="on"/>
        <w:pBdr/>
        <w:spacing w:before="220" w:after="220" w:line="240" w:lineRule="auto"/>
        <w:ind w:left="0" w:right="0"/>
        <w:jc w:val="left"/>
      </w:pPr>
      <w:r>
        <w:rPr>
          <w:rFonts w:ascii="Calibri" w:hAnsi="Calibri" w:eastAsia="Calibri" w:cs="Calibri"/>
          <w:color w:val="000000"/>
          <w:sz w:val="22"/>
          <w:szCs w:val="22"/>
        </w:rPr>
        <w:t xml:space="preserve">Feil H, Purcell AH (2001) Temperature-dependent growth and survival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in vitro and in potted grapevines.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1230-1234. </w:t>
      </w:r>
    </w:p>
    <w:p>
      <w:pPr>
        <w:widowControl w:val="on"/>
        <w:pBdr/>
        <w:spacing w:before="220" w:after="220" w:line="240" w:lineRule="auto"/>
        <w:ind w:left="0" w:right="0"/>
        <w:jc w:val="left"/>
      </w:pPr>
      <w:r>
        <w:rPr>
          <w:rFonts w:ascii="Calibri" w:hAnsi="Calibri" w:eastAsia="Calibri" w:cs="Calibri"/>
          <w:color w:val="000000"/>
          <w:sz w:val="22"/>
          <w:szCs w:val="22"/>
        </w:rPr>
        <w:t xml:space="preserve">Frazier NW (1944) Phylogenetic relationship of the nine known leaf-hopper vectors of Pierce’s disease of grape.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1000-1001. </w:t>
      </w:r>
    </w:p>
    <w:p>
      <w:pPr>
        <w:widowControl w:val="on"/>
        <w:pBdr/>
        <w:spacing w:before="220" w:after="220" w:line="240" w:lineRule="auto"/>
        <w:ind w:left="0" w:right="0"/>
        <w:jc w:val="left"/>
      </w:pPr>
      <w:r>
        <w:rPr>
          <w:rFonts w:ascii="Calibri" w:hAnsi="Calibri" w:eastAsia="Calibri" w:cs="Calibri"/>
          <w:color w:val="000000"/>
          <w:sz w:val="22"/>
          <w:szCs w:val="22"/>
        </w:rPr>
        <w:t xml:space="preserve">Freitag JH (1951) Host range of the Pierce's disease virus of grapes as determined by insect transmission.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10. </w:t>
      </w:r>
    </w:p>
    <w:p>
      <w:pPr>
        <w:widowControl w:val="on"/>
        <w:pBdr/>
        <w:spacing w:before="220" w:after="220" w:line="240" w:lineRule="auto"/>
        <w:ind w:left="0" w:right="0"/>
        <w:jc w:val="left"/>
      </w:pPr>
      <w:r>
        <w:rPr>
          <w:rFonts w:ascii="Calibri" w:hAnsi="Calibri" w:eastAsia="Calibri" w:cs="Calibri"/>
          <w:color w:val="000000"/>
          <w:sz w:val="22"/>
          <w:szCs w:val="22"/>
        </w:rPr>
        <w:t xml:space="preserve">Güldür ME, Çağlar BK, Castellano MA, Ünlü L, Güran S, Yılmaz MA, Martelli GP (2005) First report of almond leaf scorch in Turkey.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p 246.</w:t>
      </w:r>
    </w:p>
    <w:p>
      <w:pPr>
        <w:widowControl w:val="on"/>
        <w:pBdr/>
        <w:spacing w:before="220" w:after="220" w:line="240" w:lineRule="auto"/>
        <w:ind w:left="0" w:right="0"/>
        <w:jc w:val="left"/>
      </w:pPr>
      <w:r>
        <w:rPr>
          <w:rFonts w:ascii="Calibri" w:hAnsi="Calibri" w:eastAsia="Calibri" w:cs="Calibri"/>
          <w:color w:val="000000"/>
          <w:sz w:val="22"/>
          <w:szCs w:val="22"/>
        </w:rPr>
        <w:t xml:space="preserve">Habib W, Nigro F, Gerges E, Jreijiri F, Al Masri Y, El Riachy M, Choueiri E (2016)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does not occur in Lebanon.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164</w:t>
      </w:r>
      <w:r>
        <w:rPr>
          <w:rFonts w:ascii="Calibri" w:hAnsi="Calibri" w:eastAsia="Calibri" w:cs="Calibri"/>
          <w:color w:val="000000"/>
          <w:sz w:val="22"/>
          <w:szCs w:val="22"/>
        </w:rPr>
        <w:t xml:space="preserve">, 395-408.</w:t>
      </w:r>
    </w:p>
    <w:p>
      <w:pPr>
        <w:widowControl w:val="on"/>
        <w:pBdr/>
        <w:spacing w:before="220" w:after="220" w:line="240" w:lineRule="auto"/>
        <w:ind w:left="0" w:right="0"/>
        <w:jc w:val="left"/>
      </w:pPr>
      <w:r>
        <w:rPr>
          <w:rFonts w:ascii="Calibri" w:hAnsi="Calibri" w:eastAsia="Calibri" w:cs="Calibri"/>
          <w:color w:val="000000"/>
          <w:sz w:val="22"/>
          <w:szCs w:val="22"/>
        </w:rPr>
        <w:t xml:space="preserve">Haelterman RM, Tolocka PA, Roca ME, Guzman FA, Fernandez FD, Otero ML (2015) First presumptive diagnosis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causing olive scorch in Argentina.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p 393.</w:t>
      </w:r>
    </w:p>
    <w:p>
      <w:pPr>
        <w:widowControl w:val="on"/>
        <w:pBdr/>
        <w:spacing w:before="220" w:after="220" w:line="240" w:lineRule="auto"/>
        <w:ind w:left="0" w:right="0"/>
        <w:jc w:val="left"/>
      </w:pPr>
      <w:r>
        <w:rPr>
          <w:rFonts w:ascii="Calibri" w:hAnsi="Calibri" w:eastAsia="Calibri" w:cs="Calibri"/>
          <w:color w:val="000000"/>
          <w:sz w:val="22"/>
          <w:szCs w:val="22"/>
        </w:rPr>
        <w:t xml:space="preserve">Harper SJ, Ward LI, Clover GRG (2010) Development of LAMP and real-time PCR methods for the rapid detection of </w:t>
      </w:r>
      <w:r>
        <w:rPr>
          <w:rFonts w:ascii="Calibri" w:hAnsi="Calibri" w:eastAsia="Calibri" w:cs="Calibri"/>
          <w:i/>
          <w:iCs/>
          <w:color w:val="000000"/>
          <w:sz w:val="22"/>
          <w:szCs w:val="22"/>
        </w:rPr>
        <w:t xml:space="preserve">Xylella fastidiosa </w:t>
      </w:r>
      <w:r>
        <w:rPr>
          <w:rFonts w:ascii="Calibri" w:hAnsi="Calibri" w:eastAsia="Calibri" w:cs="Calibri"/>
          <w:color w:val="000000"/>
          <w:sz w:val="22"/>
          <w:szCs w:val="22"/>
        </w:rPr>
        <w:t xml:space="preserve">for quarantine and field applications.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1282-1288. </w:t>
      </w:r>
    </w:p>
    <w:p>
      <w:pPr>
        <w:widowControl w:val="on"/>
        <w:pBdr/>
        <w:spacing w:before="220" w:after="220" w:line="240" w:lineRule="auto"/>
        <w:ind w:left="0" w:right="0"/>
        <w:jc w:val="left"/>
      </w:pPr>
      <w:r>
        <w:rPr>
          <w:rFonts w:ascii="Calibri" w:hAnsi="Calibri" w:eastAsia="Calibri" w:cs="Calibri"/>
          <w:color w:val="000000"/>
          <w:sz w:val="22"/>
          <w:szCs w:val="22"/>
        </w:rPr>
        <w:t xml:space="preserve">Hendson M, Purcell AH, Chen D, Smart C, Guilhabert M, Kirkpatrick B (2001) Genetic diversity of Pierce's disease strains and other pathotypes of </w:t>
      </w:r>
      <w:r>
        <w:rPr>
          <w:rFonts w:ascii="Calibri" w:hAnsi="Calibri" w:eastAsia="Calibri" w:cs="Calibri"/>
          <w:i/>
          <w:iCs/>
          <w:color w:val="000000"/>
          <w:sz w:val="22"/>
          <w:szCs w:val="22"/>
        </w:rPr>
        <w:t xml:space="preserve">Xylella fastidiosa. 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(2), 895-903.</w:t>
      </w:r>
    </w:p>
    <w:p>
      <w:pPr>
        <w:widowControl w:val="on"/>
        <w:pBdr/>
        <w:spacing w:before="220" w:after="220" w:line="240" w:lineRule="auto"/>
        <w:ind w:left="0" w:right="0"/>
        <w:jc w:val="left"/>
      </w:pPr>
      <w:r>
        <w:rPr>
          <w:rFonts w:ascii="Calibri" w:hAnsi="Calibri" w:eastAsia="Calibri" w:cs="Calibri"/>
          <w:color w:val="000000"/>
          <w:sz w:val="22"/>
          <w:szCs w:val="22"/>
        </w:rPr>
        <w:t xml:space="preserve">Hernandez-Martinez R, de la Cerda KA, Costa HS, Cooksey DA, Wong FP (2007) Phylogenetic relationships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strains isolated from ornamentals in southern California.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857-864.</w:t>
      </w:r>
    </w:p>
    <w:p>
      <w:pPr>
        <w:widowControl w:val="on"/>
        <w:pBdr/>
        <w:spacing w:before="220" w:after="220" w:line="240" w:lineRule="auto"/>
        <w:ind w:left="0" w:right="0"/>
        <w:jc w:val="left"/>
      </w:pPr>
      <w:r>
        <w:rPr>
          <w:rFonts w:ascii="Calibri" w:hAnsi="Calibri" w:eastAsia="Calibri" w:cs="Calibri"/>
          <w:color w:val="000000"/>
          <w:sz w:val="22"/>
          <w:szCs w:val="22"/>
        </w:rPr>
        <w:t xml:space="preserve">Hill BL, Purcell AH (1995) Acquisition and retention of </w:t>
      </w:r>
      <w:r>
        <w:rPr>
          <w:rFonts w:ascii="Calibri" w:hAnsi="Calibri" w:eastAsia="Calibri" w:cs="Calibri"/>
          <w:i/>
          <w:iCs/>
          <w:color w:val="000000"/>
          <w:sz w:val="22"/>
          <w:szCs w:val="22"/>
        </w:rPr>
        <w:t xml:space="preserve">Xylella fastidiosa </w:t>
      </w:r>
      <w:r>
        <w:rPr>
          <w:rFonts w:ascii="Calibri" w:hAnsi="Calibri" w:eastAsia="Calibri" w:cs="Calibri"/>
          <w:color w:val="000000"/>
          <w:sz w:val="22"/>
          <w:szCs w:val="22"/>
        </w:rPr>
        <w:t xml:space="preserve">by an efficient vector, </w:t>
      </w:r>
      <w:r>
        <w:rPr>
          <w:rFonts w:ascii="Calibri" w:hAnsi="Calibri" w:eastAsia="Calibri" w:cs="Calibri"/>
          <w:i/>
          <w:iCs/>
          <w:color w:val="000000"/>
          <w:sz w:val="22"/>
          <w:szCs w:val="22"/>
        </w:rPr>
        <w:t xml:space="preserve">Graphocephala atropunctata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w:t>
      </w:r>
      <w:r>
        <w:rPr>
          <w:rFonts w:ascii="Calibri" w:hAnsi="Calibri" w:eastAsia="Calibri" w:cs="Calibri"/>
          <w:color w:val="000000"/>
          <w:sz w:val="22"/>
          <w:szCs w:val="22"/>
        </w:rPr>
        <w:t xml:space="preserve">y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209-212. </w:t>
      </w:r>
    </w:p>
    <w:p>
      <w:pPr>
        <w:widowControl w:val="on"/>
        <w:pBdr/>
        <w:spacing w:before="220" w:after="220" w:line="240" w:lineRule="auto"/>
        <w:ind w:left="0" w:right="0"/>
        <w:jc w:val="left"/>
      </w:pPr>
      <w:r>
        <w:rPr>
          <w:rFonts w:ascii="Calibri" w:hAnsi="Calibri" w:eastAsia="Calibri" w:cs="Calibri"/>
          <w:color w:val="000000"/>
          <w:sz w:val="22"/>
          <w:szCs w:val="22"/>
        </w:rPr>
        <w:t xml:space="preserve">Hill BL, Purcell AH (1997) Populations of </w:t>
      </w:r>
      <w:r>
        <w:rPr>
          <w:rFonts w:ascii="Calibri" w:hAnsi="Calibri" w:eastAsia="Calibri" w:cs="Calibri"/>
          <w:i/>
          <w:iCs/>
          <w:color w:val="000000"/>
          <w:sz w:val="22"/>
          <w:szCs w:val="22"/>
        </w:rPr>
        <w:t xml:space="preserve">Xylella fas</w:t>
      </w:r>
      <w:r>
        <w:rPr>
          <w:rFonts w:ascii="Calibri" w:hAnsi="Calibri" w:eastAsia="Calibri" w:cs="Calibri"/>
          <w:color w:val="000000"/>
          <w:sz w:val="22"/>
          <w:szCs w:val="22"/>
        </w:rPr>
        <w:t xml:space="preserve">tidiosa in plants required for transmission by an efficient vector.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1197-1201. </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D, Purcell A (2002)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cause of Pierce’s disease of grapevine and other emergent diseases.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1056-1066. </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(2018) ISPM 27 Diagnostic protocols for regulated pests. DP 25: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FAO, Rome, 32 pp. </w:t>
      </w:r>
      <w:hyperlink r:id="rId24106ad5c4d5ae0b7" w:history="1">
        <w:r>
          <w:rPr>
            <w:rFonts w:ascii="Calibri" w:hAnsi="Calibri" w:eastAsia="Calibri" w:cs="Calibri"/>
            <w:color w:val="0000CC"/>
            <w:sz w:val="22"/>
            <w:szCs w:val="22"/>
            <w:u w:val="single"/>
          </w:rPr>
          <w:t xml:space="preserve">https://www.ippc.int/static/media/files/publication/en/2018/09/DP_25_2018_Xylellafastidiosa_2018-09-21.pdf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Krugner R (2011) Evaluation of pathogenicity and insect transmission of </w:t>
      </w:r>
      <w:r>
        <w:rPr>
          <w:rFonts w:ascii="Calibri" w:hAnsi="Calibri" w:eastAsia="Calibri" w:cs="Calibri"/>
          <w:i/>
          <w:iCs/>
          <w:color w:val="000000"/>
          <w:sz w:val="22"/>
          <w:szCs w:val="22"/>
        </w:rPr>
        <w:t xml:space="preserve">Xylella fastidiosa </w:t>
      </w:r>
      <w:r>
        <w:rPr>
          <w:rFonts w:ascii="Calibri" w:hAnsi="Calibri" w:eastAsia="Calibri" w:cs="Calibri"/>
          <w:color w:val="000000"/>
          <w:sz w:val="22"/>
          <w:szCs w:val="22"/>
        </w:rPr>
        <w:t xml:space="preserve">strains to olive Plants. In: California Olive Committee, Final &amp; Interim Research Reports 2010, Compiled by MW Johnson, 3-11. </w:t>
      </w:r>
    </w:p>
    <w:p>
      <w:pPr>
        <w:widowControl w:val="on"/>
        <w:pBdr/>
        <w:spacing w:before="220" w:after="220" w:line="240" w:lineRule="auto"/>
        <w:ind w:left="0" w:right="0"/>
        <w:jc w:val="left"/>
      </w:pPr>
      <w:r>
        <w:rPr>
          <w:rFonts w:ascii="Calibri" w:hAnsi="Calibri" w:eastAsia="Calibri" w:cs="Calibri"/>
          <w:color w:val="000000"/>
          <w:sz w:val="22"/>
          <w:szCs w:val="22"/>
        </w:rPr>
        <w:t xml:space="preserve">Kyrkou I, Pusa T, Ellegaard-Jensen L, Sagot M-F, Hansen LH (2018) Pierce’s disease of grapevines: A review of control strategies and an outline of an epidemiological model.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2141. </w:t>
      </w:r>
      <w:hyperlink r:id="rId33346ad5c4d5ae185" w:history="1">
        <w:r>
          <w:rPr>
            <w:rFonts w:ascii="Calibri" w:hAnsi="Calibri" w:eastAsia="Calibri" w:cs="Calibri"/>
            <w:color w:val="0000CC"/>
            <w:sz w:val="22"/>
            <w:szCs w:val="22"/>
            <w:u w:val="single"/>
          </w:rPr>
          <w:t xml:space="preserve">https://doi.org/10.3389/fmicb.2018.02141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Kumar A, Lee WS, Ehsani RJ, Albrigo LG, Yang C, Mangan RL (2012) Citrus greening disease detection using aerial hyperspectral and multispectral imaging techniques. </w:t>
      </w:r>
      <w:r>
        <w:rPr>
          <w:rFonts w:ascii="Calibri" w:hAnsi="Calibri" w:eastAsia="Calibri" w:cs="Calibri"/>
          <w:i/>
          <w:iCs/>
          <w:color w:val="000000"/>
          <w:sz w:val="22"/>
          <w:szCs w:val="22"/>
        </w:rPr>
        <w:t xml:space="preserve">Journal of Applied Remote Sensing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(1), 063542. </w:t>
      </w:r>
      <w:hyperlink r:id="rId87866ad5c4d5ae20b" w:history="1">
        <w:r>
          <w:rPr>
            <w:rFonts w:ascii="Calibri" w:hAnsi="Calibri" w:eastAsia="Calibri" w:cs="Calibri"/>
            <w:color w:val="0000CC"/>
            <w:sz w:val="22"/>
            <w:szCs w:val="22"/>
            <w:u w:val="single"/>
          </w:rPr>
          <w:t xml:space="preserve">https://doi.org/10.1117/1.JRS.6.063542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 H, Lee WS, Wang K, Ehsani R, Yang C (2014) ‘Extended spectral angle mapping (ESAM)’ for citrus greening disease detection using airborne hyperspectral imaging. </w:t>
      </w:r>
      <w:r>
        <w:rPr>
          <w:rFonts w:ascii="Calibri" w:hAnsi="Calibri" w:eastAsia="Calibri" w:cs="Calibri"/>
          <w:i/>
          <w:iCs/>
          <w:color w:val="000000"/>
          <w:sz w:val="22"/>
          <w:szCs w:val="22"/>
        </w:rPr>
        <w:t xml:space="preserve">Precision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162-183. </w:t>
      </w:r>
    </w:p>
    <w:p>
      <w:pPr>
        <w:widowControl w:val="on"/>
        <w:pBdr/>
        <w:spacing w:before="220" w:after="220" w:line="240" w:lineRule="auto"/>
        <w:ind w:left="0" w:right="0"/>
        <w:jc w:val="left"/>
      </w:pPr>
      <w:r>
        <w:rPr>
          <w:rFonts w:ascii="Calibri" w:hAnsi="Calibri" w:eastAsia="Calibri" w:cs="Calibri"/>
          <w:color w:val="000000"/>
          <w:sz w:val="22"/>
          <w:szCs w:val="22"/>
        </w:rPr>
        <w:t xml:space="preserve">Lopes JRS, Daugherty MP, Almeida RPP (2010) Strain origin drives virulence and persistence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in alfalfa.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963-971. </w:t>
      </w:r>
    </w:p>
    <w:p>
      <w:pPr>
        <w:widowControl w:val="on"/>
        <w:pBdr/>
        <w:spacing w:before="220" w:after="220" w:line="240" w:lineRule="auto"/>
        <w:ind w:left="0" w:right="0"/>
        <w:jc w:val="left"/>
      </w:pPr>
      <w:r>
        <w:rPr>
          <w:rFonts w:ascii="Calibri" w:hAnsi="Calibri" w:eastAsia="Calibri" w:cs="Calibri"/>
          <w:color w:val="000000"/>
          <w:sz w:val="22"/>
          <w:szCs w:val="22"/>
        </w:rPr>
        <w:t xml:space="preserve">Lopes JRS, Krugner R and Brown J (2016) Transmission ecology and epidemiology of the citrus variegated chlorosis strain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In: Brown JK (ed.). </w:t>
      </w:r>
      <w:r>
        <w:rPr>
          <w:rFonts w:ascii="Calibri" w:hAnsi="Calibri" w:eastAsia="Calibri" w:cs="Calibri"/>
          <w:i/>
          <w:iCs/>
          <w:color w:val="000000"/>
          <w:sz w:val="22"/>
          <w:szCs w:val="22"/>
        </w:rPr>
        <w:t xml:space="preserve">Vector-mediated Transmission of Plant Pathogens</w:t>
      </w:r>
      <w:r>
        <w:rPr>
          <w:rFonts w:ascii="Calibri" w:hAnsi="Calibri" w:eastAsia="Calibri" w:cs="Calibri"/>
          <w:color w:val="000000"/>
          <w:sz w:val="22"/>
          <w:szCs w:val="22"/>
        </w:rPr>
        <w:t xml:space="preserve">. APS Press, pp. 195-208.</w:t>
      </w:r>
    </w:p>
    <w:p>
      <w:pPr>
        <w:widowControl w:val="on"/>
        <w:pBdr/>
        <w:spacing w:before="220" w:after="220" w:line="240" w:lineRule="auto"/>
        <w:ind w:left="0" w:right="0"/>
        <w:jc w:val="left"/>
      </w:pPr>
      <w:r>
        <w:rPr>
          <w:rFonts w:ascii="Calibri" w:hAnsi="Calibri" w:eastAsia="Calibri" w:cs="Calibri"/>
          <w:color w:val="000000"/>
          <w:sz w:val="22"/>
          <w:szCs w:val="22"/>
        </w:rPr>
        <w:t xml:space="preserve">Maiden MC, Bygraves JA, Feil E, Morelli G, Russell JE, Urwin R, Zhang Q, Zhou J, Zurth K, Caugant DA, Feavers IM, Achtman M, Spratt BG (1998) Multilocus sequence typing: a portable approach to the identification of clones within populations of pathogenic microorganisms. </w:t>
      </w:r>
      <w:r>
        <w:rPr>
          <w:rFonts w:ascii="Calibri" w:hAnsi="Calibri" w:eastAsia="Calibri" w:cs="Calibri"/>
          <w:i/>
          <w:iCs/>
          <w:color w:val="000000"/>
          <w:sz w:val="22"/>
          <w:szCs w:val="22"/>
        </w:rPr>
        <w:t xml:space="preserve">Proceedings of the National Academy of Sciences of the United States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3140-3145. </w:t>
      </w:r>
    </w:p>
    <w:p>
      <w:pPr>
        <w:widowControl w:val="on"/>
        <w:pBdr/>
        <w:spacing w:before="220" w:after="220" w:line="240" w:lineRule="auto"/>
        <w:ind w:left="0" w:right="0"/>
        <w:jc w:val="left"/>
      </w:pPr>
      <w:r>
        <w:rPr>
          <w:rFonts w:ascii="Calibri" w:hAnsi="Calibri" w:eastAsia="Calibri" w:cs="Calibri"/>
          <w:color w:val="000000"/>
          <w:sz w:val="22"/>
          <w:szCs w:val="22"/>
        </w:rPr>
        <w:t xml:space="preserve">Martelli GP (2016) Il punto su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e disseccamento rapido dell’olivo</w:t>
      </w:r>
      <w:r>
        <w:rPr>
          <w:rFonts w:ascii="Calibri" w:hAnsi="Calibri" w:eastAsia="Calibri" w:cs="Calibri"/>
          <w:i/>
          <w:iCs/>
          <w:color w:val="000000"/>
          <w:sz w:val="22"/>
          <w:szCs w:val="22"/>
        </w:rPr>
        <w:t xml:space="preserve">. L’informatore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40-48.</w:t>
      </w:r>
    </w:p>
    <w:p>
      <w:pPr>
        <w:widowControl w:val="on"/>
        <w:pBdr/>
        <w:spacing w:before="220" w:after="220" w:line="240" w:lineRule="auto"/>
        <w:ind w:left="0" w:right="0"/>
        <w:jc w:val="left"/>
      </w:pPr>
      <w:r>
        <w:rPr>
          <w:rFonts w:ascii="Calibri" w:hAnsi="Calibri" w:eastAsia="Calibri" w:cs="Calibri"/>
          <w:color w:val="000000"/>
          <w:sz w:val="22"/>
          <w:szCs w:val="22"/>
        </w:rPr>
        <w:t xml:space="preserve">Noordijk J, den Bieman CFM, de Haas MS and Colijn Ed O (2019) Xyleemzuigende cicaden, potentiële vectoren van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rondom boomkwekerijen en glastuinbouw. EIS Kenniscentrum Insecten, Leiden. NVWA, afdeling NRC, EIS2019-06. Available online at: </w:t>
      </w:r>
      <w:hyperlink r:id="rId46086ad5c4d5ae4d6" w:history="1">
        <w:r>
          <w:rPr>
            <w:rFonts w:ascii="Calibri" w:hAnsi="Calibri" w:eastAsia="Calibri" w:cs="Calibri"/>
            <w:color w:val="0000CC"/>
            <w:sz w:val="22"/>
            <w:szCs w:val="22"/>
            <w:u w:val="single"/>
          </w:rPr>
          <w:t xml:space="preserve">https://www.eisnederland.nl/DesktopModules/Bring2mind/DMX/Download.aspx?command=core_download&amp;entryid=801&amp;language=nl-NL&amp;PortalId=4&amp;TabId=563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Nunney L, Ortiz B, Russell SA, Ruiz Sanchez R, Stouthamer R (2014) The complex biogeography of the plant pathogen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genetic evidence of introductions and subspecific introgression in Central America.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e112463.</w:t>
      </w:r>
    </w:p>
    <w:p>
      <w:pPr>
        <w:widowControl w:val="on"/>
        <w:pBdr/>
        <w:spacing w:before="220" w:after="220" w:line="240" w:lineRule="auto"/>
        <w:ind w:left="0" w:right="0"/>
        <w:jc w:val="left"/>
      </w:pPr>
      <w:r>
        <w:rPr>
          <w:rFonts w:ascii="Calibri" w:hAnsi="Calibri" w:eastAsia="Calibri" w:cs="Calibri"/>
          <w:color w:val="000000"/>
          <w:sz w:val="22"/>
          <w:szCs w:val="22"/>
        </w:rPr>
        <w:t xml:space="preserve">Nunney L, Azad H, Stouthamer R (2019) An experimental test of the host-plant range of nonrecombinant strains of North American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multiplex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(2), 294-300. </w:t>
      </w:r>
    </w:p>
    <w:p>
      <w:pPr>
        <w:widowControl w:val="on"/>
        <w:pBdr/>
        <w:spacing w:before="220" w:after="220" w:line="240" w:lineRule="auto"/>
        <w:ind w:left="0" w:right="0"/>
        <w:jc w:val="left"/>
      </w:pPr>
      <w:r>
        <w:rPr>
          <w:rFonts w:ascii="Calibri" w:hAnsi="Calibri" w:eastAsia="Calibri" w:cs="Calibri"/>
          <w:color w:val="000000"/>
          <w:sz w:val="22"/>
          <w:szCs w:val="22"/>
        </w:rPr>
        <w:t xml:space="preserve">Purcell AH (1980) Almond leaf scorch: leafhopper and spittlebug vectors.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834-838.</w:t>
      </w:r>
    </w:p>
    <w:p>
      <w:pPr>
        <w:widowControl w:val="on"/>
        <w:pBdr/>
        <w:spacing w:before="220" w:after="220" w:line="240" w:lineRule="auto"/>
        <w:ind w:left="0" w:right="0"/>
        <w:jc w:val="left"/>
      </w:pPr>
      <w:r>
        <w:rPr>
          <w:rFonts w:ascii="Calibri" w:hAnsi="Calibri" w:eastAsia="Calibri" w:cs="Calibri"/>
          <w:color w:val="000000"/>
          <w:sz w:val="22"/>
          <w:szCs w:val="22"/>
        </w:rPr>
        <w:t xml:space="preserve">Purcell AH (1989) Homopteran transmission of xylem-inhabiting bacteria. In: Harris KF (ed). </w:t>
      </w:r>
      <w:r>
        <w:rPr>
          <w:rFonts w:ascii="Calibri" w:hAnsi="Calibri" w:eastAsia="Calibri" w:cs="Calibri"/>
          <w:i/>
          <w:iCs/>
          <w:color w:val="000000"/>
          <w:sz w:val="22"/>
          <w:szCs w:val="22"/>
        </w:rPr>
        <w:t xml:space="preserve">Advances in disease vector research</w:t>
      </w:r>
      <w:r>
        <w:rPr>
          <w:rFonts w:ascii="Calibri" w:hAnsi="Calibri" w:eastAsia="Calibri" w:cs="Calibri"/>
          <w:color w:val="000000"/>
          <w:sz w:val="22"/>
          <w:szCs w:val="22"/>
        </w:rPr>
        <w:t xml:space="preserve">. Vol 6. Springer, New York, USA, 243-266. </w:t>
      </w:r>
    </w:p>
    <w:p>
      <w:pPr>
        <w:widowControl w:val="on"/>
        <w:pBdr/>
        <w:spacing w:before="220" w:after="220" w:line="240" w:lineRule="auto"/>
        <w:ind w:left="0" w:right="0"/>
        <w:jc w:val="left"/>
      </w:pPr>
      <w:r>
        <w:rPr>
          <w:rFonts w:ascii="Calibri" w:hAnsi="Calibri" w:eastAsia="Calibri" w:cs="Calibri"/>
          <w:color w:val="000000"/>
          <w:sz w:val="22"/>
          <w:szCs w:val="22"/>
        </w:rPr>
        <w:t xml:space="preserve">Purcell AH, Finlay AH (1979) Evidence for noncirculative transmission of Pierce’s disease bacterium by sharpshooter leafhoppers.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393-395. </w:t>
      </w:r>
    </w:p>
    <w:p>
      <w:pPr>
        <w:widowControl w:val="on"/>
        <w:pBdr/>
        <w:spacing w:before="220" w:after="220" w:line="240" w:lineRule="auto"/>
        <w:ind w:left="0" w:right="0"/>
        <w:jc w:val="left"/>
      </w:pPr>
      <w:r>
        <w:rPr>
          <w:rFonts w:ascii="Calibri" w:hAnsi="Calibri" w:eastAsia="Calibri" w:cs="Calibri"/>
          <w:color w:val="000000"/>
          <w:sz w:val="22"/>
          <w:szCs w:val="22"/>
        </w:rPr>
        <w:t xml:space="preserve">Puterka GJ, Reinke M, Luvisi D, Ciomperik MA, Bartels D, Wendel L, Glenn DM (2003) Particle film, surround WP, effects on glassy-winged sharpshooter behavior and its utility as a barrier to sharpshooter infestations in grape. Online.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hyperlink r:id="rId90756ad5c4d5ae7b1" w:history="1">
        <w:r>
          <w:rPr>
            <w:rFonts w:ascii="Calibri" w:hAnsi="Calibri" w:eastAsia="Calibri" w:cs="Calibri"/>
            <w:color w:val="0000CC"/>
            <w:sz w:val="22"/>
            <w:szCs w:val="22"/>
            <w:u w:val="single"/>
          </w:rPr>
          <w:t xml:space="preserve">https://doi.org/10.1094/PHP-2003-0321-01-RS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Redak RA, Purcell AH, Lopes JR, Blua MJ, Mizell Iii, RF and Andersen PC (2004) The biology of xylem fluid-feeding insect vectors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and their relation to disease epidemiology. </w:t>
      </w:r>
      <w:r>
        <w:rPr>
          <w:rFonts w:ascii="Calibri" w:hAnsi="Calibri" w:eastAsia="Calibri" w:cs="Calibri"/>
          <w:i/>
          <w:iCs/>
          <w:color w:val="000000"/>
          <w:sz w:val="22"/>
          <w:szCs w:val="22"/>
        </w:rPr>
        <w:t xml:space="preserve">Annual Reviews in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(1), 243-270. </w:t>
      </w:r>
    </w:p>
    <w:p>
      <w:pPr>
        <w:widowControl w:val="on"/>
        <w:pBdr/>
        <w:spacing w:before="220" w:after="220" w:line="240" w:lineRule="auto"/>
        <w:ind w:left="0" w:right="0"/>
        <w:jc w:val="left"/>
      </w:pPr>
      <w:r>
        <w:rPr>
          <w:rFonts w:ascii="Calibri" w:hAnsi="Calibri" w:eastAsia="Calibri" w:cs="Calibri"/>
          <w:color w:val="000000"/>
          <w:sz w:val="22"/>
          <w:szCs w:val="22"/>
        </w:rPr>
        <w:t xml:space="preserve">Saponari M, Boscia D, Nigro F, Martelli GP (2013) Identification of DNA sequences related to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in oleander, almond and olive trees exhibiting leaf scorch symptoms in Apulia (Southern Italy).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659-668.</w:t>
      </w:r>
    </w:p>
    <w:p>
      <w:pPr>
        <w:widowControl w:val="on"/>
        <w:pBdr/>
        <w:spacing w:before="220" w:after="220" w:line="240" w:lineRule="auto"/>
        <w:ind w:left="0" w:right="0"/>
        <w:jc w:val="left"/>
      </w:pPr>
      <w:r>
        <w:rPr>
          <w:rFonts w:ascii="Calibri" w:hAnsi="Calibri" w:eastAsia="Calibri" w:cs="Calibri"/>
          <w:color w:val="000000"/>
          <w:sz w:val="22"/>
          <w:szCs w:val="22"/>
        </w:rPr>
        <w:t xml:space="preserve">Saponari M, Loconsole G, Cornara D, Yokomi RK, De Stradis A, Boscia D, Bosco D, Martelli GP, Krugner R, Porcelli F (2014) Infectivity and transmission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Philaenus spumarius</w:t>
      </w:r>
      <w:r>
        <w:rPr>
          <w:rFonts w:ascii="Calibri" w:hAnsi="Calibri" w:eastAsia="Calibri" w:cs="Calibri"/>
          <w:color w:val="000000"/>
          <w:sz w:val="22"/>
          <w:szCs w:val="22"/>
        </w:rPr>
        <w:t xml:space="preserve"> (Hemiptera: Aphrophoridae) in Apulia, Italy.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(4), 1316-1319. </w:t>
      </w:r>
    </w:p>
    <w:p>
      <w:pPr>
        <w:widowControl w:val="on"/>
        <w:pBdr/>
        <w:spacing w:before="220" w:after="220" w:line="240" w:lineRule="auto"/>
        <w:ind w:left="0" w:right="0"/>
        <w:jc w:val="left"/>
      </w:pPr>
      <w:r>
        <w:rPr>
          <w:rFonts w:ascii="Calibri" w:hAnsi="Calibri" w:eastAsia="Calibri" w:cs="Calibri"/>
          <w:color w:val="000000"/>
          <w:sz w:val="22"/>
          <w:szCs w:val="22"/>
        </w:rPr>
        <w:t xml:space="preserve">Scally M, Schuenzel EL, Stouthamer R, Nunney L (2005) A multilocus sequence type system for the plant pathogen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and the relative contribution of recombination versus point mutation to clonal diversity.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8491-8499. </w:t>
      </w:r>
    </w:p>
    <w:p>
      <w:pPr>
        <w:widowControl w:val="on"/>
        <w:pBdr/>
        <w:spacing w:before="220" w:after="220" w:line="240" w:lineRule="auto"/>
        <w:ind w:left="0" w:right="0"/>
        <w:jc w:val="left"/>
      </w:pPr>
      <w:r>
        <w:rPr>
          <w:rFonts w:ascii="Calibri" w:hAnsi="Calibri" w:eastAsia="Calibri" w:cs="Calibri"/>
          <w:color w:val="000000"/>
          <w:sz w:val="22"/>
          <w:szCs w:val="22"/>
        </w:rPr>
        <w:t xml:space="preserve">Scortichini M, Chen J, De Caroli M, Dalessandro G, Pucci N, Modesti V, L’Aurora A, Petriccione M, Zampella L, Mastrobuoni F, Migoni D, Del Coco L, Girelli CR, Piacente F, Cristella N, Marangi P, Laddomada F, Di Cesare M, Cesari G, Fanizzi FP, Loreti S (2018) A zinc, copper and citric acid biocomplex shows promise for control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pauca</w:t>
      </w:r>
      <w:r>
        <w:rPr>
          <w:rFonts w:ascii="Calibri" w:hAnsi="Calibri" w:eastAsia="Calibri" w:cs="Calibri"/>
          <w:color w:val="000000"/>
          <w:sz w:val="22"/>
          <w:szCs w:val="22"/>
        </w:rPr>
        <w:t xml:space="preserve"> in olive trees in Apulia region (southern Italy).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48-72. </w:t>
      </w:r>
    </w:p>
    <w:p>
      <w:pPr>
        <w:widowControl w:val="on"/>
        <w:pBdr/>
        <w:spacing w:before="220" w:after="220" w:line="240" w:lineRule="auto"/>
        <w:ind w:left="0" w:right="0"/>
        <w:jc w:val="left"/>
      </w:pPr>
      <w:r>
        <w:rPr>
          <w:rFonts w:ascii="Calibri" w:hAnsi="Calibri" w:eastAsia="Calibri" w:cs="Calibri"/>
          <w:color w:val="000000"/>
          <w:sz w:val="22"/>
          <w:szCs w:val="22"/>
        </w:rPr>
        <w:t xml:space="preserve">Severin HHP (1950) Spittle-insect vectors of Pierce’s disease virus: II. Life history and virus transmission. </w:t>
      </w:r>
      <w:r>
        <w:rPr>
          <w:rFonts w:ascii="Calibri" w:hAnsi="Calibri" w:eastAsia="Calibri" w:cs="Calibri"/>
          <w:i/>
          <w:iCs/>
          <w:color w:val="000000"/>
          <w:sz w:val="22"/>
          <w:szCs w:val="22"/>
        </w:rPr>
        <w:t xml:space="preserve">Hilgardia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357-382.</w:t>
      </w:r>
    </w:p>
    <w:p>
      <w:pPr>
        <w:widowControl w:val="on"/>
        <w:pBdr/>
        <w:spacing w:before="220" w:after="220" w:line="240" w:lineRule="auto"/>
        <w:ind w:left="0" w:right="0"/>
        <w:jc w:val="left"/>
      </w:pPr>
      <w:r>
        <w:rPr>
          <w:rFonts w:ascii="Calibri" w:hAnsi="Calibri" w:eastAsia="Calibri" w:cs="Calibri"/>
          <w:color w:val="000000"/>
          <w:sz w:val="22"/>
          <w:szCs w:val="22"/>
        </w:rPr>
        <w:t xml:space="preserve">Su T, Mulla MS (2001) Effects of temperature on development, mortality, mating and blood feeding behavior of </w:t>
      </w:r>
      <w:r>
        <w:rPr>
          <w:rFonts w:ascii="Calibri" w:hAnsi="Calibri" w:eastAsia="Calibri" w:cs="Calibri"/>
          <w:i/>
          <w:iCs/>
          <w:color w:val="000000"/>
          <w:sz w:val="22"/>
          <w:szCs w:val="22"/>
        </w:rPr>
        <w:t xml:space="preserve">Culiseta incidens</w:t>
      </w:r>
      <w:r>
        <w:rPr>
          <w:rFonts w:ascii="Calibri" w:hAnsi="Calibri" w:eastAsia="Calibri" w:cs="Calibri"/>
          <w:color w:val="000000"/>
          <w:sz w:val="22"/>
          <w:szCs w:val="22"/>
        </w:rPr>
        <w:t xml:space="preserve"> (Diptera: Culicidae). </w:t>
      </w:r>
      <w:r>
        <w:rPr>
          <w:rFonts w:ascii="Calibri" w:hAnsi="Calibri" w:eastAsia="Calibri" w:cs="Calibri"/>
          <w:i/>
          <w:iCs/>
          <w:color w:val="000000"/>
          <w:sz w:val="22"/>
          <w:szCs w:val="22"/>
        </w:rPr>
        <w:t xml:space="preserve">Journal of Vector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83-92. </w:t>
      </w:r>
    </w:p>
    <w:p>
      <w:pPr>
        <w:widowControl w:val="on"/>
        <w:pBdr/>
        <w:spacing w:before="220" w:after="220" w:line="240" w:lineRule="auto"/>
        <w:ind w:left="0" w:right="0"/>
        <w:jc w:val="left"/>
      </w:pPr>
      <w:r>
        <w:rPr>
          <w:rFonts w:ascii="Calibri" w:hAnsi="Calibri" w:eastAsia="Calibri" w:cs="Calibri"/>
          <w:color w:val="000000"/>
          <w:sz w:val="22"/>
          <w:szCs w:val="22"/>
        </w:rPr>
        <w:t xml:space="preserve">Su CC, Chang CJ, Chang CM, Shih HT, Tzeng KC, Jan FJ, Kao CW, Deng, WL (2013) Pierce's disease of grapevines in Taiwan: isolation, cultivation and pathogenicity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161</w:t>
      </w:r>
      <w:r>
        <w:rPr>
          <w:rFonts w:ascii="Calibri" w:hAnsi="Calibri" w:eastAsia="Calibri" w:cs="Calibri"/>
          <w:color w:val="000000"/>
          <w:sz w:val="22"/>
          <w:szCs w:val="22"/>
        </w:rPr>
        <w:t xml:space="preserve">(6), 389-396. </w:t>
      </w:r>
    </w:p>
    <w:p>
      <w:pPr>
        <w:widowControl w:val="on"/>
        <w:pBdr/>
        <w:spacing w:before="220" w:after="220" w:line="240" w:lineRule="auto"/>
        <w:ind w:left="0" w:right="0"/>
        <w:jc w:val="left"/>
      </w:pPr>
      <w:r>
        <w:rPr>
          <w:rFonts w:ascii="Calibri" w:hAnsi="Calibri" w:eastAsia="Calibri" w:cs="Calibri"/>
          <w:color w:val="000000"/>
          <w:sz w:val="22"/>
          <w:szCs w:val="22"/>
        </w:rPr>
        <w:t xml:space="preserve">Su CC, Deng WL, Jan FJ, Chang CJ, Huang H, Shih HT, Chen J (2016) </w:t>
      </w:r>
      <w:r>
        <w:rPr>
          <w:rFonts w:ascii="Calibri" w:hAnsi="Calibri" w:eastAsia="Calibri" w:cs="Calibri"/>
          <w:i/>
          <w:iCs/>
          <w:color w:val="000000"/>
          <w:sz w:val="22"/>
          <w:szCs w:val="22"/>
        </w:rPr>
        <w:t xml:space="preserve">Xylella taiwanensi</w:t>
      </w:r>
      <w:r>
        <w:rPr>
          <w:rFonts w:ascii="Calibri" w:hAnsi="Calibri" w:eastAsia="Calibri" w:cs="Calibri"/>
          <w:color w:val="000000"/>
          <w:sz w:val="22"/>
          <w:szCs w:val="22"/>
        </w:rPr>
        <w:t xml:space="preserve">s sp. nov., causing pear leaf scorch disease.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(11), 4766-4771. </w:t>
      </w:r>
    </w:p>
    <w:p>
      <w:pPr>
        <w:widowControl w:val="on"/>
        <w:pBdr/>
        <w:spacing w:before="220" w:after="220" w:line="240" w:lineRule="auto"/>
        <w:ind w:left="0" w:right="0"/>
        <w:jc w:val="left"/>
      </w:pPr>
      <w:r>
        <w:rPr>
          <w:rFonts w:ascii="Calibri" w:hAnsi="Calibri" w:eastAsia="Calibri" w:cs="Calibri"/>
          <w:color w:val="000000"/>
          <w:sz w:val="22"/>
          <w:szCs w:val="22"/>
        </w:rPr>
        <w:t xml:space="preserve">Temsah M, Hanna I, Saad A (2015) First report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associated with oleander leaf scorch in Lebanon. </w:t>
      </w:r>
      <w:r>
        <w:rPr>
          <w:rFonts w:ascii="Calibri" w:hAnsi="Calibri" w:eastAsia="Calibri" w:cs="Calibri"/>
          <w:i/>
          <w:iCs/>
          <w:color w:val="000000"/>
          <w:sz w:val="22"/>
          <w:szCs w:val="22"/>
        </w:rPr>
        <w:t xml:space="preserve">Journal of 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131-137.</w:t>
      </w:r>
    </w:p>
    <w:p>
      <w:pPr>
        <w:widowControl w:val="on"/>
        <w:pBdr/>
        <w:spacing w:before="220" w:after="220" w:line="240" w:lineRule="auto"/>
        <w:ind w:left="0" w:right="0"/>
        <w:jc w:val="left"/>
      </w:pPr>
      <w:r>
        <w:rPr>
          <w:rFonts w:ascii="Calibri" w:hAnsi="Calibri" w:eastAsia="Calibri" w:cs="Calibri"/>
          <w:color w:val="000000"/>
          <w:sz w:val="22"/>
          <w:szCs w:val="22"/>
        </w:rPr>
        <w:t xml:space="preserve">Tumber KP, Alston JM, Fuller KB (2014) Pierce’s disease costs California $104 million per year. California Agriculture 68(1-2), 20-29.</w:t>
      </w:r>
    </w:p>
    <w:p>
      <w:pPr>
        <w:widowControl w:val="on"/>
        <w:pBdr/>
        <w:spacing w:before="220" w:after="220" w:line="240" w:lineRule="auto"/>
        <w:ind w:left="0" w:right="0"/>
        <w:jc w:val="left"/>
      </w:pPr>
      <w:r>
        <w:rPr>
          <w:rFonts w:ascii="Calibri" w:hAnsi="Calibri" w:eastAsia="Calibri" w:cs="Calibri"/>
          <w:color w:val="000000"/>
          <w:sz w:val="22"/>
          <w:szCs w:val="22"/>
        </w:rPr>
        <w:t xml:space="preserve">Tubajika KM, Civerolo EL, Puterka GJ, Hashimd JM, Luvisid DA (2007) The effects of kaolin, harpin, and imidacloprid on development of Pierce’s disease in grape.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92-99.</w:t>
      </w:r>
    </w:p>
    <w:p>
      <w:pPr>
        <w:widowControl w:val="on"/>
        <w:pBdr/>
        <w:spacing w:before="220" w:after="220" w:line="240" w:lineRule="auto"/>
        <w:ind w:left="0" w:right="0"/>
        <w:jc w:val="left"/>
      </w:pPr>
      <w:r>
        <w:rPr>
          <w:rFonts w:ascii="Calibri" w:hAnsi="Calibri" w:eastAsia="Calibri" w:cs="Calibri"/>
          <w:color w:val="000000"/>
          <w:sz w:val="22"/>
          <w:szCs w:val="22"/>
        </w:rPr>
        <w:t xml:space="preserve">Walker A, Cantu D, Riaz S, Agüero C (2017) Molecular breeding support for the development of Pierce’s disease resistant winegrapes. In: </w:t>
      </w:r>
      <w:r>
        <w:rPr>
          <w:rFonts w:ascii="Calibri" w:hAnsi="Calibri" w:eastAsia="Calibri" w:cs="Calibri"/>
          <w:i/>
          <w:iCs/>
          <w:color w:val="000000"/>
          <w:sz w:val="22"/>
          <w:szCs w:val="22"/>
        </w:rPr>
        <w:t xml:space="preserve">Proceedings of Pierce’s Disease Research Symposium</w:t>
      </w:r>
      <w:r>
        <w:rPr>
          <w:rFonts w:ascii="Calibri" w:hAnsi="Calibri" w:eastAsia="Calibri" w:cs="Calibri"/>
          <w:color w:val="000000"/>
          <w:sz w:val="22"/>
          <w:szCs w:val="22"/>
        </w:rPr>
        <w:t xml:space="preserve">, 137-147.</w:t>
      </w:r>
    </w:p>
    <w:p>
      <w:pPr>
        <w:widowControl w:val="on"/>
        <w:pBdr/>
        <w:spacing w:before="220" w:after="220" w:line="240" w:lineRule="auto"/>
        <w:ind w:left="0" w:right="0"/>
        <w:jc w:val="left"/>
      </w:pPr>
      <w:r>
        <w:rPr>
          <w:rFonts w:ascii="Calibri" w:hAnsi="Calibri" w:eastAsia="Calibri" w:cs="Calibri"/>
          <w:color w:val="000000"/>
          <w:sz w:val="22"/>
          <w:szCs w:val="22"/>
        </w:rPr>
        <w:t xml:space="preserve">Vanhove M, Adam C., Retchless AC, Sicard A, Rieux A, Coletta-Filho HD, De La Fuente L, Stenger DC, Almeida RPP (2019) Genomic diversity and recombination among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subspecies.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e02972-18. </w:t>
      </w:r>
      <w:hyperlink r:id="rId38016ad5c4d5aeeba" w:history="1">
        <w:r>
          <w:rPr>
            <w:rFonts w:ascii="Calibri" w:hAnsi="Calibri" w:eastAsia="Calibri" w:cs="Calibri"/>
            <w:color w:val="0000CC"/>
            <w:sz w:val="22"/>
            <w:szCs w:val="22"/>
            <w:u w:val="single"/>
          </w:rPr>
          <w:t xml:space="preserve">https://doi.org/10.1128/AEM.02972-18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Weaver CR, King DR (1954) Meadow spittlebug. Research Bulletin no. 741. </w:t>
      </w:r>
      <w:r>
        <w:rPr>
          <w:rFonts w:ascii="Calibri" w:hAnsi="Calibri" w:eastAsia="Calibri" w:cs="Calibri"/>
          <w:i/>
          <w:iCs/>
          <w:color w:val="000000"/>
          <w:sz w:val="22"/>
          <w:szCs w:val="22"/>
        </w:rPr>
        <w:t xml:space="preserve">Ohio Agricultural Experiment Station</w:t>
      </w:r>
      <w:r>
        <w:rPr>
          <w:rFonts w:ascii="Calibri" w:hAnsi="Calibri" w:eastAsia="Calibri" w:cs="Calibri"/>
          <w:color w:val="000000"/>
          <w:sz w:val="22"/>
          <w:szCs w:val="22"/>
        </w:rPr>
        <w:t xml:space="preserve">, Wooster, OH. </w:t>
      </w:r>
    </w:p>
    <w:p>
      <w:pPr>
        <w:widowControl w:val="on"/>
        <w:pBdr/>
        <w:spacing w:before="220" w:after="220" w:line="240" w:lineRule="auto"/>
        <w:ind w:left="0" w:right="0"/>
        <w:jc w:val="left"/>
      </w:pPr>
      <w:r>
        <w:rPr>
          <w:rFonts w:ascii="Calibri" w:hAnsi="Calibri" w:eastAsia="Calibri" w:cs="Calibri"/>
          <w:color w:val="000000"/>
          <w:sz w:val="22"/>
          <w:szCs w:val="22"/>
        </w:rPr>
        <w:t xml:space="preserve">Young DA (1968) Taxonomic study of the Cicadellinae (Homoptera: Cicadellidae). Part 1. Proconinii. United States National Museum Bulletin 261. Washington, DC, USA. </w:t>
      </w:r>
    </w:p>
    <w:p>
      <w:pPr>
        <w:widowControl w:val="on"/>
        <w:pBdr/>
        <w:spacing w:before="220" w:after="220" w:line="240" w:lineRule="auto"/>
        <w:ind w:left="0" w:right="0"/>
        <w:jc w:val="left"/>
      </w:pPr>
      <w:r>
        <w:rPr>
          <w:rFonts w:ascii="Calibri" w:hAnsi="Calibri" w:eastAsia="Calibri" w:cs="Calibri"/>
          <w:color w:val="000000"/>
          <w:sz w:val="22"/>
          <w:szCs w:val="22"/>
        </w:rPr>
        <w:t xml:space="preserve">Young DA (1977) Taxonomic study of the Cicadellinae (Homoptera: Cicadellidae). Part 2. New World Cicadellini and the genus Cicadella. North Carolina Agricultural Experiment Station Bulletin 239. Raleigh, North Carolina, USA.</w:t>
      </w:r>
    </w:p>
    <w:p>
      <w:pPr>
        <w:widowControl w:val="on"/>
        <w:pBdr/>
        <w:spacing w:before="220" w:after="220" w:line="240" w:lineRule="auto"/>
        <w:ind w:left="0" w:right="0"/>
        <w:jc w:val="left"/>
      </w:pPr>
      <w:r>
        <w:rPr>
          <w:rFonts w:ascii="Calibri" w:hAnsi="Calibri" w:eastAsia="Calibri" w:cs="Calibri"/>
          <w:color w:val="000000"/>
          <w:sz w:val="22"/>
          <w:szCs w:val="22"/>
        </w:rPr>
        <w:t xml:space="preserve">Yuan X, Morano L, Bromley R, Spring-Pearson S, Stouthamer R, Nunney L (2010) Multilocus sequence typing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causing Pierce’s disease and oleander leaf scorch in the United States.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601-611. </w:t>
      </w:r>
    </w:p>
    <w:p>
      <w:pPr>
        <w:widowControl w:val="on"/>
        <w:pBdr/>
        <w:spacing w:before="220" w:after="220" w:line="240" w:lineRule="auto"/>
        <w:ind w:left="0" w:right="0"/>
        <w:jc w:val="left"/>
      </w:pPr>
      <w:r>
        <w:rPr>
          <w:rFonts w:ascii="Calibri" w:hAnsi="Calibri" w:eastAsia="Calibri" w:cs="Calibri"/>
          <w:color w:val="000000"/>
          <w:sz w:val="22"/>
          <w:szCs w:val="22"/>
        </w:rPr>
        <w:t xml:space="preserve">Yurtsever S (2000) On the polymorphic meadow spittlebug, </w:t>
      </w:r>
      <w:r>
        <w:rPr>
          <w:rFonts w:ascii="Calibri" w:hAnsi="Calibri" w:eastAsia="Calibri" w:cs="Calibri"/>
          <w:i/>
          <w:iCs/>
          <w:color w:val="000000"/>
          <w:sz w:val="22"/>
          <w:szCs w:val="22"/>
        </w:rPr>
        <w:t xml:space="preserve">Philaenus spumarius</w:t>
      </w:r>
      <w:r>
        <w:rPr>
          <w:rFonts w:ascii="Calibri" w:hAnsi="Calibri" w:eastAsia="Calibri" w:cs="Calibri"/>
          <w:color w:val="000000"/>
          <w:sz w:val="22"/>
          <w:szCs w:val="22"/>
        </w:rPr>
        <w:t xml:space="preserve"> (L.) (Homoptera: Cercopidae). </w:t>
      </w:r>
      <w:r>
        <w:rPr>
          <w:rFonts w:ascii="Calibri" w:hAnsi="Calibri" w:eastAsia="Calibri" w:cs="Calibri"/>
          <w:i/>
          <w:iCs/>
          <w:color w:val="000000"/>
          <w:sz w:val="22"/>
          <w:szCs w:val="22"/>
        </w:rPr>
        <w:t xml:space="preserve">Turkish Journal of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447-459. </w:t>
      </w:r>
    </w:p>
    <w:p>
      <w:pPr>
        <w:widowControl w:val="on"/>
        <w:pBdr/>
        <w:spacing w:before="220" w:after="220" w:line="240" w:lineRule="auto"/>
        <w:ind w:left="0" w:right="0"/>
        <w:jc w:val="left"/>
      </w:pPr>
      <w:r>
        <w:rPr>
          <w:rFonts w:ascii="Calibri" w:hAnsi="Calibri" w:eastAsia="Calibri" w:cs="Calibri"/>
          <w:color w:val="000000"/>
          <w:sz w:val="22"/>
          <w:szCs w:val="22"/>
        </w:rPr>
        <w:t xml:space="preserve">Zarco-Tejada PJ, Camino C, Beck PSA, Calderon R, Hornero A, Hernández-Clemente R Kattenborn T, Montes-Borrego M, Susca L, Morelli M, Gonzalez-Dugo V, North PRJ, Landa BB, Boscia D, Saponari M, Navas-Cortes JA (2018) Previsual symptoms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infection revealed in spectral plant-trait alterations. </w:t>
      </w:r>
      <w:r>
        <w:rPr>
          <w:rFonts w:ascii="Calibri" w:hAnsi="Calibri" w:eastAsia="Calibri" w:cs="Calibri"/>
          <w:i/>
          <w:iCs/>
          <w:color w:val="000000"/>
          <w:sz w:val="22"/>
          <w:szCs w:val="22"/>
        </w:rPr>
        <w:t xml:space="preserve">Nature 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(7), 432.</w:t>
      </w:r>
    </w:p>
    <w:p>
      <w:pPr>
        <w:widowControl w:val="on"/>
        <w:pBdr/>
        <w:spacing w:before="220" w:after="220" w:line="240" w:lineRule="auto"/>
        <w:ind w:left="0" w:right="0"/>
        <w:jc w:val="left"/>
      </w:pPr>
    </w:p>
    <w:p>
      <w:pPr>
        <w:widowControl w:val="on"/>
        <w:pBdr/>
        <w:spacing w:before="220" w:after="220" w:line="240" w:lineRule="auto"/>
        <w:ind w:left="0" w:right="0"/>
        <w:jc w:val="left"/>
      </w:pPr>
      <w:r>
        <w:rPr>
          <w:rFonts w:ascii="Calibri" w:hAnsi="Calibri" w:eastAsia="Calibri" w:cs="Calibri"/>
          <w:b/>
          <w:bCs/>
          <w:color w:val="000000"/>
          <w:sz w:val="22"/>
          <w:szCs w:val="22"/>
        </w:rPr>
        <w:b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Invasive Species Compendium. Datasheet on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(Pierce's disease of grapevines). </w:t>
      </w:r>
      <w:hyperlink r:id="rId64656ad5c4d5af16c" w:history="1">
        <w:r>
          <w:rPr>
            <w:rFonts w:ascii="Calibri" w:hAnsi="Calibri" w:eastAsia="Calibri" w:cs="Calibri"/>
            <w:color w:val="0000CC"/>
            <w:sz w:val="22"/>
            <w:szCs w:val="22"/>
            <w:u w:val="single"/>
          </w:rPr>
          <w:t xml:space="preserve">https://www.cabi.org/isc/datasheet/57195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(2019) Pest survey card on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w:t>
      </w:r>
      <w:hyperlink r:id="rId87486ad5c4d5af1d4" w:history="1">
        <w:r>
          <w:rPr>
            <w:rFonts w:ascii="Calibri" w:hAnsi="Calibri" w:eastAsia="Calibri" w:cs="Calibri"/>
            <w:color w:val="0000CC"/>
            <w:sz w:val="22"/>
            <w:szCs w:val="22"/>
            <w:u w:val="single"/>
          </w:rPr>
          <w:t xml:space="preserve">https://www.efsa.europa.eu/en/supporting/pub/en-1667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Giuseppe Surico and Guido Marchi from the ‘Dipartimento di Scienze e Tecnologie Agrarie, Alimentari, Ambientali e Forestali (DAGRI), Sez. Patologia ed entomologia, Università di Firenze, Firenze, Italy’.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EPPO datasheets on pests recommended for regulation. Available online. </w:t>
      </w:r>
      <w:hyperlink r:id="rId95366ad5c4d5af2a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1989 and revised in the two editions of 'Quarantine Pests for Europe' in 1992 and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(1st and 2nd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(1989) Data sheets on quarantine organisms No. 166,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677-682.</w:t>
      </w:r>
    </w:p>
    <w:p>
      <w:pPr>
        <w:widowControl w:val="on"/>
        <w:pBdr/>
        <w:spacing w:before="220" w:after="220" w:line="240" w:lineRule="auto"/>
        <w:ind w:left="0" w:right="0"/>
        <w:jc w:val="left"/>
      </w:pPr>
    </w:p>
    <w:p>
      <w:r>
        <w:drawing>
          <wp:inline distT="0" distB="0" distL="0" distR="0">
            <wp:extent cx="1800000" cy="604800"/>
            <wp:docPr id="73414344" name="name42246ad5c4d5af43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5476ad5c4d5af437" cstate="print"/>
                    <a:stretch>
                      <a:fillRect/>
                    </a:stretch>
                  </pic:blipFill>
                  <pic:spPr>
                    <a:xfrm>
                      <a:off x="0" y="0"/>
                      <a:ext cx="1800000" cy="604800"/>
                    </a:xfrm>
                    <a:prstGeom prst="rect">
                      <a:avLst/>
                    </a:prstGeom>
                    <a:ln w="0">
                      <a:noFill/>
                    </a:ln>
                  </pic:spPr>
                </pic:pic>
              </a:graphicData>
            </a:graphic>
          </wp:inline>
        </w:drawing>
      </w:r>
    </w:p>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85272">
    <w:multiLevelType w:val="hybridMultilevel"/>
    <w:lvl w:ilvl="0" w:tplc="29530796">
      <w:start w:val="1"/>
      <w:numFmt w:val="decimal"/>
      <w:lvlText w:val="%1."/>
      <w:lvlJc w:val="left"/>
      <w:pPr>
        <w:ind w:left="720" w:hanging="360"/>
      </w:pPr>
    </w:lvl>
    <w:lvl w:ilvl="1" w:tplc="29530796" w:tentative="1">
      <w:start w:val="1"/>
      <w:numFmt w:val="lowerLetter"/>
      <w:lvlText w:val="%2."/>
      <w:lvlJc w:val="left"/>
      <w:pPr>
        <w:ind w:left="1440" w:hanging="360"/>
      </w:pPr>
    </w:lvl>
    <w:lvl w:ilvl="2" w:tplc="29530796" w:tentative="1">
      <w:start w:val="1"/>
      <w:numFmt w:val="lowerRoman"/>
      <w:lvlText w:val="%3."/>
      <w:lvlJc w:val="right"/>
      <w:pPr>
        <w:ind w:left="2160" w:hanging="180"/>
      </w:pPr>
    </w:lvl>
    <w:lvl w:ilvl="3" w:tplc="29530796" w:tentative="1">
      <w:start w:val="1"/>
      <w:numFmt w:val="decimal"/>
      <w:lvlText w:val="%4."/>
      <w:lvlJc w:val="left"/>
      <w:pPr>
        <w:ind w:left="2880" w:hanging="360"/>
      </w:pPr>
    </w:lvl>
    <w:lvl w:ilvl="4" w:tplc="29530796" w:tentative="1">
      <w:start w:val="1"/>
      <w:numFmt w:val="lowerLetter"/>
      <w:lvlText w:val="%5."/>
      <w:lvlJc w:val="left"/>
      <w:pPr>
        <w:ind w:left="3600" w:hanging="360"/>
      </w:pPr>
    </w:lvl>
    <w:lvl w:ilvl="5" w:tplc="29530796" w:tentative="1">
      <w:start w:val="1"/>
      <w:numFmt w:val="lowerRoman"/>
      <w:lvlText w:val="%6."/>
      <w:lvlJc w:val="right"/>
      <w:pPr>
        <w:ind w:left="4320" w:hanging="180"/>
      </w:pPr>
    </w:lvl>
    <w:lvl w:ilvl="6" w:tplc="29530796" w:tentative="1">
      <w:start w:val="1"/>
      <w:numFmt w:val="decimal"/>
      <w:lvlText w:val="%7."/>
      <w:lvlJc w:val="left"/>
      <w:pPr>
        <w:ind w:left="5040" w:hanging="360"/>
      </w:pPr>
    </w:lvl>
    <w:lvl w:ilvl="7" w:tplc="29530796" w:tentative="1">
      <w:start w:val="1"/>
      <w:numFmt w:val="lowerLetter"/>
      <w:lvlText w:val="%8."/>
      <w:lvlJc w:val="left"/>
      <w:pPr>
        <w:ind w:left="5760" w:hanging="360"/>
      </w:pPr>
    </w:lvl>
    <w:lvl w:ilvl="8" w:tplc="29530796" w:tentative="1">
      <w:start w:val="1"/>
      <w:numFmt w:val="lowerRoman"/>
      <w:lvlText w:val="%9."/>
      <w:lvlJc w:val="right"/>
      <w:pPr>
        <w:ind w:left="6480" w:hanging="180"/>
      </w:pPr>
    </w:lvl>
  </w:abstractNum>
  <w:abstractNum w:abstractNumId="64385271">
    <w:multiLevelType w:val="hybridMultilevel"/>
    <w:lvl w:ilvl="0" w:tplc="33613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85271">
    <w:abstractNumId w:val="64385271"/>
  </w:num>
  <w:num w:numId="64385272">
    <w:abstractNumId w:val="6438527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69152033" Type="http://schemas.microsoft.com/office/2011/relationships/commentsExtended" Target="commentsExtended.xml"/><Relationship Id="rId498169025" Type="http://schemas.microsoft.com/office/2011/relationships/people" Target="people.xml"/><Relationship Id="rId84886ad5c4d5a3fdd" Type="http://schemas.openxmlformats.org/officeDocument/2006/relationships/hyperlink" Target="https://gd.eppo.int/taxon/XYLEFA/" TargetMode="External"/><Relationship Id="rId32576ad5c4d5a404e" Type="http://schemas.openxmlformats.org/officeDocument/2006/relationships/hyperlink" Target="https://gd.eppo.int/taxon/XYLEFA/categorization" TargetMode="External"/><Relationship Id="rId34516ad5c4d5a46cb" Type="http://schemas.openxmlformats.org/officeDocument/2006/relationships/hyperlink" Target="https://gd.eppo.int/taxon/XYLEFA/photos" TargetMode="External"/><Relationship Id="rId48136ad5c4d5acead" Type="http://schemas.openxmlformats.org/officeDocument/2006/relationships/hyperlink" Target="https://doi.org/10.1038/s41598-018-33957-z" TargetMode="External"/><Relationship Id="rId30206ad5c4d5acfe9" Type="http://schemas.openxmlformats.org/officeDocument/2006/relationships/hyperlink" Target="https://doi.org/10.1186/s12864-019-5565-9" TargetMode="External"/><Relationship Id="rId13356ad5c4d5ad044" Type="http://schemas.openxmlformats.org/officeDocument/2006/relationships/hyperlink" Target="https://doi.org/10.2903/sp.efsa.2019.EN-1628" TargetMode="External"/><Relationship Id="rId90336ad5c4d5ad17b" Type="http://schemas.openxmlformats.org/officeDocument/2006/relationships/hyperlink" Target="https://doi.org/10.1093/amt/tsy034" TargetMode="External"/><Relationship Id="rId12186ad5c4d5ad277" Type="http://schemas.openxmlformats.org/officeDocument/2006/relationships/hyperlink" Target="https://doi.org/10.2903/j.efsa.2015.3989" TargetMode="External"/><Relationship Id="rId42736ad5c4d5ad35e" Type="http://schemas.openxmlformats.org/officeDocument/2006/relationships/hyperlink" Target="https://doi.org/10.2903/j.efsa.2015.4225" TargetMode="External"/><Relationship Id="rId82136ad5c4d5ad3fe" Type="http://schemas.openxmlformats.org/officeDocument/2006/relationships/hyperlink" Target="https://doi.org/10.2903/j.efsa.2018.5357" TargetMode="External"/><Relationship Id="rId54016ad5c4d5ad458" Type="http://schemas.openxmlformats.org/officeDocument/2006/relationships/hyperlink" Target="https://doi.org/10.2903/sp.efsa.2019.EN-1667" TargetMode="External"/><Relationship Id="rId71606ad5c4d5ad4de" Type="http://schemas.openxmlformats.org/officeDocument/2006/relationships/hyperlink" Target="https://doi.org/10.2903/j.efsa.2019.5665" TargetMode="External"/><Relationship Id="rId31946ad5c4d5ad584" Type="http://schemas.openxmlformats.org/officeDocument/2006/relationships/hyperlink" Target="https://doi.org/10.2903/j.efsa.2019.5736" TargetMode="External"/><Relationship Id="rId22636ad5c4d5ad621" Type="http://schemas.openxmlformats.org/officeDocument/2006/relationships/hyperlink" Target="https://doi.org/10.2903/j.efsa.2020.6114" TargetMode="External"/><Relationship Id="rId74496ad5c4d5ad657" Type="http://schemas.openxmlformats.org/officeDocument/2006/relationships/hyperlink" Target="https://gd.eppo.int/reporting/article-3666" TargetMode="External"/><Relationship Id="rId26076ad5c4d5ad6c9" Type="http://schemas.openxmlformats.org/officeDocument/2006/relationships/hyperlink" Target="https://doi.org/10.1111/epp.12325" TargetMode="External"/><Relationship Id="rId48006ad5c4d5ad739" Type="http://schemas.openxmlformats.org/officeDocument/2006/relationships/hyperlink" Target="https://doi.org/10.1111/epp.12328" TargetMode="External"/><Relationship Id="rId73196ad5c4d5ad7ad" Type="http://schemas.openxmlformats.org/officeDocument/2006/relationships/hyperlink" Target="https://doi.org/10.1111/epp.12340" TargetMode="External"/><Relationship Id="rId23596ad5c4d5ad8c2" Type="http://schemas.openxmlformats.org/officeDocument/2006/relationships/hyperlink" Target="https://ec.europa.eu/food/sites/food/files/plant/docs/ph_biosec_legis_guidelines_xylella-survey.pdf" TargetMode="External"/><Relationship Id="rId34136ad5c4d5ad9c4" Type="http://schemas.openxmlformats.org/officeDocument/2006/relationships/hyperlink" Target="https://ec.europa.eu/food/plant/plant_health_biosecurity/legislation/emergency_measures/xylella-fastidiosa/susceptible_en" TargetMode="External"/><Relationship Id="rId24106ad5c4d5ae0b7" Type="http://schemas.openxmlformats.org/officeDocument/2006/relationships/hyperlink" Target="https://www.ippc.int/static/media/files/publication/en/2018/09/DP_25_2018_Xylellafastidiosa_2018-09-21.pdf" TargetMode="External"/><Relationship Id="rId33346ad5c4d5ae185" Type="http://schemas.openxmlformats.org/officeDocument/2006/relationships/hyperlink" Target="https://doi.org/10.3389/fmicb.2018.02141" TargetMode="External"/><Relationship Id="rId87866ad5c4d5ae20b" Type="http://schemas.openxmlformats.org/officeDocument/2006/relationships/hyperlink" Target="https://doi.org/10.1117/1.JRS.6.063542" TargetMode="External"/><Relationship Id="rId46086ad5c4d5ae4d6" Type="http://schemas.openxmlformats.org/officeDocument/2006/relationships/hyperlink" Target="https://www.eisnederland.nl/DesktopModules/Bring2mind/DMX/Download.aspx?command=core_download&amp;entryid=801&amp;language=nl-NL&amp;PortalId=4&amp;TabId=563" TargetMode="External"/><Relationship Id="rId90756ad5c4d5ae7b1" Type="http://schemas.openxmlformats.org/officeDocument/2006/relationships/hyperlink" Target="https://doi.org/10.1094/PHP-2003-0321-01-RS" TargetMode="External"/><Relationship Id="rId38016ad5c4d5aeeba" Type="http://schemas.openxmlformats.org/officeDocument/2006/relationships/hyperlink" Target="https://doi.org/10.1128/AEM.02972-18" TargetMode="External"/><Relationship Id="rId64656ad5c4d5af16c" Type="http://schemas.openxmlformats.org/officeDocument/2006/relationships/hyperlink" Target="https://www.cabi.org/isc/datasheet/57195" TargetMode="External"/><Relationship Id="rId87486ad5c4d5af1d4" Type="http://schemas.openxmlformats.org/officeDocument/2006/relationships/hyperlink" Target="https://www.efsa.europa.eu/en/supporting/pub/en-1667" TargetMode="External"/><Relationship Id="rId95366ad5c4d5af2ae" Type="http://schemas.openxmlformats.org/officeDocument/2006/relationships/hyperlink" Target="https://gd.eppo.int" TargetMode="External"/><Relationship Id="rId63886ad5c4d5a45cd" Type="http://schemas.openxmlformats.org/officeDocument/2006/relationships/image" Target="media/imgrId63886ad5c4d5a45cd.jpg"/><Relationship Id="rId87316ad5c4d5aa3eb" Type="http://schemas.openxmlformats.org/officeDocument/2006/relationships/image" Target="media/imgrId87316ad5c4d5aa3eb.jpg"/><Relationship Id="rId85476ad5c4d5af437" Type="http://schemas.openxmlformats.org/officeDocument/2006/relationships/image" Target="media/imgrId85476ad5c4d5af43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