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californicum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bricolense,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californicum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Lamberti &amp; Bleve-Zacheo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75336a5f8730bcf9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2366a5f8730bd00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XIPHCA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Lamberti &amp; Bleve-Zacheo, 1969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appears to be non-specific with regard to host plant,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viruses.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noted different transmission efficiency of three ToRSV strains by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nematodes. The host plant range of these viruses is wide, including woody and ornamental plants and several weed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(Lamberti &amp; Bleve-Zacheo, 1979; Taylor &amp; Brown, 1997).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Vasconcellea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has been reported from North and South America. This species has not been reported in the EPPO region.</w:t>
      </w:r>
    </w:p>
    <w:p>
      <w:r>
        <w:drawing>
          <wp:inline distT="0" distB="0" distL="0" distR="0">
            <wp:extent cx="6120000" cy="3067200"/>
            <wp:docPr id="36013551" name="name44666a5f8730be23c" descr="XIPH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CA_distribution_map.jpg"/>
                    <pic:cNvPicPr/>
                  </pic:nvPicPr>
                  <pic:blipFill>
                    <a:blip r:embed="rId72326a5f8730be23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Hawaii, New York,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Rio de Janeiro, Rio Grande do Sul, Sao Paulo), Chile,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but three larval developmental stages have also been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and the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ToRSV, TRSV and CRLV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ability to transmit virus may vary among different populations of the same nematode species (Griesbach &amp; Maggenti,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spends its entire life cycle in the soil, feeding on roots of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linked to its capacity to vector North American nepoviruses (Taylor &amp; Brown, 1981, 1997), which are important mainly on fruit crops.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reported to transmit the following viruses: ToRSV, TRSV and CLRV.</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A review of effects of the viruses on economically important crops was performed by NVWA (2010) and summarized thereafter.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in the short term, e.g. the first 10 years after introduction the impact is assessed to be low and impact may occur only very locally. In the long term (decades), the virus-vector combination is expected to spread further mainly by human assistance and the impact may become similar to that in the USA where both the virus and vector are present. In Europe the impact of ToRSV and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TRSV: high impact for blueberry and probably also for grapes.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CLRV: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member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to transmit three American viruses CRLV, TRSV and ToRSV, which are quarantine pathogens. </w:t>
      </w:r>
      <w:r>
        <w:rPr>
          <w:rFonts w:ascii="Calibri" w:hAnsi="Calibri" w:eastAsia="Calibri" w:cs="Calibri"/>
          <w:i/>
          <w:iCs/>
          <w:color w:val="000000"/>
          <w:sz w:val="22"/>
          <w:szCs w:val="22"/>
        </w:rPr>
        <w:t xml:space="preserve">X. californicum&lt;</w:t>
      </w:r>
      <w:r>
        <w:rPr>
          <w:rFonts w:ascii="Calibri" w:hAnsi="Calibri" w:eastAsia="Calibri" w:cs="Calibri"/>
          <w:color w:val="000000"/>
          <w:sz w:val="22"/>
          <w:szCs w:val="22"/>
        </w:rPr>
        <w:t xml:space="preserve"> may introduce or spread these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viruses were introduced or spread in the EPPO region, introduction of the vector nematodes would increase the risk of spread, and more complex measures for the certification of virus-free material of fruit crops would be needed. Populations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especially those from North America, could certainly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the EPPO region, however most relate to interceptions, are under eradication and are not known to be widely distributed. CRLV is not known to be present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countries where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18736a5f8730bee38"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(European populations). </w:t>
      </w:r>
      <w:hyperlink r:id="rId83836a5f8730bef7e"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p.517.</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25016a5f8730bf154"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Hoy JW, Mircetich SM &amp; Lownsbery BF (1984) Differential transmission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tomato ringspot virus strains by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332-335.</w:t>
      </w:r>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International,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11: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w:t>
      </w:r>
      <w:hyperlink r:id="rId22306a5f8730bf3c6"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w:t>
      </w:r>
      <w:r>
        <w:rPr>
          <w:rFonts w:ascii="Calibri" w:hAnsi="Calibri" w:eastAsia="Calibri" w:cs="Calibri"/>
          <w:color w:val="000000"/>
          <w:sz w:val="22"/>
          <w:szCs w:val="22"/>
        </w:rPr>
        <w:t xml:space="preserve">.l., 77pp. </w:t>
      </w:r>
      <w:hyperlink r:id="rId65026a5f8730bf48e"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Julius-Kuhn-Archiv (Conference proceedings)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Plant parasitic nematodes,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 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91476a5f8730bf74f" w:history="1">
        <w:r>
          <w:rPr>
            <w:rFonts w:ascii="Calibri" w:hAnsi="Calibri" w:eastAsia="Calibri" w:cs="Calibri"/>
            <w:color w:val="0000CC"/>
            <w:sz w:val="22"/>
            <w:szCs w:val="22"/>
            <w:u w:val="single"/>
          </w:rPr>
          <w:t xml:space="preserve">https://doi.org/10.21307/jofnem-2019-007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EPPO datasheets on pests recommended for regulation. Available online. </w:t>
      </w:r>
      <w:hyperlink r:id="rId42116a5f8730bf80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33076a5f8730bf9fa"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58705439" name="name24446a5f8730bfdc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916a5f8730bfdc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089536">
    <w:multiLevelType w:val="hybridMultilevel"/>
    <w:lvl w:ilvl="0" w:tplc="48686903">
      <w:start w:val="1"/>
      <w:numFmt w:val="decimal"/>
      <w:lvlText w:val="%1."/>
      <w:lvlJc w:val="left"/>
      <w:pPr>
        <w:ind w:left="720" w:hanging="360"/>
      </w:pPr>
    </w:lvl>
    <w:lvl w:ilvl="1" w:tplc="48686903" w:tentative="1">
      <w:start w:val="1"/>
      <w:numFmt w:val="lowerLetter"/>
      <w:lvlText w:val="%2."/>
      <w:lvlJc w:val="left"/>
      <w:pPr>
        <w:ind w:left="1440" w:hanging="360"/>
      </w:pPr>
    </w:lvl>
    <w:lvl w:ilvl="2" w:tplc="48686903" w:tentative="1">
      <w:start w:val="1"/>
      <w:numFmt w:val="lowerRoman"/>
      <w:lvlText w:val="%3."/>
      <w:lvlJc w:val="right"/>
      <w:pPr>
        <w:ind w:left="2160" w:hanging="180"/>
      </w:pPr>
    </w:lvl>
    <w:lvl w:ilvl="3" w:tplc="48686903" w:tentative="1">
      <w:start w:val="1"/>
      <w:numFmt w:val="decimal"/>
      <w:lvlText w:val="%4."/>
      <w:lvlJc w:val="left"/>
      <w:pPr>
        <w:ind w:left="2880" w:hanging="360"/>
      </w:pPr>
    </w:lvl>
    <w:lvl w:ilvl="4" w:tplc="48686903" w:tentative="1">
      <w:start w:val="1"/>
      <w:numFmt w:val="lowerLetter"/>
      <w:lvlText w:val="%5."/>
      <w:lvlJc w:val="left"/>
      <w:pPr>
        <w:ind w:left="3600" w:hanging="360"/>
      </w:pPr>
    </w:lvl>
    <w:lvl w:ilvl="5" w:tplc="48686903" w:tentative="1">
      <w:start w:val="1"/>
      <w:numFmt w:val="lowerRoman"/>
      <w:lvlText w:val="%6."/>
      <w:lvlJc w:val="right"/>
      <w:pPr>
        <w:ind w:left="4320" w:hanging="180"/>
      </w:pPr>
    </w:lvl>
    <w:lvl w:ilvl="6" w:tplc="48686903" w:tentative="1">
      <w:start w:val="1"/>
      <w:numFmt w:val="decimal"/>
      <w:lvlText w:val="%7."/>
      <w:lvlJc w:val="left"/>
      <w:pPr>
        <w:ind w:left="5040" w:hanging="360"/>
      </w:pPr>
    </w:lvl>
    <w:lvl w:ilvl="7" w:tplc="48686903" w:tentative="1">
      <w:start w:val="1"/>
      <w:numFmt w:val="lowerLetter"/>
      <w:lvlText w:val="%8."/>
      <w:lvlJc w:val="left"/>
      <w:pPr>
        <w:ind w:left="5760" w:hanging="360"/>
      </w:pPr>
    </w:lvl>
    <w:lvl w:ilvl="8" w:tplc="48686903" w:tentative="1">
      <w:start w:val="1"/>
      <w:numFmt w:val="lowerRoman"/>
      <w:lvlText w:val="%9."/>
      <w:lvlJc w:val="right"/>
      <w:pPr>
        <w:ind w:left="6480" w:hanging="180"/>
      </w:pPr>
    </w:lvl>
  </w:abstractNum>
  <w:abstractNum w:abstractNumId="96089535">
    <w:multiLevelType w:val="hybridMultilevel"/>
    <w:lvl w:ilvl="0" w:tplc="900728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089535">
    <w:abstractNumId w:val="96089535"/>
  </w:num>
  <w:num w:numId="96089536">
    <w:abstractNumId w:val="960895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9256328" Type="http://schemas.microsoft.com/office/2011/relationships/commentsExtended" Target="commentsExtended.xml"/><Relationship Id="rId421646063" Type="http://schemas.microsoft.com/office/2011/relationships/people" Target="people.xml"/><Relationship Id="rId75336a5f8730bcf9a" Type="http://schemas.openxmlformats.org/officeDocument/2006/relationships/hyperlink" Target="https://gd.eppo.int/taxon/XIPHCA/" TargetMode="External"/><Relationship Id="rId52366a5f8730bd001" Type="http://schemas.openxmlformats.org/officeDocument/2006/relationships/hyperlink" Target="https://gd.eppo.int/taxon/XIPHCA/categorization" TargetMode="External"/><Relationship Id="rId18736a5f8730bee38" Type="http://schemas.openxmlformats.org/officeDocument/2006/relationships/hyperlink" Target="https://doi.org/10.2903/j.efsa.2018.5298" TargetMode="External"/><Relationship Id="rId83836a5f8730bef7e" Type="http://schemas.openxmlformats.org/officeDocument/2006/relationships/hyperlink" Target="https://secure.fera.defra.gov.uk/" TargetMode="External"/><Relationship Id="rId25016a5f8730bf154" Type="http://schemas.openxmlformats.org/officeDocument/2006/relationships/hyperlink" Target="https://entnemdept.ifas.ufl.edu/creatures/nematode/dagger_nematode.htm" TargetMode="External"/><Relationship Id="rId22306a5f8730bf3c6" Type="http://schemas.openxmlformats.org/officeDocument/2006/relationships/hyperlink" Target="https://doi.org/10.1371/journal.pone.0217506" TargetMode="External"/><Relationship Id="rId65026a5f8730bf48e" Type="http://schemas.openxmlformats.org/officeDocument/2006/relationships/hyperlink" Target="https://pra.eppo.int/pra/1eb7d285-8ce3-4170-8f95-9a1b44547555" TargetMode="External"/><Relationship Id="rId91476a5f8730bf74f" Type="http://schemas.openxmlformats.org/officeDocument/2006/relationships/hyperlink" Target="https://doi.org/10.21307/jofnem-2019-007" TargetMode="External"/><Relationship Id="rId42116a5f8730bf805" Type="http://schemas.openxmlformats.org/officeDocument/2006/relationships/hyperlink" Target="https://gd.eppo.int" TargetMode="External"/><Relationship Id="rId33076a5f8730bf9fa" Type="http://schemas.openxmlformats.org/officeDocument/2006/relationships/hyperlink" Target="https://doi.org/10.1111/j.1365-2338.1984.tb01984.x" TargetMode="External"/><Relationship Id="rId72326a5f8730be23a" Type="http://schemas.openxmlformats.org/officeDocument/2006/relationships/image" Target="media/imgrId72326a5f8730be23a.jpg"/><Relationship Id="rId65916a5f8730bfdcc" Type="http://schemas.openxmlformats.org/officeDocument/2006/relationships/image" Target="media/imgrId65916a5f8730bfdc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