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californicum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lato, Xiphinema americanum sensu stricto, Xiphinema bricolense,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californicum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Lamberti &amp; Bleve-Zacheo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22206a7b8a53d634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0736a7b8a53d63e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XIPHCA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californicum</w:t>
      </w:r>
      <w:r>
        <w:rPr>
          <w:rFonts w:ascii="Calibri" w:hAnsi="Calibri" w:eastAsia="Calibri" w:cs="Calibri"/>
          <w:color w:val="000000"/>
          <w:sz w:val="22"/>
          <w:szCs w:val="22"/>
        </w:rPr>
        <w:t xml:space="preserve"> Lamberti &amp; Bleve-Zacheo, 1969 is a member of the </w:t>
      </w:r>
      <w:r>
        <w:rPr>
          <w:rFonts w:ascii="Calibri" w:hAnsi="Calibri" w:eastAsia="Calibri" w:cs="Calibri"/>
          <w:i/>
          <w:iCs/>
          <w:color w:val="000000"/>
          <w:sz w:val="22"/>
          <w:szCs w:val="22"/>
        </w:rPr>
        <w:t xml:space="preserve">Xiphinema americanum sensu lato (s.l.)</w:t>
      </w:r>
      <w:r>
        <w:rPr>
          <w:rFonts w:ascii="Calibri" w:hAnsi="Calibri" w:eastAsia="Calibri" w:cs="Calibri"/>
          <w:color w:val="000000"/>
          <w:sz w:val="22"/>
          <w:szCs w:val="22"/>
        </w:rPr>
        <w:t xml:space="preserve"> group which comprises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members of the group are difficult to distinguish both morphologically and biochemically. Furthermore, no reliable molecular tests to distinguish between members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or for the identification of those species that have been confirmed as virus vectors can be recommended yet.Therefore, although it is difficult, identification remains reliant on morphological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appears to be non-specific with regard to host plant,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transmits viruses.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Cherry rasp leaf virus</w:t>
      </w:r>
      <w:r>
        <w:rPr>
          <w:rFonts w:ascii="Calibri" w:hAnsi="Calibri" w:eastAsia="Calibri" w:cs="Calibri"/>
          <w:color w:val="000000"/>
          <w:sz w:val="22"/>
          <w:szCs w:val="22"/>
        </w:rPr>
        <w:t xml:space="preserve">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(Hoy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Griesbach &amp; Maggenti, 1989;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noted different transmission efficiency of three ToRSV strains by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nematodes. The host plant range of these viruses is wide, including woody and ornamental plants and several weed species. Important host plants of these viruses include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(plum, cherry and peach),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(Lamberti &amp; Bleve-Zacheo, 1979; Taylor &amp; Brown, 1997).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Vasconcellea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has been reported from North and South America. This species has not been reported in the EPPO region.</w:t>
      </w:r>
    </w:p>
    <w:p>
      <w:r>
        <w:drawing>
          <wp:inline distT="0" distB="0" distL="0" distR="0">
            <wp:extent cx="6120000" cy="3067200"/>
            <wp:docPr id="9110786" name="name61816a7b8a53d837d" descr="XIPH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PHCA_distribution_map.jpg"/>
                    <pic:cNvPicPr/>
                  </pic:nvPicPr>
                  <pic:blipFill>
                    <a:blip r:embed="rId44676a7b8a53d837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(Arkansas, California, Hawaii, New York,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(Distrito Federal, Rio de Janeiro, Rio Grande do Sul, Sao Paulo), Chile,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is a migratory ectoparasite and spends its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The number of developmental stages for this species is unclear, data indicates the possibility of either 3 or 4 juvenile development stages. Alkemada and Loof (1989) reviewed the literature 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juveniles and reported that some published measurements clearly indicated four juvenile stages but three larval developmental stages have also been reported (Halbrendt &amp; Brown, 1992;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life cycle requires at least 1 year to complete and the optimum temperatures for reproduction are 20-24°C (Hunt, 1993). There is no specialized long term survival stage however, all stages have been found to survive and mature (but not multiply) in soil in the absence of a host. The nematode does not survive long periods in frozen soil, and in areas of low winter temperatures overwintering is mainly in the egg stage. Where the soil is not frozen, all stages can survive over winter.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is an efficient vector of several viruses, with adults and juvenile stages able to transmit viruses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When the nematode feeds on a virus-infected plant, virus particles are extracted from the cells within the cytoplasm, and these adhere to the lining of the stylet and pharynx. The virus particles are injected into the next healthy plant on which the nematode feeds. Nematodes may transmit virus acquired up to 2 years previously (Bitterlin &amp; Gonsalves,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transmits ToRSV, TRSV and CRLV (Hoy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Griesbach &amp; Maggenti, 1989;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ability to transmit virus may vary among different populations of the same nematode species (Griesbach &amp; Maggenti, 1989).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nematodes are minute, soft-bodied, vermiform and nearly transparent. They have a hard, needle-like stylet (odontostyle and odontophore) at the mouth-end of the body which is capable of being extruded to puncture plant cells. General morphological characteristics of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are relatively short compared to other non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s.l. species (usually &lt;150 μm) stylet (odontostyle + odontophore), thick cuticular lining of the pharynx, males usually absent or rare, female genital branches equally developed, uterus short and without Z-organ, presence of symbiotic bacteria in the oocytes and in the intestines of juveniles, short conoid tail with rounded terminus, females without sperm present in uteri or oviduct.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adhering to plant roots, bulbs and tubers. Consequently,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may be found following processing of plant material using methods such as modified Baermann processes. Detailed descriptions of extraction equipment and procedures can be found in EPPO PM 7/119 (1) Nematode extraction (EPPO, 2013). After extraction, the nematodes are examined by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spends its entire life cycle in the soil, feeding on roots of plants. It can only live in moist soil where it can move at most 1 m per year, unless assisted by run-off. Bare rooted plants free from soil are not a pathway for movement. The pest is transported solely in soil associated with plants for planting, plant products (such as, soil associated with ware potatoes),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importance of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is linked to its capacity to vector North American nepoviruses (Taylor &amp; Brown, 1981, 1997), which are important mainly on fruit crops.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is reported to transmit the following viruses: ToRSV, TRSV and CLRV.</w:t>
      </w:r>
    </w:p>
    <w:p>
      <w:pPr>
        <w:widowControl w:val="on"/>
        <w:pBdr/>
        <w:spacing w:before="220" w:after="220" w:line="240" w:lineRule="auto"/>
        <w:ind w:left="0" w:right="0"/>
        <w:jc w:val="both"/>
      </w:pPr>
      <w:r>
        <w:rPr>
          <w:rFonts w:ascii="Calibri" w:hAnsi="Calibri" w:eastAsia="Calibri" w:cs="Calibri"/>
          <w:color w:val="000000"/>
          <w:sz w:val="22"/>
          <w:szCs w:val="22"/>
        </w:rPr>
        <w:t xml:space="preserve">Both ToRSV and TRSV have wide host ranges. A review of effects of the viruses on economically important crops was performed by NVWA (2010) and summarized thereafter.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but not in neighbouring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 TRSV causes yield losses in soybean and blueberries in the USA. Serious losses were also reported in grapes in vineyards affected by a mixed infection of TRSV and ToRSV. The virus also affects cucurbits but causes only minor damage to these crops. Elsewhere, 60-80% yield losses were reported in aubergine in India and minor losses were reported in capsicum in Mexico (FERA, 2014).</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in the short term, e.g. the first 10 years after introduction the impact is assessed to be low and impact may occur only very locally. In the long term (decades), the virus-vector combination is expected to spread further mainly by human assistance and the impact may become similar to that in the USA where both the virus and vector are present. In Europe the impact of ToRSV and TRSV in combination with the vector may become higher than in the USA because of the limited availability of soil fumigants in Europe. The potential impact of the viruses in combination with the vector in Europe was assessed as follows (NVWA, 2010):</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ToRSV: high impact for several fruit crops.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TRSV: high impact for blueberry and probably also for grapes.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CLRV: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 the efficacy of these measures is limited (it is considered that the efficacy never reaches 100%) and the nematodes that remain in the soil can still transmit viruses to the roots of the host plants (EFSA, 2018). Soil disinfection by physical treatments does not eliminate nematodes under field conditions due to the vertical distribution (depth) of the nematode which depends on availability of roots of host plants and moisture regime (EFSA, 2018). The use of nematicides is restricted in EPPO member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lies in the known potential of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to transmit three American viruses CRLV, TRSV and ToRSV, which are quarantine pathogens. </w:t>
      </w:r>
      <w:r>
        <w:rPr>
          <w:rFonts w:ascii="Calibri" w:hAnsi="Calibri" w:eastAsia="Calibri" w:cs="Calibri"/>
          <w:i/>
          <w:iCs/>
          <w:color w:val="000000"/>
          <w:sz w:val="22"/>
          <w:szCs w:val="22"/>
        </w:rPr>
        <w:t xml:space="preserve">X. californicum&lt;</w:t>
      </w:r>
      <w:r>
        <w:rPr>
          <w:rFonts w:ascii="Calibri" w:hAnsi="Calibri" w:eastAsia="Calibri" w:cs="Calibri"/>
          <w:color w:val="000000"/>
          <w:sz w:val="22"/>
          <w:szCs w:val="22"/>
        </w:rPr>
        <w:t xml:space="preserve"> may introduce or spread these viruses.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viruses were introduced or spread in the EPPO region, introduction of the vector nematodes would increase the risk of spread, and more complex measures for the certification of virus-free material of fruit crops would be needed. Populations of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especially those from North America, could certainly establish and spread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numerous reports of TRSV and ToRSV detection in the EPPO region, however most relate to interceptions, are under eradication and are not known to be widely distributed. CRLV is not known to be present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countries where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occurs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be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 has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Alkemada JM &amp; Loof PA (1989) Observations on the ontogeny of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Dorylaimida).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(3b), 1177-1186.</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MV &amp; Gonsalves D (1986) Persistence of tomato ringspot virus and its vector in cold stored soil.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199-124.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75476a7b8a53d90a4"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(European populations). </w:t>
      </w:r>
      <w:hyperlink r:id="rId43226a7b8a53d922d"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Griesbach JA &amp; Maggenti AR (1989) Vector capability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(4), p.517.</w:t>
      </w:r>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&amp; Brown DJ (1992) Morphometric evidence for three juvenile stages in some species of </w:t>
      </w:r>
      <w:r>
        <w:rPr>
          <w:rFonts w:ascii="Calibri" w:hAnsi="Calibri" w:eastAsia="Calibri" w:cs="Calibri"/>
          <w:i/>
          <w:iCs/>
          <w:color w:val="000000"/>
          <w:sz w:val="22"/>
          <w:szCs w:val="22"/>
        </w:rPr>
        <w:t xml:space="preserve">Xiphinema americanum sensu lato.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305-309.</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17646a7b8a53d9449"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Hoy JW, Mircetich SM &amp; Lownsbery BF (1984) Differential transmission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tomato ringspot virus strains by </w:t>
      </w:r>
      <w:r>
        <w:rPr>
          <w:rFonts w:ascii="Calibri" w:hAnsi="Calibri" w:eastAsia="Calibri" w:cs="Calibri"/>
          <w:i/>
          <w:iCs/>
          <w:color w:val="000000"/>
          <w:sz w:val="22"/>
          <w:szCs w:val="22"/>
        </w:rPr>
        <w:t xml:space="preserve">Xiphinema californicum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332-335.</w:t>
      </w:r>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International,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ISPM 27 Diagnostic Protocols for Regulated Pests DP 11: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with descriptions of fifteen new species (Nematoda, Longidoridae).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w:t>
      </w:r>
      <w:hyperlink r:id="rId36036a7b8a53d96d1"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McGuire JM (1964) Efficiency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a vector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799-801.</w:t>
      </w:r>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w:t>
      </w:r>
      <w:r>
        <w:rPr>
          <w:rFonts w:ascii="Calibri" w:hAnsi="Calibri" w:eastAsia="Calibri" w:cs="Calibri"/>
          <w:color w:val="000000"/>
          <w:sz w:val="22"/>
          <w:szCs w:val="22"/>
        </w:rPr>
        <w:t xml:space="preserve">.l., 77pp. </w:t>
      </w:r>
      <w:hyperlink r:id="rId18786a7b8a53d97a0"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(1996) Compendium of juvenile stages of </w:t>
      </w:r>
      <w:r>
        <w:rPr>
          <w:rFonts w:ascii="Calibri" w:hAnsi="Calibri" w:eastAsia="Calibri" w:cs="Calibri"/>
          <w:i/>
          <w:iCs/>
          <w:color w:val="000000"/>
          <w:sz w:val="22"/>
          <w:szCs w:val="22"/>
        </w:rPr>
        <w:t xml:space="preserve">Xiphinema </w:t>
      </w:r>
      <w:r>
        <w:rPr>
          <w:rFonts w:ascii="Calibri" w:hAnsi="Calibri" w:eastAsia="Calibri" w:cs="Calibri"/>
          <w:color w:val="000000"/>
          <w:sz w:val="22"/>
          <w:szCs w:val="22"/>
        </w:rPr>
        <w:t xml:space="preserve">species (Nematoda: Longidoridae).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Julius-Kuhn-Archiv (Conference proceedings) </w:t>
      </w:r>
      <w:r>
        <w:rPr>
          <w:rFonts w:ascii="Calibri" w:hAnsi="Calibri" w:eastAsia="Calibri" w:cs="Calibri"/>
          <w:b/>
          <w:bCs/>
          <w:color w:val="000000"/>
          <w:sz w:val="22"/>
          <w:szCs w:val="22"/>
        </w:rPr>
        <w:t xml:space="preserve">427</w:t>
      </w:r>
      <w:r>
        <w:rPr>
          <w:rFonts w:ascii="Calibri" w:hAnsi="Calibri" w:eastAsia="Calibri" w:cs="Calibri"/>
          <w:color w:val="000000"/>
          <w:sz w:val="22"/>
          <w:szCs w:val="22"/>
        </w:rPr>
        <w:t xml:space="preserve">,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(1981) Nematode-virus interactions. In: Plant parasitic nematodes, Vol. III.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grapevine yellow 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 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41516a7b8a53d9a3f" w:history="1">
        <w:r>
          <w:rPr>
            <w:rFonts w:ascii="Calibri" w:hAnsi="Calibri" w:eastAsia="Calibri" w:cs="Calibri"/>
            <w:color w:val="0000CC"/>
            <w:sz w:val="22"/>
            <w:szCs w:val="22"/>
            <w:u w:val="single"/>
          </w:rPr>
          <w:t xml:space="preserve">https://doi.org/10.21307/jofnem-2019-007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Saša Širca.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californicum</w:t>
      </w:r>
      <w:r>
        <w:rPr>
          <w:rFonts w:ascii="Calibri" w:hAnsi="Calibri" w:eastAsia="Calibri" w:cs="Calibri"/>
          <w:color w:val="000000"/>
          <w:sz w:val="22"/>
          <w:szCs w:val="22"/>
        </w:rPr>
        <w:t xml:space="preserve">. EPPO datasheets on pests recommended for regulation. Available online. </w:t>
      </w:r>
      <w:hyperlink r:id="rId20906a7b8a53d9af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44436a7b8a53d9c3a"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27383625" name="name38286a7b8a53da01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2906a7b8a53da01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137680">
    <w:multiLevelType w:val="hybridMultilevel"/>
    <w:lvl w:ilvl="0" w:tplc="58088019">
      <w:start w:val="1"/>
      <w:numFmt w:val="decimal"/>
      <w:lvlText w:val="%1."/>
      <w:lvlJc w:val="left"/>
      <w:pPr>
        <w:ind w:left="720" w:hanging="360"/>
      </w:pPr>
    </w:lvl>
    <w:lvl w:ilvl="1" w:tplc="58088019" w:tentative="1">
      <w:start w:val="1"/>
      <w:numFmt w:val="lowerLetter"/>
      <w:lvlText w:val="%2."/>
      <w:lvlJc w:val="left"/>
      <w:pPr>
        <w:ind w:left="1440" w:hanging="360"/>
      </w:pPr>
    </w:lvl>
    <w:lvl w:ilvl="2" w:tplc="58088019" w:tentative="1">
      <w:start w:val="1"/>
      <w:numFmt w:val="lowerRoman"/>
      <w:lvlText w:val="%3."/>
      <w:lvlJc w:val="right"/>
      <w:pPr>
        <w:ind w:left="2160" w:hanging="180"/>
      </w:pPr>
    </w:lvl>
    <w:lvl w:ilvl="3" w:tplc="58088019" w:tentative="1">
      <w:start w:val="1"/>
      <w:numFmt w:val="decimal"/>
      <w:lvlText w:val="%4."/>
      <w:lvlJc w:val="left"/>
      <w:pPr>
        <w:ind w:left="2880" w:hanging="360"/>
      </w:pPr>
    </w:lvl>
    <w:lvl w:ilvl="4" w:tplc="58088019" w:tentative="1">
      <w:start w:val="1"/>
      <w:numFmt w:val="lowerLetter"/>
      <w:lvlText w:val="%5."/>
      <w:lvlJc w:val="left"/>
      <w:pPr>
        <w:ind w:left="3600" w:hanging="360"/>
      </w:pPr>
    </w:lvl>
    <w:lvl w:ilvl="5" w:tplc="58088019" w:tentative="1">
      <w:start w:val="1"/>
      <w:numFmt w:val="lowerRoman"/>
      <w:lvlText w:val="%6."/>
      <w:lvlJc w:val="right"/>
      <w:pPr>
        <w:ind w:left="4320" w:hanging="180"/>
      </w:pPr>
    </w:lvl>
    <w:lvl w:ilvl="6" w:tplc="58088019" w:tentative="1">
      <w:start w:val="1"/>
      <w:numFmt w:val="decimal"/>
      <w:lvlText w:val="%7."/>
      <w:lvlJc w:val="left"/>
      <w:pPr>
        <w:ind w:left="5040" w:hanging="360"/>
      </w:pPr>
    </w:lvl>
    <w:lvl w:ilvl="7" w:tplc="58088019" w:tentative="1">
      <w:start w:val="1"/>
      <w:numFmt w:val="lowerLetter"/>
      <w:lvlText w:val="%8."/>
      <w:lvlJc w:val="left"/>
      <w:pPr>
        <w:ind w:left="5760" w:hanging="360"/>
      </w:pPr>
    </w:lvl>
    <w:lvl w:ilvl="8" w:tplc="58088019" w:tentative="1">
      <w:start w:val="1"/>
      <w:numFmt w:val="lowerRoman"/>
      <w:lvlText w:val="%9."/>
      <w:lvlJc w:val="right"/>
      <w:pPr>
        <w:ind w:left="6480" w:hanging="180"/>
      </w:pPr>
    </w:lvl>
  </w:abstractNum>
  <w:abstractNum w:abstractNumId="90137679">
    <w:multiLevelType w:val="hybridMultilevel"/>
    <w:lvl w:ilvl="0" w:tplc="152474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137679">
    <w:abstractNumId w:val="90137679"/>
  </w:num>
  <w:num w:numId="90137680">
    <w:abstractNumId w:val="901376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1087370" Type="http://schemas.microsoft.com/office/2011/relationships/commentsExtended" Target="commentsExtended.xml"/><Relationship Id="rId638717838" Type="http://schemas.microsoft.com/office/2011/relationships/people" Target="people.xml"/><Relationship Id="rId22206a7b8a53d634a" Type="http://schemas.openxmlformats.org/officeDocument/2006/relationships/hyperlink" Target="https://gd.eppo.int/taxon/XIPHCA/" TargetMode="External"/><Relationship Id="rId80736a7b8a53d63e1" Type="http://schemas.openxmlformats.org/officeDocument/2006/relationships/hyperlink" Target="https://gd.eppo.int/taxon/XIPHCA/categorization" TargetMode="External"/><Relationship Id="rId75476a7b8a53d90a4" Type="http://schemas.openxmlformats.org/officeDocument/2006/relationships/hyperlink" Target="https://doi.org/10.2903/j.efsa.2018.5298" TargetMode="External"/><Relationship Id="rId43226a7b8a53d922d" Type="http://schemas.openxmlformats.org/officeDocument/2006/relationships/hyperlink" Target="https://secure.fera.defra.gov.uk/" TargetMode="External"/><Relationship Id="rId17646a7b8a53d9449" Type="http://schemas.openxmlformats.org/officeDocument/2006/relationships/hyperlink" Target="https://entnemdept.ifas.ufl.edu/creatures/nematode/dagger_nematode.htm" TargetMode="External"/><Relationship Id="rId36036a7b8a53d96d1" Type="http://schemas.openxmlformats.org/officeDocument/2006/relationships/hyperlink" Target="https://doi.org/10.1371/journal.pone.0217506" TargetMode="External"/><Relationship Id="rId18786a7b8a53d97a0" Type="http://schemas.openxmlformats.org/officeDocument/2006/relationships/hyperlink" Target="https://pra.eppo.int/pra/1eb7d285-8ce3-4170-8f95-9a1b44547555" TargetMode="External"/><Relationship Id="rId41516a7b8a53d9a3f" Type="http://schemas.openxmlformats.org/officeDocument/2006/relationships/hyperlink" Target="https://doi.org/10.21307/jofnem-2019-007" TargetMode="External"/><Relationship Id="rId20906a7b8a53d9af4" Type="http://schemas.openxmlformats.org/officeDocument/2006/relationships/hyperlink" Target="https://gd.eppo.int" TargetMode="External"/><Relationship Id="rId44436a7b8a53d9c3a" Type="http://schemas.openxmlformats.org/officeDocument/2006/relationships/hyperlink" Target="https://doi.org/10.1111/j.1365-2338.1984.tb01984.x" TargetMode="External"/><Relationship Id="rId44676a7b8a53d837a" Type="http://schemas.openxmlformats.org/officeDocument/2006/relationships/image" Target="media/imgrId44676a7b8a53d837a.jpg"/><Relationship Id="rId62906a7b8a53da01a" Type="http://schemas.openxmlformats.org/officeDocument/2006/relationships/image" Target="media/imgrId62906a7b8a53da01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