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californicum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americanum sensu stricto, Xiphinema bricolense,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californicum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Lamberti &amp; Bleve-Zacheo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95856ab33e641a8a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696ab33e641a91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XIPHCA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Lamberti &amp; Bleve-Zacheo, 1969 is a member of the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those species that have been confirmed as virus vectors can be recommended yet.Therefore,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appears to be non-specific with regard to host plant,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viruses.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Cherry rasp leaf virus</w:t>
      </w:r>
      <w:r>
        <w:rPr>
          <w:rFonts w:ascii="Calibri" w:hAnsi="Calibri" w:eastAsia="Calibri" w:cs="Calibri"/>
          <w:color w:val="000000"/>
          <w:sz w:val="22"/>
          <w:szCs w:val="22"/>
        </w:rPr>
        <w:t xml:space="preserve">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noted different transmission efficiency of three ToRSV strains by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nematodes. The host plant range of these viruses is wide, including woody and ornamental plants and several weed species. Important host plants of these viruses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(plum, cherry and peach),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(Lamberti &amp; Bleve-Zacheo, 1979; Taylor &amp; Brown, 1997).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Vasconcellea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has been reported from North and South America. This species has not been reported in the EPPO region.</w:t>
      </w:r>
    </w:p>
    <w:p>
      <w:r>
        <w:drawing>
          <wp:inline distT="0" distB="0" distL="0" distR="0">
            <wp:extent cx="6120000" cy="3067200"/>
            <wp:docPr id="68442058" name="name85926ab33e641bcca" descr="XIPH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CA_distribution_map.jpg"/>
                    <pic:cNvPicPr/>
                  </pic:nvPicPr>
                  <pic:blipFill>
                    <a:blip r:embed="rId73356ab33e641bcc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California, Hawaii, New York,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Rio de Janeiro, Rio Grande do Sul, Sao Paulo), Chile,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and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juveniles and reported that some published measurements clearly indicated four juvenile stages but three larval developmental stages have also been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requires at least 1 year to complete and the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an efficient vector of several viruses, with adults and juvenile stages able to transmit viruses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ToRSV, TRSV and CRLV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ability to transmit virus may vary among different populations of the same nematode species (Griesbach &amp; Maggenti,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nematodes are minute, soft-bodied, vermiform and nearly transparent. They have a hard, needle-like stylet (odontostyle and odontophore) at the mouth-end of the body which is capable of being extruded to puncture plant cells. General morphological characteristics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s.l. species (usually &lt;150 μm) stylet (odontostyle + odontophore), thick cuticular lining of the pharynx, males usually absent or rare, female genital branches equally developed, uterus short and without Z-organ, presence of symbiotic bacteria in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adhering to plant roots, bulbs and tubers. Consequently,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may be found following processing of plant material using methods such as modified Baermann processes. Detailed descriptions of extraction equipment and procedures can be found in EPPO PM 7/119 (1) Nematode extraction (EPPO, 2013). After extraction, the nematodes are examined by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spends its entire life cycle in the soil, feeding on roots of plants. It can only live in moist soil where it can move at most 1 m per year, unless assisted by run-off. Bare rooted plants free from soil are not a pathway for movement. The pest is transported solely in soil associated with plants for planting, plant products (such as, soil associated with ware potatoes),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linked to its capacity to vector North American nepoviruses (Taylor &amp; Brown, 1981, 1997), which are important mainly on fruit crops.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reported to transmit the following viruses: ToRSV, TRSV and CLRV.</w:t>
      </w:r>
    </w:p>
    <w:p>
      <w:pPr>
        <w:widowControl w:val="on"/>
        <w:pBdr/>
        <w:spacing w:before="220" w:after="220" w:line="240" w:lineRule="auto"/>
        <w:ind w:left="0" w:right="0"/>
        <w:jc w:val="both"/>
      </w:pPr>
      <w:r>
        <w:rPr>
          <w:rFonts w:ascii="Calibri" w:hAnsi="Calibri" w:eastAsia="Calibri" w:cs="Calibri"/>
          <w:color w:val="000000"/>
          <w:sz w:val="22"/>
          <w:szCs w:val="22"/>
        </w:rPr>
        <w:t xml:space="preserve">Both ToRSV and TRSV have wide host ranges. A review of effects of the viruses on economically important crops was performed by NVWA (2010) and summarized thereafter.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but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 TRSV causes yield losses in soybean and blueberries in the USA. Serious losses were also reported in grapes in vineyards affected by a mixed infection of TRSV and ToRSV. The virus also affects cucurbits but causes only minor damage to these crops. Elsewhere, 60-80% yield losses were reported in aubergine in India and minor losses were reported in capsicum in Mexico (FERA, 2014).</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in the short term, e.g. the first 10 years after introduction the impact is assessed to be low and impact may occur only very locally. In the long term (decades), the virus-vector combination is expected to spread further mainly by human assistance and the impact may become similar to that in the USA where both the virus and vector are present. In Europe the impact of ToRSV and TRSV in combination with the vector may become higher than in the USA because of the limited availability of soil fumigants in Europe. The potential impact of the viruses in combination with the vector in Europe was assessed as follows (NVWA, 2010):</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ToRSV: high impact for several fruit crops.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TRSV: high impact for blueberry and probably also for grapes.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CLRV: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member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to transmit three American viruses CRLV, TRSV and ToRSV, which are quarantine pathogens. </w:t>
      </w:r>
      <w:r>
        <w:rPr>
          <w:rFonts w:ascii="Calibri" w:hAnsi="Calibri" w:eastAsia="Calibri" w:cs="Calibri"/>
          <w:i/>
          <w:iCs/>
          <w:color w:val="000000"/>
          <w:sz w:val="22"/>
          <w:szCs w:val="22"/>
        </w:rPr>
        <w:t xml:space="preserve">X. californicum&lt;</w:t>
      </w:r>
      <w:r>
        <w:rPr>
          <w:rFonts w:ascii="Calibri" w:hAnsi="Calibri" w:eastAsia="Calibri" w:cs="Calibri"/>
          <w:color w:val="000000"/>
          <w:sz w:val="22"/>
          <w:szCs w:val="22"/>
        </w:rPr>
        <w:t xml:space="preserve"> may introduce or spread these viruses.</w:t>
      </w:r>
    </w:p>
    <w:p>
      <w:pPr>
        <w:widowControl w:val="on"/>
        <w:pBdr/>
        <w:spacing w:before="220" w:after="220" w:line="240" w:lineRule="auto"/>
        <w:ind w:left="0" w:right="0"/>
        <w:jc w:val="both"/>
      </w:pPr>
      <w:r>
        <w:rPr>
          <w:rFonts w:ascii="Calibri" w:hAnsi="Calibri" w:eastAsia="Calibri" w:cs="Calibri"/>
          <w:color w:val="000000"/>
          <w:sz w:val="22"/>
          <w:szCs w:val="22"/>
        </w:rPr>
        <w:t xml:space="preserve">If the viruses were introduced or spread in the EPPO region, introduction of the vector nematodes would increase the risk of spread, and more complex measures for the certification of virus-free material of fruit crops would be needed. Populations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especially those from North America, could certainly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TRSV and ToRSV detection in the EPPO region, however most relate to interceptions, are under eradication and are not known to be widely distributed. CRLV is not known to be present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countries where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occurs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be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 has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MV &amp; Gonsalves D (1986) Persistence of tomato ringspot virus and its vector in cold stored soil.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199-124.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88096ab33e641c920"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(European populations). </w:t>
      </w:r>
      <w:hyperlink r:id="rId41876ab33e641ca6f"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&amp; Maggenti AR (1989) Vector capability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p.517.</w:t>
      </w:r>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43386ab33e641cc32"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Hoy JW, Mircetich SM &amp; Lownsbery BF (1984) Differential transmission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tomato ringspot virus strains by </w:t>
      </w: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332-335.</w:t>
      </w:r>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International,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11: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(Nematoda, Longidoridae).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w:t>
      </w:r>
      <w:hyperlink r:id="rId57666ab33e641cead"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McGuire JM (1964) Efficiency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a vector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799-801.</w:t>
      </w:r>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w:t>
      </w:r>
      <w:r>
        <w:rPr>
          <w:rFonts w:ascii="Calibri" w:hAnsi="Calibri" w:eastAsia="Calibri" w:cs="Calibri"/>
          <w:color w:val="000000"/>
          <w:sz w:val="22"/>
          <w:szCs w:val="22"/>
        </w:rPr>
        <w:t xml:space="preserve">.l., 77pp. </w:t>
      </w:r>
      <w:hyperlink r:id="rId44316ab33e641cf78"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Julius-Kuhn-Archiv (Conference proceedings)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(1981) Nematode-virus interactions. In: Plant parasitic nematodes, Vol. III.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grapevine yellow 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 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82776ab33e641d21a" w:history="1">
        <w:r>
          <w:rPr>
            <w:rFonts w:ascii="Calibri" w:hAnsi="Calibri" w:eastAsia="Calibri" w:cs="Calibri"/>
            <w:color w:val="0000CC"/>
            <w:sz w:val="22"/>
            <w:szCs w:val="22"/>
            <w:u w:val="single"/>
          </w:rPr>
          <w:t xml:space="preserve">https://doi.org/10.21307/jofnem-2019-007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Saša Širca.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EPPO datasheets on pests recommended for regulation. Available online. </w:t>
      </w:r>
      <w:hyperlink r:id="rId69616ab33e641d2d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52046ab33e641d409"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32743519" name="name92366ab33e641d4a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976ab33e641d4a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46211">
    <w:multiLevelType w:val="hybridMultilevel"/>
    <w:lvl w:ilvl="0" w:tplc="13759279">
      <w:start w:val="1"/>
      <w:numFmt w:val="decimal"/>
      <w:lvlText w:val="%1."/>
      <w:lvlJc w:val="left"/>
      <w:pPr>
        <w:ind w:left="720" w:hanging="360"/>
      </w:pPr>
    </w:lvl>
    <w:lvl w:ilvl="1" w:tplc="13759279" w:tentative="1">
      <w:start w:val="1"/>
      <w:numFmt w:val="lowerLetter"/>
      <w:lvlText w:val="%2."/>
      <w:lvlJc w:val="left"/>
      <w:pPr>
        <w:ind w:left="1440" w:hanging="360"/>
      </w:pPr>
    </w:lvl>
    <w:lvl w:ilvl="2" w:tplc="13759279" w:tentative="1">
      <w:start w:val="1"/>
      <w:numFmt w:val="lowerRoman"/>
      <w:lvlText w:val="%3."/>
      <w:lvlJc w:val="right"/>
      <w:pPr>
        <w:ind w:left="2160" w:hanging="180"/>
      </w:pPr>
    </w:lvl>
    <w:lvl w:ilvl="3" w:tplc="13759279" w:tentative="1">
      <w:start w:val="1"/>
      <w:numFmt w:val="decimal"/>
      <w:lvlText w:val="%4."/>
      <w:lvlJc w:val="left"/>
      <w:pPr>
        <w:ind w:left="2880" w:hanging="360"/>
      </w:pPr>
    </w:lvl>
    <w:lvl w:ilvl="4" w:tplc="13759279" w:tentative="1">
      <w:start w:val="1"/>
      <w:numFmt w:val="lowerLetter"/>
      <w:lvlText w:val="%5."/>
      <w:lvlJc w:val="left"/>
      <w:pPr>
        <w:ind w:left="3600" w:hanging="360"/>
      </w:pPr>
    </w:lvl>
    <w:lvl w:ilvl="5" w:tplc="13759279" w:tentative="1">
      <w:start w:val="1"/>
      <w:numFmt w:val="lowerRoman"/>
      <w:lvlText w:val="%6."/>
      <w:lvlJc w:val="right"/>
      <w:pPr>
        <w:ind w:left="4320" w:hanging="180"/>
      </w:pPr>
    </w:lvl>
    <w:lvl w:ilvl="6" w:tplc="13759279" w:tentative="1">
      <w:start w:val="1"/>
      <w:numFmt w:val="decimal"/>
      <w:lvlText w:val="%7."/>
      <w:lvlJc w:val="left"/>
      <w:pPr>
        <w:ind w:left="5040" w:hanging="360"/>
      </w:pPr>
    </w:lvl>
    <w:lvl w:ilvl="7" w:tplc="13759279" w:tentative="1">
      <w:start w:val="1"/>
      <w:numFmt w:val="lowerLetter"/>
      <w:lvlText w:val="%8."/>
      <w:lvlJc w:val="left"/>
      <w:pPr>
        <w:ind w:left="5760" w:hanging="360"/>
      </w:pPr>
    </w:lvl>
    <w:lvl w:ilvl="8" w:tplc="13759279" w:tentative="1">
      <w:start w:val="1"/>
      <w:numFmt w:val="lowerRoman"/>
      <w:lvlText w:val="%9."/>
      <w:lvlJc w:val="right"/>
      <w:pPr>
        <w:ind w:left="6480" w:hanging="180"/>
      </w:pPr>
    </w:lvl>
  </w:abstractNum>
  <w:abstractNum w:abstractNumId="93546210">
    <w:multiLevelType w:val="hybridMultilevel"/>
    <w:lvl w:ilvl="0" w:tplc="16366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46210">
    <w:abstractNumId w:val="93546210"/>
  </w:num>
  <w:num w:numId="93546211">
    <w:abstractNumId w:val="935462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6738149" Type="http://schemas.microsoft.com/office/2011/relationships/commentsExtended" Target="commentsExtended.xml"/><Relationship Id="rId243829528" Type="http://schemas.microsoft.com/office/2011/relationships/people" Target="people.xml"/><Relationship Id="rId95856ab33e641a8a1" Type="http://schemas.openxmlformats.org/officeDocument/2006/relationships/hyperlink" Target="https://gd.eppo.int/taxon/XIPHCA/" TargetMode="External"/><Relationship Id="rId48696ab33e641a911" Type="http://schemas.openxmlformats.org/officeDocument/2006/relationships/hyperlink" Target="https://gd.eppo.int/taxon/XIPHCA/categorization" TargetMode="External"/><Relationship Id="rId88096ab33e641c920" Type="http://schemas.openxmlformats.org/officeDocument/2006/relationships/hyperlink" Target="https://doi.org/10.2903/j.efsa.2018.5298" TargetMode="External"/><Relationship Id="rId41876ab33e641ca6f" Type="http://schemas.openxmlformats.org/officeDocument/2006/relationships/hyperlink" Target="https://secure.fera.defra.gov.uk/" TargetMode="External"/><Relationship Id="rId43386ab33e641cc32" Type="http://schemas.openxmlformats.org/officeDocument/2006/relationships/hyperlink" Target="https://entnemdept.ifas.ufl.edu/creatures/nematode/dagger_nematode.htm" TargetMode="External"/><Relationship Id="rId57666ab33e641cead" Type="http://schemas.openxmlformats.org/officeDocument/2006/relationships/hyperlink" Target="https://doi.org/10.1371/journal.pone.0217506" TargetMode="External"/><Relationship Id="rId44316ab33e641cf78" Type="http://schemas.openxmlformats.org/officeDocument/2006/relationships/hyperlink" Target="https://pra.eppo.int/pra/1eb7d285-8ce3-4170-8f95-9a1b44547555" TargetMode="External"/><Relationship Id="rId82776ab33e641d21a" Type="http://schemas.openxmlformats.org/officeDocument/2006/relationships/hyperlink" Target="https://doi.org/10.21307/jofnem-2019-007" TargetMode="External"/><Relationship Id="rId69616ab33e641d2d0" Type="http://schemas.openxmlformats.org/officeDocument/2006/relationships/hyperlink" Target="https://gd.eppo.int" TargetMode="External"/><Relationship Id="rId52046ab33e641d409" Type="http://schemas.openxmlformats.org/officeDocument/2006/relationships/hyperlink" Target="https://doi.org/10.1111/j.1365-2338.1984.tb01984.x" TargetMode="External"/><Relationship Id="rId73356ab33e641bcc6" Type="http://schemas.openxmlformats.org/officeDocument/2006/relationships/image" Target="media/imgrId73356ab33e641bcc6.jpg"/><Relationship Id="rId26976ab33e641d4a1" Type="http://schemas.openxmlformats.org/officeDocument/2006/relationships/image" Target="media/imgrId26976ab33e641d4a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