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bricolense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americanum sensu stricto, Xiphinema californicum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bricolense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Ebsary, Vrain &amp; Graham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38966a7dbf3bccf6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0126a7dbf3bccfd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XIPHBC</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Ebsary, Vrain &amp; Graham, 1989 is a member of the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&amp;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those species that have been confirmed as virus vectors can be recommended yet.Therefore,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appears to be non-specific with regard to host plants,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1994). The species was described from a population recovered from an apple orchard in Vernon, British Columbia, Canada (Ebsary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occurred mostly in vineyards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with rare findings in peach and apple orchards in the Okanagan and Similkameen valleys (Vrain &amp; Yorston, 1987), in British Columbia. It was therefore concluded that grapevine is a more suitable host for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than fruit trees (Taylor &amp; Brown, 1997). Important host plants of ToRSV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(plum, cherry and peach)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(Taylor &amp; Brown, 1997). However, its host plant range is wide, including woody and ornamental plants and several weed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is present in North America. It widespread in British Columbia, Canada (Vrain &amp; Yorston, 1987; Graham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Ebsary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it is also present in Washington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and California (Cho &amp; Robbins, 1991), USA.</w:t>
      </w:r>
    </w:p>
    <w:p>
      <w:r>
        <w:drawing>
          <wp:inline distT="0" distB="0" distL="0" distR="0">
            <wp:extent cx="6120000" cy="3067200"/>
            <wp:docPr id="6745226" name="name15956a7dbf3bce104" descr="XIPHB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BC_distribution_map.jpg"/>
                    <pic:cNvPicPr/>
                  </pic:nvPicPr>
                  <pic:blipFill>
                    <a:blip r:embed="rId77296a7dbf3bce10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&amp;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juveniles and reported that some published measurements clearly indicated four juvenile stages, but three larval developmental stages for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have also been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takes at least 1 year to complete and the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transmits ToRSV (Taylor &amp; Brown, 1997).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whose roots are being attacked by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water and nutrient deficiencies and are shown as stunted plant growth. With high population densities,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virus develops in the crop concerned. These usually first appear in the aerial parts of the plant in the growing season after transmission to the roots has occurred. However, some host plants remain symptomless after infection and therefore may escape detection as symptoms are not always evident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nematodes are minute, soft-bodied, vermiform and nearly transparent. They have a hard, needle-like stylet (odontostyle and odontophore) at the mouth-end of the body which is capable of being extruded to puncture plant cells. General morphological characteristics of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s.l. species (usually &lt;150 μm) stylet (odontostyle + odontophore), thick cuticular lining of the pharynx, males usually absent or rare, female genital branches equally developed, uterus short and without Z-organ, presence of symbiotic bacteria in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adhering to plant roots, bulbs and tubers. Consequently,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may be found following processing of plant material using methods such as modified Baermann processes. Detailed descriptions of extraction equipment and procedures can be found in EPPO PM 7/119 (1) Nematode extraction (EPPO, 2013). After extraction, the nematodes are examined by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spends its entire life cycle in the soil, feeding on roots of host plants. It can only live in moist soil where it can move at most 1 m per year, unless assisted by run-off. Bare rooted plants free from soil are not a pathway for movement. The pest is transported solely in soil associated with plants for planting, plant products (such as, soil associated with ware potatoes contaminated with soil),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w:t>
      </w:r>
      <w:r>
        <w:rPr>
          <w:rFonts w:ascii="Calibri" w:hAnsi="Calibri" w:eastAsia="Calibri" w:cs="Calibri"/>
          <w:i/>
          <w:iCs/>
          <w:color w:val="000000"/>
          <w:sz w:val="22"/>
          <w:szCs w:val="22"/>
        </w:rPr>
        <w:t xml:space="preserve"> X. bricolense</w:t>
      </w:r>
      <w:r>
        <w:rPr>
          <w:rFonts w:ascii="Calibri" w:hAnsi="Calibri" w:eastAsia="Calibri" w:cs="Calibri"/>
          <w:color w:val="000000"/>
          <w:sz w:val="22"/>
          <w:szCs w:val="22"/>
        </w:rPr>
        <w:t xml:space="preserve"> is linked to its capacity to vector ToRSV (Taylor &amp; Brown, 1997), which is important mainly on fruit crops. ToRSV has a wide host range. A review of effects of the viruses on economically important crops was performed by NVWA (2010) and is summarized here.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but not in neighbouring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on the short term, e.g. the first 10 years after introduction the impact is assessed to be low and only very locally impact may occur. On the long term (decades), the virus-vector combination is expected to spread further mainly by human assistance and the impact may become similar to that in the USA where both the virus and vector are present. In Europe the impact of ToRSV in combination with the vector may become higher than in the USA because of the limited availability of soil fumigants in Europe. The potential impact of the virus in combination with the vector in Europe was assessed as high for several fruit crops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is linked to the capacity of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to transmit ToRSV, which is a quarantine pest.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may introduce the virus.</w:t>
      </w:r>
    </w:p>
    <w:p>
      <w:pPr>
        <w:widowControl w:val="on"/>
        <w:pBdr/>
        <w:spacing w:before="220" w:after="220" w:line="240" w:lineRule="auto"/>
        <w:ind w:left="0" w:right="0"/>
        <w:jc w:val="both"/>
      </w:pPr>
      <w:r>
        <w:rPr>
          <w:rFonts w:ascii="Calibri" w:hAnsi="Calibri" w:eastAsia="Calibri" w:cs="Calibri"/>
          <w:color w:val="000000"/>
          <w:sz w:val="22"/>
          <w:szCs w:val="22"/>
        </w:rPr>
        <w:t xml:space="preserve">Introduction of the vector nematodes into the EPPO region would increase the risk of new introductions of ToRSV and spread of the virus within the region, and more complex measures for the certification of virus-free material of fruit crops would be needed. Populations of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from North America, could certainly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ToRSV detection in the EPPO region, however, most relate to interceptions, are under eradication and are not known to be widely distributed.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countries where </w:t>
      </w:r>
      <w:r>
        <w:rPr>
          <w:rFonts w:ascii="Calibri" w:hAnsi="Calibri" w:eastAsia="Calibri" w:cs="Calibri"/>
          <w:i/>
          <w:iCs/>
          <w:color w:val="000000"/>
          <w:sz w:val="22"/>
          <w:szCs w:val="22"/>
        </w:rPr>
        <w:t xml:space="preserve">X. bricolense</w:t>
      </w:r>
      <w:r>
        <w:rPr>
          <w:rFonts w:ascii="Calibri" w:hAnsi="Calibri" w:eastAsia="Calibri" w:cs="Calibri"/>
          <w:color w:val="000000"/>
          <w:sz w:val="22"/>
          <w:szCs w:val="22"/>
        </w:rPr>
        <w:t xml:space="preserve"> occurs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be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 has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MV &amp; Gonsalves D (1986) Persistence of tomato ringspot virus and its vector in cold stored soil.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199-124.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Robbins RT &amp; Vrain TC (1993) Transmission of nepoviruses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349-354.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Cho MR &amp; Robbins RT (1991) Morphological variation among 23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populations.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134-144.</w:t>
      </w:r>
    </w:p>
    <w:p>
      <w:pPr>
        <w:widowControl w:val="on"/>
        <w:pBdr/>
        <w:spacing w:before="220" w:after="220" w:line="240" w:lineRule="auto"/>
        <w:ind w:left="0" w:right="0"/>
        <w:jc w:val="left"/>
      </w:pPr>
      <w:r>
        <w:rPr>
          <w:rFonts w:ascii="Calibri" w:hAnsi="Calibri" w:eastAsia="Calibri" w:cs="Calibri"/>
          <w:color w:val="000000"/>
          <w:sz w:val="22"/>
          <w:szCs w:val="22"/>
        </w:rPr>
        <w:t xml:space="preserve">Ebsary BA, Vrain TC &amp; Graham MB (1989) Two new species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(Nematoda: Longidoridae) from British Columbia vineyards. </w:t>
      </w:r>
      <w:r>
        <w:rPr>
          <w:rFonts w:ascii="Calibri" w:hAnsi="Calibri" w:eastAsia="Calibri" w:cs="Calibri"/>
          <w:i/>
          <w:iCs/>
          <w:color w:val="000000"/>
          <w:sz w:val="22"/>
          <w:szCs w:val="22"/>
        </w:rPr>
        <w:t xml:space="preserve">Canadian Journal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801-804.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70326a7dbf3bcef1e"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Graham MB, Ebsary BA, Vrain TC &amp; Webster JM (1988) Distribution of </w:t>
      </w:r>
      <w:r>
        <w:rPr>
          <w:rFonts w:ascii="Calibri" w:hAnsi="Calibri" w:eastAsia="Calibri" w:cs="Calibri"/>
          <w:i/>
          <w:iCs/>
          <w:color w:val="000000"/>
          <w:sz w:val="22"/>
          <w:szCs w:val="22"/>
        </w:rPr>
        <w:t xml:space="preserve">Xiphinema bricolensis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pacificum</w:t>
      </w:r>
      <w:r>
        <w:rPr>
          <w:rFonts w:ascii="Calibri" w:hAnsi="Calibri" w:eastAsia="Calibri" w:cs="Calibri"/>
          <w:color w:val="000000"/>
          <w:sz w:val="22"/>
          <w:szCs w:val="22"/>
        </w:rPr>
        <w:t xml:space="preserve"> in vineyards of the Okanagan and Similkameen Valleys, British Columbia.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259-262.</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29186a7dbf3bcf1ff"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ISPM 27 Diagnostic Protocols for Regulated Pests DP 11: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e0217506. </w:t>
      </w:r>
      <w:hyperlink r:id="rId40946a7dbf3bcf374"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s.l</w:t>
      </w:r>
      <w:r>
        <w:rPr>
          <w:rFonts w:ascii="Calibri" w:hAnsi="Calibri" w:eastAsia="Calibri" w:cs="Calibri"/>
          <w:color w:val="000000"/>
          <w:sz w:val="22"/>
          <w:szCs w:val="22"/>
        </w:rPr>
        <w:t xml:space="preserve">., 77pp. </w:t>
      </w:r>
      <w:hyperlink r:id="rId96396a7dbf3bcf3c8"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 </w:t>
      </w:r>
      <w:r>
        <w:rPr>
          <w:rFonts w:ascii="Calibri" w:hAnsi="Calibri" w:eastAsia="Calibri" w:cs="Calibri"/>
          <w:color w:val="000000"/>
          <w:sz w:val="22"/>
          <w:szCs w:val="22"/>
        </w:rPr>
        <w:t xml:space="preserve">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Julius-Kuhn-Archiv (Conference proceedings)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20966a7dbf3bcf5f1" w:history="1">
        <w:r>
          <w:rPr>
            <w:rFonts w:ascii="Calibri" w:hAnsi="Calibri" w:eastAsia="Calibri" w:cs="Calibri"/>
            <w:color w:val="0000CC"/>
            <w:sz w:val="22"/>
            <w:szCs w:val="22"/>
            <w:u w:val="single"/>
          </w:rPr>
          <w:t xml:space="preserve">https://doi.org/10.21307/jofnem-2019-007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Vrain TC &amp; Yorston JM (1987) Plant-parasitic nematodes in orchards of the Okanagan valley of British Columbia.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85-87.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Saša Širca.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bricolense</w:t>
      </w:r>
      <w:r>
        <w:rPr>
          <w:rFonts w:ascii="Calibri" w:hAnsi="Calibri" w:eastAsia="Calibri" w:cs="Calibri"/>
          <w:color w:val="000000"/>
          <w:sz w:val="22"/>
          <w:szCs w:val="22"/>
        </w:rPr>
        <w:t xml:space="preserve">. EPPO datasheets on pests recommended for regulation. Available online. </w:t>
      </w:r>
      <w:hyperlink r:id="rId88366a7dbf3bcf70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41796a7dbf3bcf81a"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62975848" name="name76676a7dbf3bcf88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8176a7dbf3bcf87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547948">
    <w:multiLevelType w:val="hybridMultilevel"/>
    <w:lvl w:ilvl="0" w:tplc="34846751">
      <w:start w:val="1"/>
      <w:numFmt w:val="decimal"/>
      <w:lvlText w:val="%1."/>
      <w:lvlJc w:val="left"/>
      <w:pPr>
        <w:ind w:left="720" w:hanging="360"/>
      </w:pPr>
    </w:lvl>
    <w:lvl w:ilvl="1" w:tplc="34846751" w:tentative="1">
      <w:start w:val="1"/>
      <w:numFmt w:val="lowerLetter"/>
      <w:lvlText w:val="%2."/>
      <w:lvlJc w:val="left"/>
      <w:pPr>
        <w:ind w:left="1440" w:hanging="360"/>
      </w:pPr>
    </w:lvl>
    <w:lvl w:ilvl="2" w:tplc="34846751" w:tentative="1">
      <w:start w:val="1"/>
      <w:numFmt w:val="lowerRoman"/>
      <w:lvlText w:val="%3."/>
      <w:lvlJc w:val="right"/>
      <w:pPr>
        <w:ind w:left="2160" w:hanging="180"/>
      </w:pPr>
    </w:lvl>
    <w:lvl w:ilvl="3" w:tplc="34846751" w:tentative="1">
      <w:start w:val="1"/>
      <w:numFmt w:val="decimal"/>
      <w:lvlText w:val="%4."/>
      <w:lvlJc w:val="left"/>
      <w:pPr>
        <w:ind w:left="2880" w:hanging="360"/>
      </w:pPr>
    </w:lvl>
    <w:lvl w:ilvl="4" w:tplc="34846751" w:tentative="1">
      <w:start w:val="1"/>
      <w:numFmt w:val="lowerLetter"/>
      <w:lvlText w:val="%5."/>
      <w:lvlJc w:val="left"/>
      <w:pPr>
        <w:ind w:left="3600" w:hanging="360"/>
      </w:pPr>
    </w:lvl>
    <w:lvl w:ilvl="5" w:tplc="34846751" w:tentative="1">
      <w:start w:val="1"/>
      <w:numFmt w:val="lowerRoman"/>
      <w:lvlText w:val="%6."/>
      <w:lvlJc w:val="right"/>
      <w:pPr>
        <w:ind w:left="4320" w:hanging="180"/>
      </w:pPr>
    </w:lvl>
    <w:lvl w:ilvl="6" w:tplc="34846751" w:tentative="1">
      <w:start w:val="1"/>
      <w:numFmt w:val="decimal"/>
      <w:lvlText w:val="%7."/>
      <w:lvlJc w:val="left"/>
      <w:pPr>
        <w:ind w:left="5040" w:hanging="360"/>
      </w:pPr>
    </w:lvl>
    <w:lvl w:ilvl="7" w:tplc="34846751" w:tentative="1">
      <w:start w:val="1"/>
      <w:numFmt w:val="lowerLetter"/>
      <w:lvlText w:val="%8."/>
      <w:lvlJc w:val="left"/>
      <w:pPr>
        <w:ind w:left="5760" w:hanging="360"/>
      </w:pPr>
    </w:lvl>
    <w:lvl w:ilvl="8" w:tplc="34846751" w:tentative="1">
      <w:start w:val="1"/>
      <w:numFmt w:val="lowerRoman"/>
      <w:lvlText w:val="%9."/>
      <w:lvlJc w:val="right"/>
      <w:pPr>
        <w:ind w:left="6480" w:hanging="180"/>
      </w:pPr>
    </w:lvl>
  </w:abstractNum>
  <w:abstractNum w:abstractNumId="64547947">
    <w:multiLevelType w:val="hybridMultilevel"/>
    <w:lvl w:ilvl="0" w:tplc="840173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547947">
    <w:abstractNumId w:val="64547947"/>
  </w:num>
  <w:num w:numId="64547948">
    <w:abstractNumId w:val="6454794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0324972" Type="http://schemas.microsoft.com/office/2011/relationships/commentsExtended" Target="commentsExtended.xml"/><Relationship Id="rId800250138" Type="http://schemas.microsoft.com/office/2011/relationships/people" Target="people.xml"/><Relationship Id="rId38966a7dbf3bccf67" Type="http://schemas.openxmlformats.org/officeDocument/2006/relationships/hyperlink" Target="https://gd.eppo.int/taxon/XIPHBC/" TargetMode="External"/><Relationship Id="rId20126a7dbf3bccfd1" Type="http://schemas.openxmlformats.org/officeDocument/2006/relationships/hyperlink" Target="https://gd.eppo.int/taxon/XIPHBC/categorization" TargetMode="External"/><Relationship Id="rId70326a7dbf3bcef1e" Type="http://schemas.openxmlformats.org/officeDocument/2006/relationships/hyperlink" Target="https://doi.org/10.2903/j.efsa.2018.5298" TargetMode="External"/><Relationship Id="rId29186a7dbf3bcf1ff" Type="http://schemas.openxmlformats.org/officeDocument/2006/relationships/hyperlink" Target="https://entnemdept.ifas.ufl.edu/creatures/nematode/dagger_nematode.htm" TargetMode="External"/><Relationship Id="rId40946a7dbf3bcf374" Type="http://schemas.openxmlformats.org/officeDocument/2006/relationships/hyperlink" Target="https://doi.org/10.1371/journal.pone.0217506" TargetMode="External"/><Relationship Id="rId96396a7dbf3bcf3c8" Type="http://schemas.openxmlformats.org/officeDocument/2006/relationships/hyperlink" Target="https://pra.eppo.int/pra/1eb7d285-8ce3-4170-8f95-9a1b44547555" TargetMode="External"/><Relationship Id="rId20966a7dbf3bcf5f1" Type="http://schemas.openxmlformats.org/officeDocument/2006/relationships/hyperlink" Target="https://doi.org/10.21307/jofnem-2019-007" TargetMode="External"/><Relationship Id="rId88366a7dbf3bcf707" Type="http://schemas.openxmlformats.org/officeDocument/2006/relationships/hyperlink" Target="https://gd.eppo.int" TargetMode="External"/><Relationship Id="rId41796a7dbf3bcf81a" Type="http://schemas.openxmlformats.org/officeDocument/2006/relationships/hyperlink" Target="https://doi.org/10.1111/j.1365-2338.1984.tb01984.x" TargetMode="External"/><Relationship Id="rId77296a7dbf3bce101" Type="http://schemas.openxmlformats.org/officeDocument/2006/relationships/image" Target="media/imgrId77296a7dbf3bce101.jpg"/><Relationship Id="rId68176a7dbf3bcf87f" Type="http://schemas.openxmlformats.org/officeDocument/2006/relationships/image" Target="media/imgrId68176a7dbf3bcf87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