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americanum sensu lato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stricto, Xiphinema bricolense, Xiphinema californicum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americanum sensu lato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Cobb</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503769d7b6c40c57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XIPHAM</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group known as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is considered to comprise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Both morphologically and biochemically, most members of the group are difficult to distinguish and there remains considerable taxonomic debate regarding the number of species assigned to the group (Coomans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For this reason, much phytosanitary legislation in Europe continues to list all species assigned to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(non-European populations). Investigations into the identity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began in 1979 when Lamberti &amp; Bleve-Zacheo studied populations from disparate geographical areas and concluded that there were in fact 25 different species, 15 regarded as new. Subsequently, new studies and standard virus transmission tests were required to confirm the identity of those species that transmitted viruses (Trudgill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considers the group,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However, as the quarantine significance of these nematodes derives primarily from the ability to transmit important North American viruses, the datasheet concentrates on the few species which have been demonstrated to be vectors. Several other species, not shown to be vectors, have been reported to be present in the EPPO region. They are also mentioned in this datasheet, as they were previously referred to as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and it is necessary to indicate clearly that they are distinct from the vector species and, as a consequence, have no quarantine significance for the EPPO region. These species are </w:t>
      </w:r>
      <w:r>
        <w:rPr>
          <w:rFonts w:ascii="Calibri" w:hAnsi="Calibri" w:eastAsia="Calibri" w:cs="Calibri"/>
          <w:i/>
          <w:iCs/>
          <w:color w:val="000000"/>
          <w:sz w:val="22"/>
          <w:szCs w:val="22"/>
        </w:rPr>
        <w:t xml:space="preserve">X. brevicolle</w:t>
      </w:r>
      <w:r>
        <w:rPr>
          <w:rFonts w:ascii="Calibri" w:hAnsi="Calibri" w:eastAsia="Calibri" w:cs="Calibri"/>
          <w:color w:val="000000"/>
          <w:sz w:val="22"/>
          <w:szCs w:val="22"/>
        </w:rPr>
        <w:t xml:space="preserve"> Lordello &amp; Da Costa,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(Tulaganov) Kiryanova (=</w:t>
      </w:r>
      <w:r>
        <w:rPr>
          <w:rFonts w:ascii="Calibri" w:hAnsi="Calibri" w:eastAsia="Calibri" w:cs="Calibri"/>
          <w:i/>
          <w:iCs/>
          <w:color w:val="000000"/>
          <w:sz w:val="22"/>
          <w:szCs w:val="22"/>
        </w:rPr>
        <w:t xml:space="preserve">X. mediterraneum</w:t>
      </w:r>
      <w:r>
        <w:rPr>
          <w:rFonts w:ascii="Calibri" w:hAnsi="Calibri" w:eastAsia="Calibri" w:cs="Calibri"/>
          <w:color w:val="000000"/>
          <w:sz w:val="22"/>
          <w:szCs w:val="22"/>
        </w:rPr>
        <w:t xml:space="preserve"> Martelli &amp; Lamberti), </w:t>
      </w:r>
      <w:r>
        <w:rPr>
          <w:rFonts w:ascii="Calibri" w:hAnsi="Calibri" w:eastAsia="Calibri" w:cs="Calibri"/>
          <w:i/>
          <w:iCs/>
          <w:color w:val="000000"/>
          <w:sz w:val="22"/>
          <w:szCs w:val="22"/>
        </w:rPr>
        <w:t xml:space="preserve">X. incertum</w:t>
      </w:r>
      <w:r>
        <w:rPr>
          <w:rFonts w:ascii="Calibri" w:hAnsi="Calibri" w:eastAsia="Calibri" w:cs="Calibri"/>
          <w:color w:val="000000"/>
          <w:sz w:val="22"/>
          <w:szCs w:val="22"/>
        </w:rPr>
        <w:t xml:space="preserve"> Lamberti, Choleva &amp; Agostinelli, and </w:t>
      </w:r>
      <w:r>
        <w:rPr>
          <w:rFonts w:ascii="Calibri" w:hAnsi="Calibri" w:eastAsia="Calibri" w:cs="Calibri"/>
          <w:i/>
          <w:iCs/>
          <w:color w:val="000000"/>
          <w:sz w:val="22"/>
          <w:szCs w:val="22"/>
        </w:rPr>
        <w:t xml:space="preserve">X. simile</w:t>
      </w:r>
      <w:r>
        <w:rPr>
          <w:rFonts w:ascii="Calibri" w:hAnsi="Calibri" w:eastAsia="Calibri" w:cs="Calibri"/>
          <w:color w:val="000000"/>
          <w:sz w:val="22"/>
          <w:szCs w:val="22"/>
        </w:rPr>
        <w:t xml:space="preserve"> Lamberti, Choleva &amp; Agostinelli.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transmits viruses. The host range is wide including mainly woody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belonging to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occur in Africa and are widespread in Asia, Central and South America, Europe and North America. They have been found infrequently in Australasia and Oceania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belonging to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are migratory ectoparasites and spend their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and, in most populations, four juvenile stages are produced; among the North American populations, however, three juvenile stages only are commonly found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life cycle requires at least 1 year to complete. Optimum temperatures for reproduction are 20-24°C (Hunt, 1993). There is no specialized survival stage and all stages have been found to survive and mature in soil in the absence of a host, but the population will not multiply. The nematode does not survive long periods in frozen soil, and in areas of low winter temperatures overwintering is mainly in the egg stage. Where the soil is not frozen, all stages can survive the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are efficient vectors of several viruses, with adults and juvenile stages able to transmit virus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the nematode feeds and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direct damage by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appears to be economically important in several states in the United States (CABI, 2022), the importance of the group overall is due to the ability of some species to transmit economically important viruses.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reported that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rivesi</w:t>
      </w:r>
      <w:r>
        <w:rPr>
          <w:rFonts w:ascii="Calibri" w:hAnsi="Calibri" w:eastAsia="Calibri" w:cs="Calibri"/>
          <w:color w:val="000000"/>
          <w:sz w:val="22"/>
          <w:szCs w:val="22"/>
        </w:rPr>
        <w:t xml:space="preserve"> transmit cherry rasp leaf virus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tobacco ringspot virus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tomato ringspot virus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noted the broad-spectrum virus transmission capabilities of these North American populations compared with the relatively narrow specificity of transmission that exists between indigenous European viruses and their vector species. Stobbs &amp; Van Schagen (1996) reported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as a vector of peach rosette mosaic virus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by recovering 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per litre of soil sampled around the roots of PRMV infected vines, however, vector association does not fulfil standard transmission test criteria (Taylor &amp; Brown, 1997). </w:t>
      </w: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was shown to transmit only the two serologically distinguishable strains of ToRSV but was a more efficient vector of the peach stem pitting (PSP) strain than the prune line (PBL) strain of the virus. </w:t>
      </w:r>
      <w:r>
        <w:rPr>
          <w:rFonts w:ascii="Calibri" w:hAnsi="Calibri" w:eastAsia="Calibri" w:cs="Calibri"/>
          <w:i/>
          <w:iCs/>
          <w:color w:val="000000"/>
          <w:sz w:val="22"/>
          <w:szCs w:val="22"/>
        </w:rPr>
        <w:t xml:space="preserve">Xiphinema tarjanense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Xiphinema intermedium</w:t>
      </w:r>
      <w:r>
        <w:rPr>
          <w:rFonts w:ascii="Calibri" w:hAnsi="Calibri" w:eastAsia="Calibri" w:cs="Calibri"/>
          <w:color w:val="000000"/>
          <w:sz w:val="22"/>
          <w:szCs w:val="22"/>
        </w:rPr>
        <w:t xml:space="preserve"> are both reported to vector TRSV and ToRSV, and </w:t>
      </w:r>
      <w:r>
        <w:rPr>
          <w:rFonts w:ascii="Calibri" w:hAnsi="Calibri" w:eastAsia="Calibri" w:cs="Calibri"/>
          <w:i/>
          <w:iCs/>
          <w:color w:val="000000"/>
          <w:sz w:val="22"/>
          <w:szCs w:val="22"/>
        </w:rPr>
        <w:t xml:space="preserve">Xiphinema inaequale</w:t>
      </w:r>
      <w:r>
        <w:rPr>
          <w:rFonts w:ascii="Calibri" w:hAnsi="Calibri" w:eastAsia="Calibri" w:cs="Calibri"/>
          <w:color w:val="000000"/>
          <w:sz w:val="22"/>
          <w:szCs w:val="22"/>
        </w:rPr>
        <w:t xml:space="preserve"> has been shown to vector ToRSV (Verma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CRLV, PRMV TRSV and ToRSV are listed as recommended for regulation by EPPO. Until recently, no European populations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had been shown to transmit these viruses; however, Sirca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reported transmission of TRSV and ToRSV to bait plants by a Slovenian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with no known links to imported consignments.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the identification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These nematodes are minute soft-bodied, vermiform and almost transparent. They have a hard, needle-like 'stylet' (odontostyle and odontophore) at the mouth-end of the body. The following combination of characters distinguishes members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however, characters marked with an asterisk (*) are seldom observed in those species considered to be part of a </w:t>
      </w:r>
      <w:r>
        <w:rPr>
          <w:rFonts w:ascii="Calibri" w:hAnsi="Calibri" w:eastAsia="Calibri" w:cs="Calibri"/>
          <w:i/>
          <w:iCs/>
          <w:color w:val="000000"/>
          <w:sz w:val="22"/>
          <w:szCs w:val="22"/>
        </w:rPr>
        <w:t xml:space="preserve">Xiphinema pachydermum</w:t>
      </w:r>
      <w:r>
        <w:rPr>
          <w:rFonts w:ascii="Calibri" w:hAnsi="Calibri" w:eastAsia="Calibri" w:cs="Calibri"/>
          <w:color w:val="000000"/>
          <w:sz w:val="22"/>
          <w:szCs w:val="22"/>
        </w:rPr>
        <w:t xml:space="preserve">-group based on morphology: body length small to medium (length varies from 1.2 to 3.0 mm); body shape assumes a more or less open C to spiral shape when heat-relaxed; lip region rarely continuous, usually demarcated by a shallow depression or deep constriction; guide ring more anterior and the folded part of the guiding sheath shorter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odontostyle robust, length rarely exceeds 150 µm; pharyngeal bulb usually with thick platelet reinforcements of the lumen wall (bulb not offset from the rather wide slender part); nuclei in the pharyngeal bulb: dorsal nucleus is often recorded as further from the dorsal orifice and the subventral nucleus is placed more posteriorly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V% around or behind the middle of the body (V% = 42–65); female genital branches equally developed but generally short (short or very short uteri without Z-differentiation or spines and usually with weakly developed sphincter muscles*); compact ovaries, comprising rather few and narrow germ cells and typically associated with verrucomicrobial endosymbionts*; tail short, conoid, rounded to slightly digitate, rarely broadly rounded; tail terminus generally pointed or rounded; males rare, females devoid of sperm*; male usually with 5–11 ventromedian supplements, with the most posterior lying closer to the paired precloacal papillae (adanal papillae)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(i.e. within spicula range); three or four juvenile stages (EPPO,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adhered to plant roots, bulbs and tubers. Consequently,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may be found following processing of plant material using other methods such as modified Baermann processes. Detailed descriptions of extraction equipment and procedures can be found in EPPO PM 7/119 Nematode extraction (EPPO, 2013). After extraction, nematodes are examined using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species spend their entire life cycle in the soil, feeding on the roots of host plants. These nematodes can live only in moist soil and in that medium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within this group are most important as a vector of the following American viruses (Taylor &amp; Brown, 1981), which are important mainly on fruit crops: ToRSV, TRSV, CLRV, and PRMV. Soybean severe stunt nepovirus is a relatively minor North American pathogen also reported to be transmitted by </w:t>
      </w:r>
      <w:r>
        <w:rPr>
          <w:rFonts w:ascii="Calibri" w:hAnsi="Calibri" w:eastAsia="Calibri" w:cs="Calibri"/>
          <w:i/>
          <w:iCs/>
          <w:color w:val="000000"/>
          <w:sz w:val="22"/>
          <w:szCs w:val="22"/>
        </w:rPr>
        <w:t xml:space="preserve">X. americanum s.l.</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viruses is the major cause of damage. In the EPPO region,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of the </w:t>
      </w:r>
      <w:r>
        <w:rPr>
          <w:rFonts w:ascii="Calibri" w:hAnsi="Calibri" w:eastAsia="Calibri" w:cs="Calibri"/>
          <w:i/>
          <w:iCs/>
          <w:color w:val="000000"/>
          <w:sz w:val="22"/>
          <w:szCs w:val="22"/>
        </w:rPr>
        <w:t xml:space="preserve">americanum</w:t>
      </w:r>
      <w:r>
        <w:rPr>
          <w:rFonts w:ascii="Calibri" w:hAnsi="Calibri" w:eastAsia="Calibri" w:cs="Calibri"/>
          <w:color w:val="000000"/>
          <w:sz w:val="22"/>
          <w:szCs w:val="22"/>
        </w:rPr>
        <w:t xml:space="preserve"> group are not reported to cause any significant damage (Lamberti &amp; Siddiqi, 1977), nor to transmit viruses. Transmission of PRMV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never been independently confirmed in transmission tests. It is implied that PRMV is only transmitted by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(see biology). In many areas of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occurs more frequently than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and is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(Robbins &amp; Brown, 1991). In the EPPO region, transmission of nepoviruses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field has not been reported. Under experimental conditions, the ability to transmit ToRSV and TRSV has been shown in Slovenia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Similarly, a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 from Chile, was shown to transmit ToRSV (Auger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is assumed that the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populations present in other areas in the EPPO region may also transmit these viruses but so far this has not been reported.</w:t>
      </w:r>
    </w:p>
    <w:p>
      <w:pPr>
        <w:widowControl w:val="on"/>
        <w:pBdr/>
        <w:spacing w:before="220" w:after="220" w:line="240" w:lineRule="auto"/>
        <w:ind w:left="0" w:right="0"/>
        <w:jc w:val="left"/>
      </w:pPr>
      <w:r>
        <w:rPr>
          <w:rFonts w:ascii="Calibri" w:hAnsi="Calibri" w:eastAsia="Calibri" w:cs="Calibri"/>
          <w:color w:val="000000"/>
          <w:sz w:val="22"/>
          <w:szCs w:val="22"/>
        </w:rPr>
        <w:t xml:space="preserve">Both ToRSV and TRSV have wide host ranges. A review of effects of the viruses on economically important crops was performed by NVWA (2010</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however,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dual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left"/>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in the short term, e.g. the first 10 years after introduction the impact is assessed to be low and impact may occur only very locally. In the long term (decades), the virus-vector combination is expected to spread further mainly by human assistance and the impact may become similar to that in the USA where both the virus and vector are present. In Europe the impact of ToRSV and TRSV in combination with the vector may become higher than in the USA because of the limited availability of soil fumigants in EPPO countries (e.g. EU countries).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however the efficacy of these measures is limited (it is considered that the efficacy never reaches 100%) and the nematodes that remain in the soil can still transmit viruses to the roots of the host plants (EFSA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2018). Soil disinfection by physical treatments does not eliminate nematodes under field conditions due to the vertical distribution (depth) of the nematode which depends on availability of roots of host plants and moisture regime (EFSA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certain species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to transmit the four American viruses (ToRSV, TRSV, CLRV, and PRMV) which are also on the EPPO lists of pests recommended for regulation as quarantine pests. These nematode species may introduce these viruses. If the viruses were introduced or spread further in the EPPO region, introduction of the vector nematodes would increase the risk of spread, and more complex measures for the certification of virus-free material of fruit crops would be needed. Populations of these nematodes from outside the EPPO region, especially those from North America, could establish and spread within the EPPO region. Only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known vectors of the American viruses and thus qualify as pests to be recommended for regulation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non-EPPO countries where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occur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have been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nematodes have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Auger J, Leal G, Magunacelaya JC &amp; Esterio M (2009)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Chile transmits Tomato ringspot virus to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971.</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MW &amp; Gonsalves D (1987) Spatial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and persistence of tomato ringspot virus and its vector in soil.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408-411.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(dagger nematode). CABI Compendium. </w:t>
      </w:r>
      <w:hyperlink r:id="rId420469d7b6c40d8ca" w:history="1">
        <w:r>
          <w:rPr>
            <w:rFonts w:ascii="Calibri" w:hAnsi="Calibri" w:eastAsia="Calibri" w:cs="Calibri"/>
            <w:color w:val="0000CC"/>
            <w:sz w:val="22"/>
            <w:szCs w:val="22"/>
            <w:u w:val="single"/>
          </w:rPr>
          <w:t xml:space="preserve">https://doi.org/10.1079/cabicompendium.57023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Coomans A, Huys R, Heyns J &amp; Luc M (2001) Character analysis, phylogeny and biogeography of the genus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Cobb, 1913 (Nematoda: Longidoridae). </w:t>
      </w:r>
      <w:r>
        <w:rPr>
          <w:rFonts w:ascii="Calibri" w:hAnsi="Calibri" w:eastAsia="Calibri" w:cs="Calibri"/>
          <w:i/>
          <w:iCs/>
          <w:color w:val="000000"/>
          <w:sz w:val="22"/>
          <w:szCs w:val="22"/>
        </w:rPr>
        <w:t xml:space="preserve">Annales du Musée Royal de l’Afrique Centrale, Sciences Zoologiques, Tervuren</w:t>
      </w:r>
      <w:r>
        <w:rPr>
          <w:rFonts w:ascii="Calibri" w:hAnsi="Calibri" w:eastAsia="Calibri" w:cs="Calibri"/>
          <w:color w:val="000000"/>
          <w:sz w:val="22"/>
          <w:szCs w:val="22"/>
        </w:rPr>
        <w:t xml:space="preserve"> (BE),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166269d7b6c40d9bc"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(European populations). </w:t>
      </w:r>
      <w:hyperlink r:id="rId678669d7b6c40daf6"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158169d7b6c40dbe2"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Siddiqi MR (1977) </w:t>
      </w:r>
      <w:r>
        <w:rPr>
          <w:rFonts w:ascii="Calibri" w:hAnsi="Calibri" w:eastAsia="Calibri" w:cs="Calibri"/>
          <w:i/>
          <w:iCs/>
          <w:color w:val="000000"/>
          <w:sz w:val="22"/>
          <w:szCs w:val="22"/>
        </w:rPr>
        <w:t xml:space="preserve">Xiphinema pachtaicum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mediterraneum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w:t>
      </w:r>
      <w:r>
        <w:rPr>
          <w:rFonts w:ascii="Calibri" w:hAnsi="Calibri" w:eastAsia="Calibri" w:cs="Calibri"/>
          <w:color w:val="000000"/>
          <w:sz w:val="22"/>
          <w:szCs w:val="22"/>
        </w:rPr>
        <w:t xml:space="preserve"> No. 94.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598469d7b6c40dede"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390969d7b6c40df32"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427,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(6), p 770.</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 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p 105.</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w:t>
      </w:r>
      <w:r>
        <w:rPr>
          <w:rFonts w:ascii="Calibri" w:hAnsi="Calibri" w:eastAsia="Calibri" w:cs="Calibri"/>
          <w:i/>
          <w:iCs/>
          <w:color w:val="000000"/>
          <w:sz w:val="22"/>
          <w:szCs w:val="22"/>
        </w:rPr>
        <w:t xml:space="preserve">Plant parasitic nematodes</w:t>
      </w:r>
      <w:r>
        <w:rPr>
          <w:rFonts w:ascii="Calibri" w:hAnsi="Calibri" w:eastAsia="Calibri" w:cs="Calibri"/>
          <w:color w:val="000000"/>
          <w:sz w:val="22"/>
          <w:szCs w:val="22"/>
        </w:rPr>
        <w:t xml:space="preserve">,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Trudgill DL, Brown DJF &amp; McNamara DG (1983) Methods and criteria for assessing the transmission of plant viruses by longidorid nematodes.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133-141.</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303469d7b6c40e4a6"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Verma AK, Khan ML &amp; Handa A (2003) Transmission of tomato ringspot virus by </w:t>
      </w:r>
      <w:r>
        <w:rPr>
          <w:rFonts w:ascii="Calibri" w:hAnsi="Calibri" w:eastAsia="Calibri" w:cs="Calibri"/>
          <w:i/>
          <w:iCs/>
          <w:color w:val="000000"/>
          <w:sz w:val="22"/>
          <w:szCs w:val="22"/>
        </w:rPr>
        <w:t xml:space="preserve">Xiphinema inaequale</w:t>
      </w:r>
      <w:r>
        <w:rPr>
          <w:rFonts w:ascii="Calibri" w:hAnsi="Calibri" w:eastAsia="Calibri" w:cs="Calibri"/>
          <w:color w:val="000000"/>
          <w:sz w:val="22"/>
          <w:szCs w:val="22"/>
        </w:rPr>
        <w:t xml:space="preserve"> (Khan and Ahmed, 1975) Bajaj and Jairajpuri 1979, associated with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in Himachal Pradesh. </w:t>
      </w:r>
      <w:r>
        <w:rPr>
          <w:rFonts w:ascii="Calibri" w:hAnsi="Calibri" w:eastAsia="Calibri" w:cs="Calibri"/>
          <w:i/>
          <w:iCs/>
          <w:color w:val="000000"/>
          <w:sz w:val="22"/>
          <w:szCs w:val="22"/>
        </w:rPr>
        <w:t xml:space="preserve">Pest Management and Economic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189-192.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Tom Prior.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datasheets on pests recommended for regulation. Available online. </w:t>
      </w:r>
      <w:hyperlink r:id="rId975069d7b6c40e60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578569d7b6c40e6f8"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44432801" name="name255669d7b6c40e7c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5169d7b6c40e7c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119993">
    <w:multiLevelType w:val="hybridMultilevel"/>
    <w:lvl w:ilvl="0" w:tplc="49875805">
      <w:start w:val="1"/>
      <w:numFmt w:val="decimal"/>
      <w:lvlText w:val="%1."/>
      <w:lvlJc w:val="left"/>
      <w:pPr>
        <w:ind w:left="720" w:hanging="360"/>
      </w:pPr>
    </w:lvl>
    <w:lvl w:ilvl="1" w:tplc="49875805" w:tentative="1">
      <w:start w:val="1"/>
      <w:numFmt w:val="lowerLetter"/>
      <w:lvlText w:val="%2."/>
      <w:lvlJc w:val="left"/>
      <w:pPr>
        <w:ind w:left="1440" w:hanging="360"/>
      </w:pPr>
    </w:lvl>
    <w:lvl w:ilvl="2" w:tplc="49875805" w:tentative="1">
      <w:start w:val="1"/>
      <w:numFmt w:val="lowerRoman"/>
      <w:lvlText w:val="%3."/>
      <w:lvlJc w:val="right"/>
      <w:pPr>
        <w:ind w:left="2160" w:hanging="180"/>
      </w:pPr>
    </w:lvl>
    <w:lvl w:ilvl="3" w:tplc="49875805" w:tentative="1">
      <w:start w:val="1"/>
      <w:numFmt w:val="decimal"/>
      <w:lvlText w:val="%4."/>
      <w:lvlJc w:val="left"/>
      <w:pPr>
        <w:ind w:left="2880" w:hanging="360"/>
      </w:pPr>
    </w:lvl>
    <w:lvl w:ilvl="4" w:tplc="49875805" w:tentative="1">
      <w:start w:val="1"/>
      <w:numFmt w:val="lowerLetter"/>
      <w:lvlText w:val="%5."/>
      <w:lvlJc w:val="left"/>
      <w:pPr>
        <w:ind w:left="3600" w:hanging="360"/>
      </w:pPr>
    </w:lvl>
    <w:lvl w:ilvl="5" w:tplc="49875805" w:tentative="1">
      <w:start w:val="1"/>
      <w:numFmt w:val="lowerRoman"/>
      <w:lvlText w:val="%6."/>
      <w:lvlJc w:val="right"/>
      <w:pPr>
        <w:ind w:left="4320" w:hanging="180"/>
      </w:pPr>
    </w:lvl>
    <w:lvl w:ilvl="6" w:tplc="49875805" w:tentative="1">
      <w:start w:val="1"/>
      <w:numFmt w:val="decimal"/>
      <w:lvlText w:val="%7."/>
      <w:lvlJc w:val="left"/>
      <w:pPr>
        <w:ind w:left="5040" w:hanging="360"/>
      </w:pPr>
    </w:lvl>
    <w:lvl w:ilvl="7" w:tplc="49875805" w:tentative="1">
      <w:start w:val="1"/>
      <w:numFmt w:val="lowerLetter"/>
      <w:lvlText w:val="%8."/>
      <w:lvlJc w:val="left"/>
      <w:pPr>
        <w:ind w:left="5760" w:hanging="360"/>
      </w:pPr>
    </w:lvl>
    <w:lvl w:ilvl="8" w:tplc="49875805" w:tentative="1">
      <w:start w:val="1"/>
      <w:numFmt w:val="lowerRoman"/>
      <w:lvlText w:val="%9."/>
      <w:lvlJc w:val="right"/>
      <w:pPr>
        <w:ind w:left="6480" w:hanging="180"/>
      </w:pPr>
    </w:lvl>
  </w:abstractNum>
  <w:abstractNum w:abstractNumId="22119992">
    <w:multiLevelType w:val="hybridMultilevel"/>
    <w:lvl w:ilvl="0" w:tplc="171391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119992">
    <w:abstractNumId w:val="22119992"/>
  </w:num>
  <w:num w:numId="22119993">
    <w:abstractNumId w:val="221199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9722879" Type="http://schemas.microsoft.com/office/2011/relationships/commentsExtended" Target="commentsExtended.xml"/><Relationship Id="rId233509992" Type="http://schemas.microsoft.com/office/2011/relationships/people" Target="people.xml"/><Relationship Id="rId503769d7b6c40c574" Type="http://schemas.openxmlformats.org/officeDocument/2006/relationships/hyperlink" Target="https://gd.eppo.int/taxon/XIPHAM/" TargetMode="External"/><Relationship Id="rId420469d7b6c40d8ca" Type="http://schemas.openxmlformats.org/officeDocument/2006/relationships/hyperlink" Target="https://doi.org/10.1079/cabicompendium.57023" TargetMode="External"/><Relationship Id="rId166269d7b6c40d9bc" Type="http://schemas.openxmlformats.org/officeDocument/2006/relationships/hyperlink" Target="https://doi.org/10.2903/j.efsa.2018.5298" TargetMode="External"/><Relationship Id="rId678669d7b6c40daf6" Type="http://schemas.openxmlformats.org/officeDocument/2006/relationships/hyperlink" Target="https://secure.fera.defra.gov.uk/" TargetMode="External"/><Relationship Id="rId158169d7b6c40dbe2" Type="http://schemas.openxmlformats.org/officeDocument/2006/relationships/hyperlink" Target="https://entnemdept.ifas.ufl.edu/creatures/nematode/dagger_nematode.htm" TargetMode="External"/><Relationship Id="rId598469d7b6c40dede" Type="http://schemas.openxmlformats.org/officeDocument/2006/relationships/hyperlink" Target="https://doi.org/10.1371/journal.pone.0217506" TargetMode="External"/><Relationship Id="rId390969d7b6c40df32" Type="http://schemas.openxmlformats.org/officeDocument/2006/relationships/hyperlink" Target="https://pra.eppo.int/pra/1eb7d285-8ce3-4170-8f95-9a1b44547555" TargetMode="External"/><Relationship Id="rId303469d7b6c40e4a6" Type="http://schemas.openxmlformats.org/officeDocument/2006/relationships/hyperlink" Target="https://doi.org/10.21307/jofnem-2019-007" TargetMode="External"/><Relationship Id="rId975069d7b6c40e605" Type="http://schemas.openxmlformats.org/officeDocument/2006/relationships/hyperlink" Target="https://gd.eppo.int" TargetMode="External"/><Relationship Id="rId578569d7b6c40e6f8" Type="http://schemas.openxmlformats.org/officeDocument/2006/relationships/hyperlink" Target="https://doi.org/10.1111/j.1365-2338.1984.tb01984.x" TargetMode="External"/><Relationship Id="rId685169d7b6c40e7c7" Type="http://schemas.openxmlformats.org/officeDocument/2006/relationships/image" Target="media/imgrId685169d7b6c40e7c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