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americanum sensu stricto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both"/>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bricolense, Xiphinema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rivesi </w:t>
      </w:r>
      <w:r>
        <w:rPr>
          <w:rFonts w:ascii="Calibri" w:hAnsi="Calibri" w:eastAsia="Calibri" w:cs="Calibri"/>
          <w:color w:val="000000"/>
          <w:sz w:val="22"/>
          <w:szCs w:val="22"/>
        </w:rPr>
        <w:t xml:space="preserve">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americanum sensu stricto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Cobb</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Tylencholaimus americanus</w:t>
            </w:r>
            <w:r>
              <w:rPr>
                <w:rFonts w:ascii="Calibri" w:hAnsi="Calibri" w:eastAsia="Calibri" w:cs="Calibri"/>
                <w:color w:val="000000"/>
                <w:position w:val="-3"/>
                <w:sz w:val="22"/>
                <w:szCs w:val="22"/>
              </w:rPr>
              <w:t xml:space="preserve"> (Cobb) Micoletzky, </w:t>
            </w:r>
            <w:r>
              <w:rPr>
                <w:rFonts w:ascii="Calibri" w:hAnsi="Calibri" w:eastAsia="Calibri" w:cs="Calibri"/>
                <w:i/>
                <w:iCs/>
                <w:color w:val="000000"/>
                <w:position w:val="-3"/>
                <w:sz w:val="22"/>
                <w:szCs w:val="22"/>
              </w:rPr>
              <w:t xml:space="preserve">Xiphinema americanum</w:t>
            </w:r>
            <w:r>
              <w:rPr>
                <w:rFonts w:ascii="Calibri" w:hAnsi="Calibri" w:eastAsia="Calibri" w:cs="Calibri"/>
                <w:color w:val="000000"/>
                <w:position w:val="-3"/>
                <w:sz w:val="22"/>
                <w:szCs w:val="22"/>
              </w:rPr>
              <w:t xml:space="preserve"> Lamberti &amp; Bleve-Zacheo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dagger nematode, tobacco ring nematode</w:t>
            </w:r>
            <w:hyperlink r:id="rId95026681945cbdc6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2036681945cbdcd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XIPHAA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americanum sensu stricto (s.s)</w:t>
      </w:r>
      <w:r>
        <w:rPr>
          <w:rFonts w:ascii="Calibri" w:hAnsi="Calibri" w:eastAsia="Calibri" w:cs="Calibri"/>
          <w:color w:val="000000"/>
          <w:sz w:val="22"/>
          <w:szCs w:val="22"/>
        </w:rPr>
        <w:t xml:space="preserve">. Cobb, 1913 is a member of the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species that have been confirmed as virus vectors can be recommended yet. 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appears to be non-specific with regard to host plants,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transmits viruses.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reported that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transmits cherry rasp leaf virus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 tobacco ringspot virus (TRSV)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tomato ringspot virus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reported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as a vector of peach rosette mosaic virus (PRMV)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however, it is unclear whether </w:t>
      </w:r>
      <w:r>
        <w:rPr>
          <w:rFonts w:ascii="Calibri" w:hAnsi="Calibri" w:eastAsia="Calibri" w:cs="Calibri"/>
          <w:i/>
          <w:iCs/>
          <w:color w:val="000000"/>
          <w:sz w:val="22"/>
          <w:szCs w:val="22"/>
        </w:rPr>
        <w:t xml:space="preserve">X. americanum</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can vector PRMV. The ability to transmit virus may also vary among different populations of the same nematode species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noted the broad-spectrum virus transmission capabilities of the North American populations compared with the relatively narrow specificity of transmission that exists between indigenous European viruses and their vector species. Important host plants of these viruses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(plum, cherry and peach),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(Taylor &amp; Brown, 1997). The host plant range of these viruses is wide, including woody and ornamental plants and several weed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has been reported from North America and has not been reported in the EPPO region.</w:t>
      </w:r>
    </w:p>
    <w:p>
      <w:r>
        <w:drawing>
          <wp:inline distT="0" distB="0" distL="0" distR="0">
            <wp:extent cx="6120000" cy="3067200"/>
            <wp:docPr id="39123552" name="name69366681945cbeef9" descr="XIPHA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AA_distribution_map.jpg"/>
                    <pic:cNvPicPr/>
                  </pic:nvPicPr>
                  <pic:blipFill>
                    <a:blip r:embed="rId54556681945cbeef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(Arkansas, California, Florida, Georgia, Illinois, Indiana, Iowa, Kansas, Louisiana, Maryland, Massachusetts, Michigan, Minnesota, Mississippi, Missouri, New York, North Carolina, North Dakota, Oklahoma, Oregon, Pennsylvania, Rhode Island, South Carolina, South Dakota, Tennessee, Texas,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and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juveniles and reported that some published measurements clearly indicated four juvenile stages, while three larval developmental stages were also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requires at least 1 year to complete.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is an efficient vector of several viruses, with adults and juvenile stages able to transmit viruses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However, the viruses do not persist during the successive juvenile developmental stages (Bitterlin &amp; Gonsalves, 1986; Hunt, 1993;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Taylor &amp; Brown, 1997).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 densities,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nematodes are minute, soft-bodied, vermiform and almost transparent. They have a hard, needle-like stylet (odontostyle and odontophore) at the mouth-end of the body. General morphological characteristics of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species (usually &lt;150 μm) stylet (odontostyle + odontophore), thick cuticular lining of the pharynx, males usually absent or rare, female genital branches equally developed, uterus short and without Z-organ, presence of symbiotic bacteria surrounding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can be detected by extraction from soil or growing media (as is the case with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adhered to plant roots, bulbs and tubers. Consequently,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may be found following processing of plant material using other methods such as modified Baermann processes. Detailed descriptions of extraction equipment and procedures can be found in EPPO PM 7/119 Nematode extraction (EPPO, 2013). Following extraction, nematodes are examined using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spends the entirety of its life cycle in the soil, feeding on roots of host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is linked to its capacity to vector of the following American viruses (Taylor &amp; Brown, 1981), which are important mainly on fruit crops: ToRSV, TRSV, CLRV and PRMV.</w:t>
      </w:r>
    </w:p>
    <w:p>
      <w:pPr>
        <w:widowControl w:val="on"/>
        <w:pBdr/>
        <w:spacing w:before="220" w:after="220" w:line="240" w:lineRule="auto"/>
        <w:ind w:left="0" w:right="0"/>
        <w:jc w:val="both"/>
      </w:pPr>
      <w:r>
        <w:rPr>
          <w:rFonts w:ascii="Calibri" w:hAnsi="Calibri" w:eastAsia="Calibri" w:cs="Calibri"/>
          <w:color w:val="000000"/>
          <w:sz w:val="22"/>
          <w:szCs w:val="22"/>
        </w:rPr>
        <w:t xml:space="preserve">Both ToRSV and TRSV have wide host ranges. Reported effects of the viruses on economically important crops were performed by NVWA (2010). Adverse economic effects caused by ToRSV are principally related to fruit crops, particularly grapes and raspberries. In grapes, yield reductions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however it was not detected in neighboring peach orchards (Sertkaya, 2010). Among the horticultural crops ToRSV has been reported to produce symptoms on leaves of pelargonium, making plants unmarketable.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although impacts due to the virus infection are unknown. TRSV causes yield losses in soybean and blueberries in the USA. Serious losses were also reported in grapes in vineyards affected by a mixed infection of TRSV and ToRSV. The virus also affects cucurbits but causes only minor damage to these crops. Elsewhere, 60-80% yield losses were reported in aubergine in India and minor losses were reported in capsicum in Mexico (FERA, 2014).</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on the short term, e.g. the first 10 years after introduction the impact is assessed to be low and only very locally impact may occur. Longer term (decades), the virus-vector combination is expected to spread further mainly by human assistance and the impact may become similar to that in the USA where both the virus and vector are present. In Europe the impact of ToRSV and/or TRSV in combination with the vector may become higher than in the USA because of the limited availability of soil fumigants in Europe. The potential impact of the viruses in combination with the vector in Europe was assessed as follows (NVWA, 2010):</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ToRSV: high impact for several fruit crops.</w:t>
      </w:r>
      <w:r>
        <w:rPr>
          <w:rFonts w:ascii="Calibri" w:hAnsi="Calibri" w:eastAsia="Calibri" w:cs="Calibri"/>
          <w:color w:val="000000"/>
          <w:sz w:val="22"/>
          <w:szCs w:val="22"/>
        </w:rPr>
        <w:br/>
        <w:t xml:space="preserve">- TRSV: high impact for blueberry and probably also for grapes.</w:t>
      </w:r>
      <w:r>
        <w:rPr>
          <w:rFonts w:ascii="Calibri" w:hAnsi="Calibri" w:eastAsia="Calibri" w:cs="Calibri"/>
          <w:color w:val="000000"/>
          <w:sz w:val="22"/>
          <w:szCs w:val="22"/>
        </w:rPr>
        <w:br/>
        <w:t xml:space="preserve">- CLRV: low impact.</w:t>
      </w:r>
      <w:r>
        <w:rPr>
          <w:rFonts w:ascii="Calibri" w:hAnsi="Calibri" w:eastAsia="Calibri" w:cs="Calibri"/>
          <w:color w:val="000000"/>
          <w:sz w:val="22"/>
          <w:szCs w:val="22"/>
        </w:rPr>
        <w:br/>
        <w:t xml:space="preserve">- PRMV: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However,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for the EPPO region is linked to the capacity of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to transmit three American viruses CRLV, TRSV and ToRSV, which are also quarantine pathogens.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may thus introduce or spread these viruses.</w:t>
      </w:r>
    </w:p>
    <w:p>
      <w:pPr>
        <w:widowControl w:val="on"/>
        <w:pBdr/>
        <w:spacing w:before="220" w:after="220" w:line="240" w:lineRule="auto"/>
        <w:ind w:left="0" w:right="0"/>
        <w:jc w:val="both"/>
      </w:pPr>
      <w:r>
        <w:rPr>
          <w:rFonts w:ascii="Calibri" w:hAnsi="Calibri" w:eastAsia="Calibri" w:cs="Calibri"/>
          <w:color w:val="000000"/>
          <w:sz w:val="22"/>
          <w:szCs w:val="22"/>
        </w:rPr>
        <w:t xml:space="preserve">If the viruses were introduced or spread in the EPPO region, introduction of the vector nematodes would create an additional phytosanitary risk of more rapid spread, and more complex measures for the certification of virus-free material of fruit crops would be needed. Populations of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from outside the EPPO region, especially those from North America, could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the nematode (and associated viruses) is slow and considered to be at maximum 1 m per year. The virus and its vector may spread over longer distance with trade of plants with soil attached but the total infested area will increase slowly. Thus, on the short term, e.g. the first 10 years after introduction the impact is deemed to be low (NVWA, 2010) and only very local impact may occur. On a longer term (decades), the virus-vector combination is expected to spread further mainly by human assistance and the impact may become similar to that in the USA where both the virus and vector are present (NVWA, 2010). In Europe the impact of ToRSV and TRSV in combination with the vector may become higher than in the USA because of the limited availability of soil fumigants.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TRSV and ToRSV detection in the EPPO region, however, most relate to interceptions, are under eradication and are not known to be widely distributed. CRLV is not known to be present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reported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species as a vector of PRMV, it is unclear whether, </w:t>
      </w:r>
      <w:r>
        <w:rPr>
          <w:rFonts w:ascii="Calibri" w:hAnsi="Calibri" w:eastAsia="Calibri" w:cs="Calibri"/>
          <w:i/>
          <w:iCs/>
          <w:color w:val="000000"/>
          <w:sz w:val="22"/>
          <w:szCs w:val="22"/>
        </w:rPr>
        <w:t xml:space="preserve">X. americanum</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can vector PRMV. Should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be proven as a vector of PRMV this would result in additional risk as PRMV was detected at a low incidence in west Anatolia, Türkiye during almond nursery trees survey in 1992 and 1993 (Azerý &amp; Çýçek,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soil from non-EPPO countries where </w:t>
      </w:r>
      <w:r>
        <w:rPr>
          <w:rFonts w:ascii="Calibri" w:hAnsi="Calibri" w:eastAsia="Calibri" w:cs="Calibri"/>
          <w:i/>
          <w:iCs/>
          <w:color w:val="000000"/>
          <w:sz w:val="22"/>
          <w:szCs w:val="22"/>
        </w:rPr>
        <w:t xml:space="preserve">X. americanum sensu s.s.</w:t>
      </w:r>
      <w:r>
        <w:rPr>
          <w:rFonts w:ascii="Calibri" w:hAnsi="Calibri" w:eastAsia="Calibri" w:cs="Calibri"/>
          <w:color w:val="000000"/>
          <w:sz w:val="22"/>
          <w:szCs w:val="22"/>
        </w:rPr>
        <w:t xml:space="preserve"> occurs should be prohibited. Plants with roots may also be prohibited or precautions should be taken to ensure that the nematodes will not be carried in the roots. The field from which the plants came should have been tested and found free from the nematodes and, if the plants were in a growing medium, that must be either inorganic or have been tested, or treated against nematodes. If this is not the case, soil or growing medium attached to the plants can be removed and after removal, the plants can be repotted in pest-free soil or growing medium before export. Plants should have then been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specific conditions to prevent infestation help to reduce the risk of introduction and spread of TRSV, ToRSV and CRLV and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vector nematodes. Only planting material originating from areas where these viruses and their vector have not been reported, and where surveillance is carried out to confirm the absence of the pest (Pest Free Area, Pest Free Production Site) could be declared as pest free material and could be therefore used in the EU (Jager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use of certified or tested plants for planting help to reduce the risk of introducing and spreading of viruses not present or having a limited distribution in the region, and of their vector nematodes. Only planting material originating from areas where these viruses and their vector nematodes have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547-550.</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MW &amp; Gonsalves D (1987) Spatial distribution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and persistence of tomato ringspot virus and its vector in soil.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408-411.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Cobb NA (1913) New nematode genera found inhabiting freshwater and non-brackish soils. </w:t>
      </w:r>
      <w:r>
        <w:rPr>
          <w:rFonts w:ascii="Calibri" w:hAnsi="Calibri" w:eastAsia="Calibri" w:cs="Calibri"/>
          <w:i/>
          <w:iCs/>
          <w:color w:val="000000"/>
          <w:sz w:val="22"/>
          <w:szCs w:val="22"/>
        </w:rPr>
        <w:t xml:space="preserve">Journal of the Washington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432–444.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76386681945cbfcde"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(European populations). </w:t>
      </w:r>
      <w:hyperlink r:id="rId40686681945cbfe2b"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&amp; Maggenti AR (1989) Vector capability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(4), 517.</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98986681945cbffea"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Wallingford, CABI,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w:t>
      </w:r>
      <w:r>
        <w:rPr>
          <w:rFonts w:ascii="Calibri" w:hAnsi="Calibri" w:eastAsia="Calibri" w:cs="Calibri"/>
          <w:i/>
          <w:iCs/>
          <w:color w:val="000000"/>
          <w:sz w:val="22"/>
          <w:szCs w:val="22"/>
        </w:rPr>
        <w:t xml:space="preserve">ISPM 27 Diagnostic Protocols for Regulated Pests DP 11: 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Klos EJ, Fronek F, Knierim JA &amp; Cation D (1967) Peach rosette mosaic transmission and control studies. </w:t>
      </w:r>
      <w:r>
        <w:rPr>
          <w:rFonts w:ascii="Calibri" w:hAnsi="Calibri" w:eastAsia="Calibri" w:cs="Calibri"/>
          <w:i/>
          <w:iCs/>
          <w:color w:val="000000"/>
          <w:sz w:val="22"/>
          <w:szCs w:val="22"/>
        </w:rPr>
        <w:t xml:space="preserve">Michigan Agricultural Experiment Station Quarterly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287-293.</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25616681945cc01ac"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77pp. </w:t>
      </w:r>
      <w:hyperlink r:id="rId26356681945cc01fc"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w:t>
      </w:r>
      <w:r>
        <w:rPr>
          <w:rFonts w:ascii="Calibri" w:hAnsi="Calibri" w:eastAsia="Calibri" w:cs="Calibri"/>
          <w:i/>
          <w:iCs/>
          <w:color w:val="000000"/>
          <w:sz w:val="22"/>
          <w:szCs w:val="22"/>
        </w:rPr>
        <w:t xml:space="preserve">Julius-Kuhn-Archiv (Conference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 93-98.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 yellow vein diseases by </w:t>
      </w:r>
      <w:r>
        <w:rPr>
          <w:rFonts w:ascii="Calibri" w:hAnsi="Calibri" w:eastAsia="Calibri" w:cs="Calibri"/>
          <w:i/>
          <w:iCs/>
          <w:color w:val="000000"/>
          <w:sz w:val="22"/>
          <w:szCs w:val="22"/>
        </w:rPr>
        <w:t xml:space="preserve">Xiphinema americanum.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61676681945cc0484" w:history="1">
        <w:r>
          <w:rPr>
            <w:rFonts w:ascii="Calibri" w:hAnsi="Calibri" w:eastAsia="Calibri" w:cs="Calibri"/>
            <w:color w:val="0000CC"/>
            <w:sz w:val="22"/>
            <w:szCs w:val="22"/>
            <w:u w:val="single"/>
          </w:rPr>
          <w:t xml:space="preserve">https://doi.org/10.21307/jofnem-2019-007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Tom Prior.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americanum sensu stricto</w:t>
      </w:r>
      <w:r>
        <w:rPr>
          <w:rFonts w:ascii="Calibri" w:hAnsi="Calibri" w:eastAsia="Calibri" w:cs="Calibri"/>
          <w:color w:val="000000"/>
          <w:sz w:val="22"/>
          <w:szCs w:val="22"/>
        </w:rPr>
        <w:t xml:space="preserve">. EPPO datasheets on pests recommended for regulation. Available online. </w:t>
      </w:r>
      <w:hyperlink r:id="rId89966681945cc053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74236681945cc0646"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672311" name="name42486681945cc06a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2846681945cc06a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061931">
    <w:multiLevelType w:val="hybridMultilevel"/>
    <w:lvl w:ilvl="0" w:tplc="47403987">
      <w:start w:val="1"/>
      <w:numFmt w:val="decimal"/>
      <w:lvlText w:val="%1."/>
      <w:lvlJc w:val="left"/>
      <w:pPr>
        <w:ind w:left="720" w:hanging="360"/>
      </w:pPr>
    </w:lvl>
    <w:lvl w:ilvl="1" w:tplc="47403987" w:tentative="1">
      <w:start w:val="1"/>
      <w:numFmt w:val="lowerLetter"/>
      <w:lvlText w:val="%2."/>
      <w:lvlJc w:val="left"/>
      <w:pPr>
        <w:ind w:left="1440" w:hanging="360"/>
      </w:pPr>
    </w:lvl>
    <w:lvl w:ilvl="2" w:tplc="47403987" w:tentative="1">
      <w:start w:val="1"/>
      <w:numFmt w:val="lowerRoman"/>
      <w:lvlText w:val="%3."/>
      <w:lvlJc w:val="right"/>
      <w:pPr>
        <w:ind w:left="2160" w:hanging="180"/>
      </w:pPr>
    </w:lvl>
    <w:lvl w:ilvl="3" w:tplc="47403987" w:tentative="1">
      <w:start w:val="1"/>
      <w:numFmt w:val="decimal"/>
      <w:lvlText w:val="%4."/>
      <w:lvlJc w:val="left"/>
      <w:pPr>
        <w:ind w:left="2880" w:hanging="360"/>
      </w:pPr>
    </w:lvl>
    <w:lvl w:ilvl="4" w:tplc="47403987" w:tentative="1">
      <w:start w:val="1"/>
      <w:numFmt w:val="lowerLetter"/>
      <w:lvlText w:val="%5."/>
      <w:lvlJc w:val="left"/>
      <w:pPr>
        <w:ind w:left="3600" w:hanging="360"/>
      </w:pPr>
    </w:lvl>
    <w:lvl w:ilvl="5" w:tplc="47403987" w:tentative="1">
      <w:start w:val="1"/>
      <w:numFmt w:val="lowerRoman"/>
      <w:lvlText w:val="%6."/>
      <w:lvlJc w:val="right"/>
      <w:pPr>
        <w:ind w:left="4320" w:hanging="180"/>
      </w:pPr>
    </w:lvl>
    <w:lvl w:ilvl="6" w:tplc="47403987" w:tentative="1">
      <w:start w:val="1"/>
      <w:numFmt w:val="decimal"/>
      <w:lvlText w:val="%7."/>
      <w:lvlJc w:val="left"/>
      <w:pPr>
        <w:ind w:left="5040" w:hanging="360"/>
      </w:pPr>
    </w:lvl>
    <w:lvl w:ilvl="7" w:tplc="47403987" w:tentative="1">
      <w:start w:val="1"/>
      <w:numFmt w:val="lowerLetter"/>
      <w:lvlText w:val="%8."/>
      <w:lvlJc w:val="left"/>
      <w:pPr>
        <w:ind w:left="5760" w:hanging="360"/>
      </w:pPr>
    </w:lvl>
    <w:lvl w:ilvl="8" w:tplc="47403987" w:tentative="1">
      <w:start w:val="1"/>
      <w:numFmt w:val="lowerRoman"/>
      <w:lvlText w:val="%9."/>
      <w:lvlJc w:val="right"/>
      <w:pPr>
        <w:ind w:left="6480" w:hanging="180"/>
      </w:pPr>
    </w:lvl>
  </w:abstractNum>
  <w:abstractNum w:abstractNumId="82061930">
    <w:multiLevelType w:val="hybridMultilevel"/>
    <w:lvl w:ilvl="0" w:tplc="956841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061930">
    <w:abstractNumId w:val="82061930"/>
  </w:num>
  <w:num w:numId="82061931">
    <w:abstractNumId w:val="820619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5885498" Type="http://schemas.microsoft.com/office/2011/relationships/commentsExtended" Target="commentsExtended.xml"/><Relationship Id="rId949085684" Type="http://schemas.microsoft.com/office/2011/relationships/people" Target="people.xml"/><Relationship Id="rId95026681945cbdc6d" Type="http://schemas.openxmlformats.org/officeDocument/2006/relationships/hyperlink" Target="https://gd.eppo.int/taxon/XIPHAA/" TargetMode="External"/><Relationship Id="rId92036681945cbdcda" Type="http://schemas.openxmlformats.org/officeDocument/2006/relationships/hyperlink" Target="https://gd.eppo.int/taxon/XIPHAA/categorization" TargetMode="External"/><Relationship Id="rId76386681945cbfcde" Type="http://schemas.openxmlformats.org/officeDocument/2006/relationships/hyperlink" Target="https://doi.org/10.2903/j.efsa.2018.5298" TargetMode="External"/><Relationship Id="rId40686681945cbfe2b" Type="http://schemas.openxmlformats.org/officeDocument/2006/relationships/hyperlink" Target="https://secure.fera.defra.gov.uk/" TargetMode="External"/><Relationship Id="rId98986681945cbffea" Type="http://schemas.openxmlformats.org/officeDocument/2006/relationships/hyperlink" Target="https://entnemdept.ifas.ufl.edu/creatures/nematode/dagger_nematode.htm" TargetMode="External"/><Relationship Id="rId25616681945cc01ac" Type="http://schemas.openxmlformats.org/officeDocument/2006/relationships/hyperlink" Target="https://doi.org/10.1371/journal.pone.0217506" TargetMode="External"/><Relationship Id="rId26356681945cc01fc" Type="http://schemas.openxmlformats.org/officeDocument/2006/relationships/hyperlink" Target="https://pra.eppo.int/pra/1eb7d285-8ce3-4170-8f95-9a1b44547555" TargetMode="External"/><Relationship Id="rId61676681945cc0484" Type="http://schemas.openxmlformats.org/officeDocument/2006/relationships/hyperlink" Target="https://doi.org/10.21307/jofnem-2019-007" TargetMode="External"/><Relationship Id="rId89966681945cc0538" Type="http://schemas.openxmlformats.org/officeDocument/2006/relationships/hyperlink" Target="https://gd.eppo.int" TargetMode="External"/><Relationship Id="rId74236681945cc0646" Type="http://schemas.openxmlformats.org/officeDocument/2006/relationships/hyperlink" Target="https://doi.org/10.1111/j.1365-2338.1984.tb01984.x" TargetMode="External"/><Relationship Id="rId54556681945cbeef6" Type="http://schemas.openxmlformats.org/officeDocument/2006/relationships/image" Target="media/imgrId54556681945cbeef6.jpg"/><Relationship Id="rId22846681945cc06a9" Type="http://schemas.openxmlformats.org/officeDocument/2006/relationships/image" Target="media/imgrId22846681945cc06a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