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fuscans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the two bacterial species and pathovars that are associated with the common bacterial blight of bean: </w:t>
      </w:r>
      <w:hyperlink r:id="rId3273663a0ad725688" w:history="1">
        <w:r>
          <w:rPr>
            <w:rFonts w:ascii="Calibri" w:hAnsi="Calibri" w:eastAsia="Calibri" w:cs="Calibri"/>
            <w:i/>
            <w:iCs/>
            <w:color w:val="0000CC"/>
            <w:sz w:val="22"/>
            <w:szCs w:val="22"/>
            <w:u w:val="single"/>
          </w:rPr>
          <w:t xml:space="preserve">Xanthomonas phaseoli</w:t>
        </w:r>
        <w:r>
          <w:rPr>
            <w:rFonts w:ascii="Calibri" w:hAnsi="Calibri" w:eastAsia="Calibri" w:cs="Calibri"/>
            <w:color w:val="0000CC"/>
            <w:sz w:val="22"/>
            <w:szCs w:val="22"/>
            <w:u w:val="single"/>
          </w:rPr>
          <w:t xml:space="preserve"> pv. </w:t>
        </w:r>
        <w:r>
          <w:rPr>
            <w:rFonts w:ascii="Calibri" w:hAnsi="Calibri" w:eastAsia="Calibri" w:cs="Calibri"/>
            <w:i/>
            <w:iCs/>
            <w:color w:val="0000CC"/>
            <w:sz w:val="22"/>
            <w:szCs w:val="22"/>
            <w:u w:val="single"/>
          </w:rPr>
          <w:t xml:space="preserve">phaseoli</w:t>
        </w:r>
      </w:hyperlink>
      <w:r>
        <w:rPr>
          <w:rFonts w:ascii="Calibri" w:hAnsi="Calibri" w:eastAsia="Calibri" w:cs="Calibri"/>
          <w:color w:val="000000"/>
          <w:sz w:val="22"/>
          <w:szCs w:val="22"/>
        </w:rPr>
        <w:t xml:space="preserve"> (XANTPH)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(XANTFF).</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fuscans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phaseoli var. fuscans</w:t>
            </w:r>
            <w:r>
              <w:rPr>
                <w:rFonts w:ascii="Calibri" w:hAnsi="Calibri" w:eastAsia="Calibri" w:cs="Calibri"/>
                <w:color w:val="000000"/>
                <w:position w:val="-3"/>
                <w:sz w:val="22"/>
                <w:szCs w:val="22"/>
              </w:rPr>
              <w:t xml:space="preserve"> (Burkholder) Stapp, </w:t>
            </w:r>
            <w:r>
              <w:rPr>
                <w:rFonts w:ascii="Calibri" w:hAnsi="Calibri" w:eastAsia="Calibri" w:cs="Calibri"/>
                <w:i/>
                <w:iCs/>
                <w:color w:val="000000"/>
                <w:position w:val="-3"/>
                <w:sz w:val="22"/>
                <w:szCs w:val="22"/>
              </w:rPr>
              <w:t xml:space="preserve">Xanthomonas fuscans subsp. fuscans</w:t>
            </w:r>
            <w:r>
              <w:rPr>
                <w:rFonts w:ascii="Calibri" w:hAnsi="Calibri" w:eastAsia="Calibri" w:cs="Calibri"/>
                <w:color w:val="000000"/>
                <w:position w:val="-3"/>
                <w:sz w:val="22"/>
                <w:szCs w:val="22"/>
              </w:rPr>
              <w:t xml:space="preserve"> Schaad et al., </w:t>
            </w:r>
            <w:r>
              <w:rPr>
                <w:rFonts w:ascii="Calibri" w:hAnsi="Calibri" w:eastAsia="Calibri" w:cs="Calibri"/>
                <w:i/>
                <w:iCs/>
                <w:color w:val="000000"/>
                <w:position w:val="-3"/>
                <w:sz w:val="22"/>
                <w:szCs w:val="22"/>
              </w:rPr>
              <w:t xml:space="preserve">Xanthomonas phaseoli var. fuscans</w:t>
            </w:r>
            <w:r>
              <w:rPr>
                <w:rFonts w:ascii="Calibri" w:hAnsi="Calibri" w:eastAsia="Calibri" w:cs="Calibri"/>
                <w:color w:val="000000"/>
                <w:position w:val="-3"/>
                <w:sz w:val="22"/>
                <w:szCs w:val="22"/>
              </w:rPr>
              <w:t xml:space="preserve"> (Burkholder) Starr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bean, bacterial leaf pustule of bean, common blight of bean, fuscous blight of bean</w:t>
            </w:r>
            <w:hyperlink r:id="rId9195663a0ad72593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798663a0ad72599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XANTFF</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common bacterial blight of bean was first identified in 1897 as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(Smith, 1897). Variant strains isolated in 1924 by Burkholder produced a brown pigment on tyrosine-containing medium and were thus described as fuscous strains (Burkholder, 1930). Different revisions of the taxonomy led the fuscous and non-fuscous strains to be grouped under the names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(Corey &amp; Starr, 1957), then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(Dye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then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Molecular divergence between fuscous and non-fuscous strains led to the proposition of a taxonomic distinction between the two, leading to the fuscous strains being renamed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while the non-fuscous strains conserved the name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Later on, heterogeneity within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revealed based on AFLP analysis, leading to the description of three non-fuscous genetic lineages: GL1, GL2, and GL3 (Alavi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Lineages GL2 and GL3 were, however, genetically distant from GL1 and grouped with the fuscous strains from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The four lineages of bacterial pathogens responsible for common bacterial blight of bean are currently distributed across two species within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genus. Lineage GL1 corresponds to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while the other three lineages (GL2, GL3, and fuscans) group under the name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the main host of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natural infections have been reported on diverse other legume species (see host list, Bradbury, 1986;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Additional hosts were reported after artificial inoculation.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also reported from asymptomatic </w:t>
      </w:r>
      <w:r>
        <w:rPr>
          <w:rFonts w:ascii="Calibri" w:hAnsi="Calibri" w:eastAsia="Calibri" w:cs="Calibri"/>
          <w:i/>
          <w:iCs/>
          <w:color w:val="000000"/>
          <w:sz w:val="22"/>
          <w:szCs w:val="22"/>
        </w:rPr>
        <w:t xml:space="preserve">Digitaria scalarum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Senna hirsuta </w:t>
      </w:r>
      <w:r>
        <w:rPr>
          <w:rFonts w:ascii="Calibri" w:hAnsi="Calibri" w:eastAsia="Calibri" w:cs="Calibri"/>
          <w:color w:val="000000"/>
          <w:sz w:val="22"/>
          <w:szCs w:val="22"/>
        </w:rPr>
        <w:t xml:space="preserve">(Opio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of bean is widely distributed over 100 countries across the five inhabited continents. The disease was reported in most regions where common bean is cultivated except in dry tropical areas. Although one can hypothesize that the bacteria originated from the same centre of diversity as their wild host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Mexico to Northern Argentina), the native range of the disease is unknown. This is due in part to the lack of geographic structuring of the strains, which may result from continuous movements of bacteria between regions through the global seed market (Mahuku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Because most commonly used detection methods do not differentiate between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still difficult to assess if the disease presence in a country is due to one species, the other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both.</w:t>
      </w:r>
    </w:p>
    <w:p>
      <w:r>
        <w:drawing>
          <wp:inline distT="0" distB="0" distL="0" distR="0">
            <wp:extent cx="6120000" cy="3067200"/>
            <wp:docPr id="8529506" name="name1962663a0ad727023" descr="XANTF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FF_distribution_map.jpg"/>
                    <pic:cNvPicPr/>
                  </pic:nvPicPr>
                  <pic:blipFill>
                    <a:blip r:embed="rId8359663a0ad72702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Italy (mainland), Spain (mainland),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Lesotho, Malawi,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Neimenggu, Shanxi), India (Himachal Pradesh),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Mexico, United States of America (Michigan, Nebraska)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Minas Gerais, Parana, Rio Grande do Sul, Sao Paulo),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source of inoculum is infected seed. Bacteria can reside on both sides of the seed coat and on the surface of the embryo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Zaumeyer, 1930), allowing overwintering and up to 30 years survival (Saettler, 1989). One seed in a lot of 10 000 to 30 000 is sufficient to cause a disease outbreak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Sutton &amp; Wallen, 1970; Zaumeyer &amp; Thomas, 1957). In tropical and subtropical areas, survival on weeds and crop residues represents an important source for bacterial dissemination (Fininsa &amp; Tefera, 2001; Fininsa &amp; Yuen, 2002; Santana, 1991). Epiphytic life is possible on various alternative hosts and weeds (Angeles-Ramos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Cafati &amp; Saettler, 1980;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Karavina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usually starts with an epiphytic phase facilitated by aggregation in biofilms where bacterial populations grow and stabilize (Jacques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Weller &amp; Saettler, 1980). After growing on the leaf surface, bacteria enter the host tissues through openings such as stomata, hydathodes, or wounds (Rudolph, 1993; Zaumeyer, 1930). Within the host tissues, bacteria multiply exponentially and may express their pathogenicity when inoculated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bacterial cells per cm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above (Weller &amp; Saettler, 1980). Bacterial progression leads to colonization of the vascular tissues, which can lead to plant wilting in the most severe cases (Vidaver, 1993). In temperate areas, colonization of the plant is often asymptomatic but can still lead to efficient vertical transmission of the bacteria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Weller &amp; Saettler, 1980). Disease spread, incidence and severity are favored under warm temperatures (28-32°C) and above 80% relative humidity (Weller &amp; Saettler,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aerial parts of bean plants (seedling, leaf, stem, pod, and seed) can present symptoms caused by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1930). Symptoms on pods and/or leaves are very similar to those caused by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the causative agent of halo blight, and it is seldom possible from visual examination to be certain which of these pathogens is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symptoms appear as water-soaked spots usually starting from hydathodes and evolving into dry and brown necrotic lesions surrounded by a narrow yellow halo (Chupp &amp; Sherf, 1960). These spots may merge, resulting in a burnt appearance, with possible defoliation and death of the plant. In case of systemic infection, a reddish-brown discoloration of the veins with water-soaking of adjoining interveinal areas may be observed. Infected stems present reddish longitudinal streaks. </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symptoms appear as water-soaked spots, later evolving into dark red-brown lesions, slightly depressed circular spots, and possible bacterial ooze. Shrinking and death of pods may occur in the case of severe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On seeds, symptoms appear as butter yellow spots that turn brown and are localized according to the infection pathway: on the hilum area in case of vascular transmission, at the micropyle in case of floral infection, and on the entire surface of the seed coat in case of infection by contact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Maude, 1997). In severe cases, the seed may be shriveled, affecting germination rate and vigour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When grown from infected seed, seedlings are usually asymptomatic if infected with relatively low population numbers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more severe infections, seedlings can present water-soaked symptoms on the stem, cotyledons and/or primary leaves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Angular, water-soaked areas frequently occur on the opposite sides of the primary leaves, indicating that the initial infection occurred while they were still folded together (Zaumeyer, 1930). Lesions on the stems of young seedlings begin as small water-soaked spots that gradually enlarge and sometimes become sunken. Plants often exhibit a characteristic wilting during the heat of the day, with recovery of turgidity at night (Zaumeyer, 1930). In some cases, seedlings may present injured or entirely destroyed growing tips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If these plants do not die, buds may arise in the axils of the cotyledons and produce dwarfed plants with few pods.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are motile, aerobic, Gram-negative rod-shaped bacteria of 0.4-0.9 x 0.6-2.6 µm, with a single polar flagellum. Agar colonies are convex, yellow and wet-shining. A brown, diffusible pigment is produced by strains from the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lineage when grown on tyrosine-containing media.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on seeds include isolation of the bacterium followed by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pathogenicity assays and/or molecular detection by PCR, as validated by the International Seed Testing Association (Audy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Commercial ELISA kits are also available, as well as LAMP-PCR primers (de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Sources of primary inoculum are infected seeds, infected weeds or volunteers. The bacteria further spread naturally over relatively short distances within or between fields. The only means of long-distance dispersal is by human transport of infected bean seed (Zaumeyer &amp; Thomas, 1957). Secondary spread in the field mainly occurs by direct contact between infected plants, wind-blown rain or splashing. Dissemination of bacteria can also be caused by transportation via farm workers, or agricultural equipment (Belete &amp; Bastas, 2017; Saettler, 1991). The role of bean-feeding insects as vectors is still understudied, but has been reported for a long time (Sackett, 1905; Zaumeyer &amp; Thomas, 1957). Potential insect vectors include </w:t>
      </w:r>
      <w:r>
        <w:rPr>
          <w:rFonts w:ascii="Calibri" w:hAnsi="Calibri" w:eastAsia="Calibri" w:cs="Calibri"/>
          <w:i/>
          <w:iCs/>
          <w:color w:val="000000"/>
          <w:sz w:val="22"/>
          <w:szCs w:val="22"/>
        </w:rPr>
        <w:t xml:space="preserve">Chalcodermus ebeninus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Nezara viridula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Cerotoma ruficornis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Diaprepes abbreviata </w:t>
      </w:r>
      <w:r>
        <w:rPr>
          <w:rFonts w:ascii="Calibri" w:hAnsi="Calibri" w:eastAsia="Calibri" w:cs="Calibri"/>
          <w:color w:val="000000"/>
          <w:sz w:val="22"/>
          <w:szCs w:val="22"/>
        </w:rPr>
        <w:t xml:space="preserve">(Kaiser &amp; Vakili,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is a major disease impacting common bean production (Broughton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Yield losses up to 45% were reported in susceptible genotypes (Saettler, 1989; Wallen &amp; Jackson, 1975; Yoshii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Common bacterial blight agents directly reduce the area of photosynthetic tissues impacting yield of pods and seeds. Symptomatic edible fresh pods and edible seeds become unsaleable. Additional economic losses are due to the time and costs involved in controlling the disease. Common bacterial blight is a major threat for seed quality, as the bacterium is seed-transmitted. Infected seed lots, even in the absence of symptoms, cannot be sold in many countries, in particular where the disease does not occur-or has a limited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cornerstone of common bacterial blight management is pathogen detection on seed lots and regulation (see “Phytosanitary measures”). The most efficient management strategy is to use pathogen-free seeds, by producing seeds in specified areas either free of the bacteria (de Boisgrollier, 1993) or whose climatic conditions are non- conducive for the disease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checking the absence of the pathogens. Cultural practices are essential to control the disease. If watering is necessary, furrow irrigation should be used rather than overhead irrigation, which mimics rainfall and promotes secondary spread of the bacteria (Akhavan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Burial of residues is an effective way to reduce the survival of the bacteria (Chávez &amp; Granada, 1988; Wimalajeewa &amp; Nancarrow, 1980). Regular cleaning of harvesting equipment and seed containers is a means to limit primary infection, as bacteria can survive in dust or dirt on contaminated equipment (Belete &amp; Bastas, 2017). Likewise, it is recommended to eliminate weeds, infected beans, and other potential hosts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Saettler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Epidemics can effectively be reduced through employing long crop-rotations of 3 years or more to limit the risk of contamination by pathogens surviving on alternate hosts and volunteers (Schwartz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Resistant bean varieties have been developed for the American market (Osorno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2020; Urrea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breeding resistance to common bacterial blight is complex as it has variable heritability and level of expression depending on the environment, the genetic background, or the epidemic pressure (Miklas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Singh &amp; Schwartz, 2010). In addition, different genetic systems appear to control resistance in pods and leaves, and resistance may not be effective against the high diversity of pathogenic strains responsible for common bacterial blight (Aggour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is widely cropped throughout the EPPO region, and the major threat posed by common bacterial blight concerns seed quality, impacting both the seed industry and edible seed production. Depending on weather conditions and the level of seed inoculum management, the risk in terms of yield and quality losses is moderate to high. EFSA (2014) considered that the climatic conditions are widely favourable for the disease development in Europe, except in the northern EU countries and that the impact of the disease is limited in the EU due to the existing regulations against these pathogens.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contaminated seeds are the main dispersal pathway for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phytosanitary (quarantine) measures can be implemented to reduce the risk of long-distance dissemination of these pathogens. It can be recommended that consignments of bean seeds should have been produced from pest-free areas, or from pest-free places of production. Seed material imported from areas where the disease is known to occur should be certified for disease freedom via field inspections and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Aggour AR Coyne DP &amp; Vidaver AK (1989) Comparison of leaf and pod disease reactions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inoculated by different methods with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(Smith) dye.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143–152. </w:t>
      </w:r>
      <w:hyperlink r:id="rId6172663a0ad727e8b" w:history="1">
        <w:r>
          <w:rPr>
            <w:rFonts w:ascii="Calibri" w:hAnsi="Calibri" w:eastAsia="Calibri" w:cs="Calibri"/>
            <w:color w:val="0000CC"/>
            <w:sz w:val="22"/>
            <w:szCs w:val="22"/>
            <w:u w:val="single"/>
          </w:rPr>
          <w:t xml:space="preserve">https://doi.org/10.1007/BF00037907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Akhavan A, Bahar M, Askarian H, Lak MR, Nazemi A &amp; Zamani Z (2013) Bean common bacterial blight: Pathogen epiphytic life and effect of irrigation practices.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1–9. </w:t>
      </w:r>
      <w:hyperlink r:id="rId2646663a0ad727f03" w:history="1">
        <w:r>
          <w:rPr>
            <w:rFonts w:ascii="Calibri" w:hAnsi="Calibri" w:eastAsia="Calibri" w:cs="Calibri"/>
            <w:color w:val="0000CC"/>
            <w:sz w:val="22"/>
            <w:szCs w:val="22"/>
            <w:u w:val="single"/>
          </w:rPr>
          <w:t xml:space="preserve">https://doi.org/10.1186/2193-1801-2-41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Alavi SM, Sanjari S, Durand F, Brin C, Manceau C &amp; Poussier S (2008) Assessment of the genetic diversity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as a basis to identify putative pathogenicity genes and a type III secretion system of the SPI-1 family by multiple suppression subtractive hybridizations.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(10), 3295–3301. </w:t>
      </w:r>
      <w:hyperlink r:id="rId3249663a0ad728021" w:history="1">
        <w:r>
          <w:rPr>
            <w:rFonts w:ascii="Calibri" w:hAnsi="Calibri" w:eastAsia="Calibri" w:cs="Calibri"/>
            <w:color w:val="0000CC"/>
            <w:sz w:val="22"/>
            <w:szCs w:val="22"/>
            <w:u w:val="single"/>
          </w:rPr>
          <w:t xml:space="preserve">https://doi.org/10.1128/AEM.02507-07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Angeles-Ramos R, Vidaver AK &amp; Flynn P (1991) Characterization of epiphytic</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pectolytic Xanthomonads recovered from symptomless weeds in the Dominican Republic.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677–681.</w:t>
      </w:r>
    </w:p>
    <w:p>
      <w:pPr>
        <w:widowControl w:val="on"/>
        <w:pBdr/>
        <w:spacing w:before="220" w:after="220" w:line="240" w:lineRule="auto"/>
        <w:ind w:left="0" w:right="0"/>
        <w:jc w:val="left"/>
      </w:pPr>
      <w:r>
        <w:rPr>
          <w:rFonts w:ascii="Calibri" w:hAnsi="Calibri" w:eastAsia="Calibri" w:cs="Calibri"/>
          <w:color w:val="000000"/>
          <w:sz w:val="22"/>
          <w:szCs w:val="22"/>
        </w:rPr>
        <w:t xml:space="preserve">Audy P, Laroche A, Saindon G, Huang HC &amp; Gilbertson RL (1994) Detection of the bean common blight bacteria,</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using the polymerase chain reaction.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(10), 1185–1192. </w:t>
      </w:r>
      <w:hyperlink r:id="rId5170663a0ad7281a8" w:history="1">
        <w:r>
          <w:rPr>
            <w:rFonts w:ascii="Calibri" w:hAnsi="Calibri" w:eastAsia="Calibri" w:cs="Calibri"/>
            <w:color w:val="0000CC"/>
            <w:sz w:val="22"/>
            <w:szCs w:val="22"/>
            <w:u w:val="single"/>
          </w:rPr>
          <w:t xml:space="preserve">https://doi.org/10.1094/phyto-84-1185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Belete T &amp; Bastas KKK (2017) Common bacterial blight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of beans with special focus on Ethiopian condition. </w:t>
      </w:r>
      <w:r>
        <w:rPr>
          <w:rFonts w:ascii="Calibri" w:hAnsi="Calibri" w:eastAsia="Calibri" w:cs="Calibri"/>
          <w:i/>
          <w:iCs/>
          <w:color w:val="000000"/>
          <w:sz w:val="22"/>
          <w:szCs w:val="22"/>
        </w:rPr>
        <w:t xml:space="preserve">Journal of Plant Pathology &amp; Microbiology</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(3), 403. </w:t>
      </w:r>
      <w:hyperlink r:id="rId2560663a0ad728249" w:history="1">
        <w:r>
          <w:rPr>
            <w:rFonts w:ascii="Calibri" w:hAnsi="Calibri" w:eastAsia="Calibri" w:cs="Calibri"/>
            <w:color w:val="0000CC"/>
            <w:sz w:val="22"/>
            <w:szCs w:val="22"/>
            <w:u w:val="single"/>
          </w:rPr>
          <w:t xml:space="preserve">https://doi.org/10.4172/2157-7471.1000403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(1930) The bacterial diseases of the bean. In </w:t>
      </w:r>
      <w:r>
        <w:rPr>
          <w:rFonts w:ascii="Calibri" w:hAnsi="Calibri" w:eastAsia="Calibri" w:cs="Calibri"/>
          <w:i/>
          <w:iCs/>
          <w:color w:val="000000"/>
          <w:sz w:val="22"/>
          <w:szCs w:val="22"/>
        </w:rPr>
        <w:t xml:space="preserve">Cornell University Agricultural Experiment Station</w:t>
      </w:r>
      <w:r>
        <w:rPr>
          <w:rFonts w:ascii="Calibri" w:hAnsi="Calibri" w:eastAsia="Calibri" w:cs="Calibri"/>
          <w:color w:val="000000"/>
          <w:sz w:val="22"/>
          <w:szCs w:val="22"/>
        </w:rPr>
        <w:t xml:space="preserve"> (Vol. 127).</w:t>
      </w:r>
    </w:p>
    <w:p>
      <w:pPr>
        <w:widowControl w:val="on"/>
        <w:pBdr/>
        <w:spacing w:before="220" w:after="220" w:line="240" w:lineRule="auto"/>
        <w:ind w:left="0" w:right="0"/>
        <w:jc w:val="left"/>
      </w:pPr>
      <w:r>
        <w:rPr>
          <w:rFonts w:ascii="Calibri" w:hAnsi="Calibri" w:eastAsia="Calibri" w:cs="Calibri"/>
          <w:color w:val="000000"/>
          <w:sz w:val="22"/>
          <w:szCs w:val="22"/>
        </w:rPr>
        <w:t xml:space="preserve">Cafati CR &amp; Saettler AW (1980) Effect of host on multiplication and distribution of bean common blight bacteria.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(7), 675–679. </w:t>
      </w:r>
      <w:hyperlink r:id="rId9878663a0ad728348" w:history="1">
        <w:r>
          <w:rPr>
            <w:rFonts w:ascii="Calibri" w:hAnsi="Calibri" w:eastAsia="Calibri" w:cs="Calibri"/>
            <w:color w:val="0000CC"/>
            <w:sz w:val="22"/>
            <w:szCs w:val="22"/>
            <w:u w:val="single"/>
          </w:rPr>
          <w:t xml:space="preserve">https://doi.org/10.1094/phyto-70-675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Chávez CL &amp; Granada GA (1988) Supervivencia de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agente causal de la bacteriosis del frijol, bajo condiciones del Valle del Cauca, Colombia. </w:t>
      </w:r>
      <w:r>
        <w:rPr>
          <w:rFonts w:ascii="Calibri" w:hAnsi="Calibri" w:eastAsia="Calibri" w:cs="Calibri"/>
          <w:i/>
          <w:iCs/>
          <w:color w:val="000000"/>
          <w:sz w:val="22"/>
          <w:szCs w:val="22"/>
        </w:rPr>
        <w:t xml:space="preserve">Fitopatologia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Chupp C &amp; Sherf AF (1960) </w:t>
      </w:r>
      <w:r>
        <w:rPr>
          <w:rFonts w:ascii="Calibri" w:hAnsi="Calibri" w:eastAsia="Calibri" w:cs="Calibri"/>
          <w:i/>
          <w:iCs/>
          <w:color w:val="000000"/>
          <w:sz w:val="22"/>
          <w:szCs w:val="22"/>
        </w:rPr>
        <w:t xml:space="preserve">Vegetable diseases and their control</w:t>
      </w:r>
      <w:r>
        <w:rPr>
          <w:rFonts w:ascii="Calibri" w:hAnsi="Calibri" w:eastAsia="Calibri" w:cs="Calibri"/>
          <w:color w:val="000000"/>
          <w:sz w:val="22"/>
          <w:szCs w:val="22"/>
        </w:rPr>
        <w:t xml:space="preserve">. John Wiley &amp; Sons. USA</w:t>
      </w:r>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dieffenbachiae </w:t>
      </w:r>
      <w:r>
        <w:rPr>
          <w:rFonts w:ascii="Calibri" w:hAnsi="Calibri" w:eastAsia="Calibri" w:cs="Calibri"/>
          <w:color w:val="000000"/>
          <w:sz w:val="22"/>
          <w:szCs w:val="22"/>
        </w:rPr>
        <w:t xml:space="preserve">leads to a taxonomic revision of the</w:t>
      </w:r>
      <w:r>
        <w:rPr>
          <w:rFonts w:ascii="Calibri" w:hAnsi="Calibri" w:eastAsia="Calibri" w:cs="Calibri"/>
          <w:i/>
          <w:iCs/>
          <w:color w:val="000000"/>
          <w:sz w:val="22"/>
          <w:szCs w:val="22"/>
        </w:rPr>
        <w:t xml:space="preserve"> 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p>
    <w:p>
      <w:pPr>
        <w:widowControl w:val="on"/>
        <w:pBdr/>
        <w:spacing w:before="220" w:after="220" w:line="240" w:lineRule="auto"/>
        <w:ind w:left="0" w:right="0"/>
        <w:jc w:val="left"/>
      </w:pPr>
      <w:r>
        <w:rPr>
          <w:rFonts w:ascii="Calibri" w:hAnsi="Calibri" w:eastAsia="Calibri" w:cs="Calibri"/>
          <w:color w:val="000000"/>
          <w:sz w:val="22"/>
          <w:szCs w:val="22"/>
        </w:rPr>
        <w:t xml:space="preserve">Corey RR &amp; Starr MP (1957) Colony types of</w:t>
      </w:r>
      <w:r>
        <w:rPr>
          <w:rFonts w:ascii="Calibri" w:hAnsi="Calibri" w:eastAsia="Calibri" w:cs="Calibri"/>
          <w:i/>
          <w:iCs/>
          <w:color w:val="000000"/>
          <w:sz w:val="22"/>
          <w:szCs w:val="22"/>
        </w:rPr>
        <w:t xml:space="preserve"> Xanthomonas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(2), 137–140. </w:t>
      </w:r>
      <w:hyperlink r:id="rId2009663a0ad728564" w:history="1">
        <w:r>
          <w:rPr>
            <w:rFonts w:ascii="Calibri" w:hAnsi="Calibri" w:eastAsia="Calibri" w:cs="Calibri"/>
            <w:color w:val="0000CC"/>
            <w:sz w:val="22"/>
            <w:szCs w:val="22"/>
            <w:u w:val="single"/>
          </w:rPr>
          <w:t xml:space="preserve">https://doi.org/10.1128/jb.74.2.137-140.1957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Barret M, Cesbron S, Compant S &amp; Jacques M (2018) Niches and routes of transmission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to bean seeds. </w:t>
      </w:r>
      <w:r>
        <w:rPr>
          <w:rFonts w:ascii="Calibri" w:hAnsi="Calibri" w:eastAsia="Calibri" w:cs="Calibri"/>
          <w:i/>
          <w:iCs/>
          <w:color w:val="000000"/>
          <w:sz w:val="22"/>
          <w:szCs w:val="22"/>
        </w:rPr>
        <w:t xml:space="preserve">Plant and Soil </w:t>
      </w:r>
      <w:r>
        <w:rPr>
          <w:rFonts w:ascii="Calibri" w:hAnsi="Calibri" w:eastAsia="Calibri" w:cs="Calibri"/>
          <w:b/>
          <w:bCs/>
          <w:color w:val="000000"/>
          <w:sz w:val="22"/>
          <w:szCs w:val="22"/>
        </w:rPr>
        <w:t xml:space="preserve">422</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1–2), 115–128. </w:t>
      </w:r>
      <w:hyperlink r:id="rId3227663a0ad728616" w:history="1">
        <w:r>
          <w:rPr>
            <w:rFonts w:ascii="Calibri" w:hAnsi="Calibri" w:eastAsia="Calibri" w:cs="Calibri"/>
            <w:color w:val="0000CC"/>
            <w:sz w:val="22"/>
            <w:szCs w:val="22"/>
            <w:u w:val="single"/>
          </w:rPr>
          <w:t xml:space="preserve">https://doi.org/10.1007/s11104-017-3329-3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Bureau C, Samson R, Morris CE &amp; Jacques MA (2007) Contamination of bean seeds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associated with low bacterial densities in the phyllosphere under field and greenhouse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 203–215. </w:t>
      </w:r>
      <w:hyperlink r:id="rId6889663a0ad7286d1" w:history="1">
        <w:r>
          <w:rPr>
            <w:rFonts w:ascii="Calibri" w:hAnsi="Calibri" w:eastAsia="Calibri" w:cs="Calibri"/>
            <w:color w:val="0000CC"/>
            <w:sz w:val="22"/>
            <w:szCs w:val="22"/>
            <w:u w:val="single"/>
          </w:rPr>
          <w:t xml:space="preserve">https://doi.org/10.1007/s10658-007-9164-2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Darsonval A, Boureau T, Brisset MN, Durand K &amp; Jacques MA (2010) Transmission of plant-pathogenic bacteria by nonhost seeds without induction of an associated defense reaction at emergence.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(20), 6787–6796. </w:t>
      </w:r>
      <w:hyperlink r:id="rId9380663a0ad728744" w:history="1">
        <w:r>
          <w:rPr>
            <w:rFonts w:ascii="Calibri" w:hAnsi="Calibri" w:eastAsia="Calibri" w:cs="Calibri"/>
            <w:color w:val="0000CC"/>
            <w:sz w:val="22"/>
            <w:szCs w:val="22"/>
            <w:u w:val="single"/>
          </w:rPr>
          <w:t xml:space="preserve">https://doi.org/10.1128/AEM.01098-10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Boisgrollier H (1993) Bilan des zones indemnes de bactérioses. </w:t>
      </w:r>
      <w:r>
        <w:rPr>
          <w:rFonts w:ascii="Calibri" w:hAnsi="Calibri" w:eastAsia="Calibri" w:cs="Calibri"/>
          <w:i/>
          <w:iCs/>
          <w:color w:val="000000"/>
          <w:sz w:val="22"/>
          <w:szCs w:val="22"/>
        </w:rPr>
        <w:t xml:space="preserve">Bulletin Semences de La FNAMS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41–44.</w:t>
      </w:r>
    </w:p>
    <w:p>
      <w:pPr>
        <w:widowControl w:val="on"/>
        <w:pBdr/>
        <w:spacing w:before="220" w:after="220" w:line="240" w:lineRule="auto"/>
        <w:ind w:left="0" w:right="0"/>
        <w:jc w:val="left"/>
      </w:pPr>
      <w:r>
        <w:rPr>
          <w:rFonts w:ascii="Calibri" w:hAnsi="Calibri" w:eastAsia="Calibri" w:cs="Calibri"/>
          <w:color w:val="000000"/>
          <w:sz w:val="22"/>
          <w:szCs w:val="22"/>
        </w:rPr>
        <w:t xml:space="preserve">de Paiva BA, Wendland A, Teixeira NC &amp; Ferreira MA (2020) Rapid detection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 by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 198–203. </w:t>
      </w:r>
      <w:hyperlink r:id="rId3385663a0ad72888a" w:history="1">
        <w:r>
          <w:rPr>
            <w:rFonts w:ascii="Calibri" w:hAnsi="Calibri" w:eastAsia="Calibri" w:cs="Calibri"/>
            <w:color w:val="0000CC"/>
            <w:sz w:val="22"/>
            <w:szCs w:val="22"/>
            <w:u w:val="single"/>
          </w:rPr>
          <w:t xml:space="preserve">https://doi.org/10.1094/PDIS-02-19-0325-RE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Duncan RW, Singh SP &amp; Gilbertson RL (2011) Interaction of common bacterial blight bacteria with disease resistance quantitative trait Loci in common bean.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(4), 425–435. </w:t>
      </w:r>
      <w:hyperlink r:id="rId7388663a0ad7288f9" w:history="1">
        <w:r>
          <w:rPr>
            <w:rFonts w:ascii="Calibri" w:hAnsi="Calibri" w:eastAsia="Calibri" w:cs="Calibri"/>
            <w:color w:val="0000CC"/>
            <w:sz w:val="22"/>
            <w:szCs w:val="22"/>
            <w:u w:val="single"/>
          </w:rPr>
          <w:t xml:space="preserve">https://doi.org/10.1094/PHYTO-03-10-0095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Bradbury JF, Goto M, Hayward AC, Lelliott RA &amp; Schroth MN (1980) International standards for naming pathovars of phytopathogenic bacteria and a list of pathovar names and pathotype strains.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p.3856</w:t>
      </w:r>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Tefera T (2001) Effect of primary inoculum sources of bean common bacterial blight on early epidemics, seed yield and quality aspects.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221–225. </w:t>
      </w:r>
      <w:hyperlink r:id="rId1980663a0ad728a9a" w:history="1">
        <w:r>
          <w:rPr>
            <w:rFonts w:ascii="Calibri" w:hAnsi="Calibri" w:eastAsia="Calibri" w:cs="Calibri"/>
            <w:color w:val="0000CC"/>
            <w:sz w:val="22"/>
            <w:szCs w:val="22"/>
            <w:u w:val="single"/>
          </w:rPr>
          <w:t xml:space="preserve">https://doi.org/10.1080/09670870110044030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Yuen J (2002) Temporal progression of bean common bacterial blight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sole and intercropping systems.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Gent DH, Lang JM &amp; Schwartz HF (2005) Epiphytic survival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on leguminous hosts and onion.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(6), 558–564. </w:t>
      </w:r>
      <w:hyperlink r:id="rId5731663a0ad728c1b" w:history="1">
        <w:r>
          <w:rPr>
            <w:rFonts w:ascii="Calibri" w:hAnsi="Calibri" w:eastAsia="Calibri" w:cs="Calibri"/>
            <w:color w:val="0000CC"/>
            <w:sz w:val="22"/>
            <w:szCs w:val="22"/>
            <w:u w:val="single"/>
          </w:rPr>
          <w:t xml:space="preserve">https://doi.org/10.1094/PD-89-0558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Rand RE &amp; Hagedorn DJ (1990)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w:t>
      </w:r>
      <w:r>
        <w:rPr>
          <w:rFonts w:ascii="Calibri" w:hAnsi="Calibri" w:eastAsia="Calibri" w:cs="Calibri"/>
          <w:color w:val="000000"/>
          <w:sz w:val="22"/>
          <w:szCs w:val="22"/>
        </w:rPr>
        <w:t xml:space="preserve">i and pectolytic strains of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in bean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322–327.</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&amp; Maxwell DP (1992) Common bacterial blight of bean. </w:t>
      </w:r>
      <w:r>
        <w:rPr>
          <w:rFonts w:ascii="Calibri" w:hAnsi="Calibri" w:eastAsia="Calibri" w:cs="Calibri"/>
          <w:i/>
          <w:iCs/>
          <w:color w:val="000000"/>
          <w:sz w:val="22"/>
          <w:szCs w:val="22"/>
        </w:rPr>
        <w:t xml:space="preserve">Plant diseases of international importance. Volume II. Diseases of vegetables and oil seed crops,</w:t>
      </w:r>
      <w:r>
        <w:rPr>
          <w:rFonts w:ascii="Calibri" w:hAnsi="Calibri" w:eastAsia="Calibri" w:cs="Calibri"/>
          <w:color w:val="000000"/>
          <w:sz w:val="22"/>
          <w:szCs w:val="22"/>
        </w:rPr>
        <w:t xml:space="preserve"> 18–39.</w:t>
      </w:r>
    </w:p>
    <w:p>
      <w:pPr>
        <w:widowControl w:val="on"/>
        <w:pBdr/>
        <w:spacing w:before="220" w:after="220" w:line="240" w:lineRule="auto"/>
        <w:ind w:left="0" w:right="0"/>
        <w:jc w:val="left"/>
      </w:pPr>
      <w:r>
        <w:rPr>
          <w:rFonts w:ascii="Calibri" w:hAnsi="Calibri" w:eastAsia="Calibri" w:cs="Calibri"/>
          <w:color w:val="000000"/>
          <w:sz w:val="22"/>
          <w:szCs w:val="22"/>
        </w:rPr>
        <w:t xml:space="preserve">Grimault V, Olivier V, Rolland M, Darrasse A &amp; Jacques M-AA (2014) Detection of</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Phaseolus vulgaris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International rules for seed testing, Annex to chapter 7: Seed health testing methods: 7-021</w:t>
      </w:r>
      <w:r>
        <w:rPr>
          <w:rFonts w:ascii="Calibri" w:hAnsi="Calibri" w:eastAsia="Calibri" w:cs="Calibri"/>
          <w:color w:val="000000"/>
          <w:sz w:val="22"/>
          <w:szCs w:val="22"/>
        </w:rPr>
        <w:t xml:space="preserve">. International Seed Testing Association (ISTA), Bassersdorf,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Jacques M-A, Josi K, Darrasse A &amp; Samson R (2005) X</w:t>
      </w:r>
      <w:r>
        <w:rPr>
          <w:rFonts w:ascii="Calibri" w:hAnsi="Calibri" w:eastAsia="Calibri" w:cs="Calibri"/>
          <w:i/>
          <w:iCs/>
          <w:color w:val="000000"/>
          <w:sz w:val="22"/>
          <w:szCs w:val="22"/>
        </w:rPr>
        <w:t xml:space="preserve">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is aggregated in stable biofilm population sizes in the phyllosphere of field- grown beans.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(4), 2008–2015. </w:t>
      </w:r>
      <w:hyperlink r:id="rId1472663a0ad728e76" w:history="1">
        <w:r>
          <w:rPr>
            <w:rFonts w:ascii="Calibri" w:hAnsi="Calibri" w:eastAsia="Calibri" w:cs="Calibri"/>
            <w:color w:val="0000CC"/>
            <w:sz w:val="22"/>
            <w:szCs w:val="22"/>
            <w:u w:val="single"/>
          </w:rPr>
          <w:t xml:space="preserve">https://doi.org/10.1128/AEM.71.4.2008-2015.2005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Kaiser WJ &amp; Vakili NG (1978) Insect transmission of pathogenic Xanthomonads to bean and cowpea in Puerto Rico.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1057–1063. </w:t>
      </w:r>
      <w:hyperlink r:id="rId6504663a0ad728ee6" w:history="1">
        <w:r>
          <w:rPr>
            <w:rFonts w:ascii="Calibri" w:hAnsi="Calibri" w:eastAsia="Calibri" w:cs="Calibri"/>
            <w:color w:val="0000CC"/>
            <w:sz w:val="22"/>
            <w:szCs w:val="22"/>
            <w:u w:val="single"/>
          </w:rPr>
          <w:t xml:space="preserve">https://www.apsnet.org/publications/phytopathology/backissues/Documents/1978Articles/Phyto68n07_1057.PDF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Karavina C, Mandumbu R, Parwada C &amp; Tibugari H (2011) A review of the occurrence, biology and management of common bacterial blight.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1459–1474. </w:t>
      </w:r>
      <w:hyperlink r:id="rId4040663a0ad728f57" w:history="1">
        <w:r>
          <w:rPr>
            <w:rFonts w:ascii="Calibri" w:hAnsi="Calibri" w:eastAsia="Calibri" w:cs="Calibri"/>
            <w:color w:val="0000CC"/>
            <w:sz w:val="22"/>
            <w:szCs w:val="22"/>
            <w:u w:val="single"/>
          </w:rPr>
          <w:t xml:space="preserve">https://pdfs.semanticscholar.org/944a/5b1e16f4f8b08eb65a84ffc7049e3621febc.pdf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Mahuku GS, Jara C, Henriquez MA, Castellanos G &amp; Cuasquer J (2006) Genotypic characterization of the common bean bacterial blight pathogens,</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by rep-PCR and PCR-RFLP of the ribosomal genes.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 35–44. </w:t>
      </w:r>
    </w:p>
    <w:p>
      <w:pPr>
        <w:widowControl w:val="on"/>
        <w:pBdr/>
        <w:spacing w:before="220" w:after="220" w:line="240" w:lineRule="auto"/>
        <w:ind w:left="0" w:right="0"/>
        <w:jc w:val="left"/>
      </w:pPr>
      <w:r>
        <w:rPr>
          <w:rFonts w:ascii="Calibri" w:hAnsi="Calibri" w:eastAsia="Calibri" w:cs="Calibri"/>
          <w:color w:val="000000"/>
          <w:sz w:val="22"/>
          <w:szCs w:val="22"/>
        </w:rPr>
        <w:t xml:space="preserve">Maude RB (1997) Seedborne diseases and their control: principles and practice.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280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Miklas PN, Kelly JD, Beebe SE &amp; Blair MW (2006) Common bean breeding for resistance against biotic and abiotic stresses: From classical to MAS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(1–2), 105–131. </w:t>
      </w:r>
      <w:hyperlink r:id="rId4704663a0ad7290f9" w:history="1">
        <w:r>
          <w:rPr>
            <w:rFonts w:ascii="Calibri" w:hAnsi="Calibri" w:eastAsia="Calibri" w:cs="Calibri"/>
            <w:color w:val="0000CC"/>
            <w:sz w:val="22"/>
            <w:szCs w:val="22"/>
            <w:u w:val="single"/>
          </w:rPr>
          <w:t xml:space="preserve">https://doi.org/10.1007/s10681-006-4600-5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Opio AF, Teri JM &amp; Allen DJ (1993) Studies on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beans in Uganda.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59–67.</w:t>
      </w:r>
    </w:p>
    <w:p>
      <w:pPr>
        <w:widowControl w:val="on"/>
        <w:pBdr/>
        <w:spacing w:before="220" w:after="220" w:line="240" w:lineRule="auto"/>
        <w:ind w:left="0" w:right="0"/>
        <w:jc w:val="left"/>
      </w:pPr>
      <w:r>
        <w:rPr>
          <w:rFonts w:ascii="Calibri" w:hAnsi="Calibri" w:eastAsia="Calibri" w:cs="Calibri"/>
          <w:color w:val="000000"/>
          <w:sz w:val="22"/>
          <w:szCs w:val="22"/>
        </w:rPr>
        <w:t xml:space="preserve">Opio AF, Allen DJ &amp; Teri JM (1996) Pathogenic variation in </w:t>
      </w:r>
      <w:r>
        <w:rPr>
          <w:rFonts w:ascii="Calibri" w:hAnsi="Calibri" w:eastAsia="Calibri" w:cs="Calibri"/>
          <w:i/>
          <w:iCs/>
          <w:color w:val="000000"/>
          <w:sz w:val="22"/>
          <w:szCs w:val="22"/>
        </w:rPr>
        <w:t xml:space="preserve">Xanthonomas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the causal agent of common bacterial blight in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beans.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(6), 1126–1133. </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Kloberdanz M, Schroder S, Vasquez JE, Ghising K &amp; Pasche JS (2017) Improved tolerance to root rot and bacterial blights in kidney bean: Registration of ‘Talon’dark red kidney and ‘Rosie’light red kidney.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(1),1-8.</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Pasche JS, Posch J &amp; Simons K (2020)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ND Whitetail ’, a new white kidney bean with high seed yield and intermediate resistance to white mold and bacterial blights. </w:t>
      </w:r>
      <w:r>
        <w:rPr>
          <w:rFonts w:ascii="Calibri" w:hAnsi="Calibri" w:eastAsia="Calibri" w:cs="Calibri"/>
          <w:i/>
          <w:iCs/>
          <w:color w:val="000000"/>
          <w:sz w:val="22"/>
          <w:szCs w:val="22"/>
        </w:rPr>
        <w:t xml:space="preserve">Journal of Plant Registration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102-109. </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K (1993) Infection of the plant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193–264).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Sackett WG (1905) </w:t>
      </w:r>
      <w:r>
        <w:rPr>
          <w:rFonts w:ascii="Calibri" w:hAnsi="Calibri" w:eastAsia="Calibri" w:cs="Calibri"/>
          <w:i/>
          <w:iCs/>
          <w:color w:val="000000"/>
          <w:sz w:val="22"/>
          <w:szCs w:val="22"/>
        </w:rPr>
        <w:t xml:space="preserve">Some bacterial diseases of plants prevalent in Michigan</w:t>
      </w:r>
      <w:r>
        <w:rPr>
          <w:rFonts w:ascii="Calibri" w:hAnsi="Calibri" w:eastAsia="Calibri" w:cs="Calibri"/>
          <w:color w:val="000000"/>
          <w:sz w:val="22"/>
          <w:szCs w:val="22"/>
        </w:rPr>
        <w:t xml:space="preserve"> (Vol. 230). Michigan State Agricultural College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(1989) Common bacterial blight. </w:t>
      </w:r>
      <w:r>
        <w:rPr>
          <w:rFonts w:ascii="Calibri" w:hAnsi="Calibri" w:eastAsia="Calibri" w:cs="Calibri"/>
          <w:i/>
          <w:iCs/>
          <w:color w:val="000000"/>
          <w:sz w:val="22"/>
          <w:szCs w:val="22"/>
        </w:rPr>
        <w:t xml:space="preserve">Bean Production Problems in the Tropics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261–283.</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(1991) Diseases caused by bacteria. In R. Hall (Ed.), </w:t>
      </w:r>
      <w:r>
        <w:rPr>
          <w:rFonts w:ascii="Calibri" w:hAnsi="Calibri" w:eastAsia="Calibri" w:cs="Calibri"/>
          <w:i/>
          <w:iCs/>
          <w:color w:val="000000"/>
          <w:sz w:val="22"/>
          <w:szCs w:val="22"/>
        </w:rPr>
        <w:t xml:space="preserve">Compendium of Bean Diseases</w:t>
      </w:r>
      <w:r>
        <w:rPr>
          <w:rFonts w:ascii="Calibri" w:hAnsi="Calibri" w:eastAsia="Calibri" w:cs="Calibri"/>
          <w:color w:val="000000"/>
          <w:sz w:val="22"/>
          <w:szCs w:val="22"/>
        </w:rPr>
        <w:t xml:space="preserve"> (pp. 29–32).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Cafati CR &amp; Weller DM (1986) Nonoverwintering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bean blight bacteria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285. </w:t>
      </w:r>
      <w:hyperlink r:id="rId7118663a0ad7294e7" w:history="1">
        <w:r>
          <w:rPr>
            <w:rFonts w:ascii="Calibri" w:hAnsi="Calibri" w:eastAsia="Calibri" w:cs="Calibri"/>
            <w:color w:val="0000CC"/>
            <w:sz w:val="22"/>
            <w:szCs w:val="22"/>
            <w:u w:val="single"/>
          </w:rPr>
          <w:t xml:space="preserve">https://doi.org/10.1094/PD-70-285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Santana EA (1991) Longevity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naturally infested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952. </w:t>
      </w:r>
      <w:hyperlink r:id="rId5808663a0ad7295b3" w:history="1">
        <w:r>
          <w:rPr>
            <w:rFonts w:ascii="Calibri" w:hAnsi="Calibri" w:eastAsia="Calibri" w:cs="Calibri"/>
            <w:color w:val="0000CC"/>
            <w:sz w:val="22"/>
            <w:szCs w:val="22"/>
            <w:u w:val="single"/>
          </w:rPr>
          <w:t xml:space="preserve">https://doi.org/10.1094/PD-75-0952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1915) Dye 1978 forms A, B/C/D, and E as </w:t>
      </w:r>
      <w:r>
        <w:rPr>
          <w:rFonts w:ascii="Calibri" w:hAnsi="Calibri" w:eastAsia="Calibri" w:cs="Calibri"/>
          <w:i/>
          <w:iCs/>
          <w:color w:val="000000"/>
          <w:sz w:val="22"/>
          <w:szCs w:val="22"/>
        </w:rPr>
        <w:t xml:space="preserve">X. smithii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sp. nov. nom. rev. comb. nov.,</w:t>
      </w:r>
      <w:r>
        <w:rPr>
          <w:rFonts w:ascii="Calibri" w:hAnsi="Calibri" w:eastAsia="Calibri" w:cs="Calibri"/>
          <w:i/>
          <w:iCs/>
          <w:color w:val="000000"/>
          <w:sz w:val="22"/>
          <w:szCs w:val="22"/>
        </w:rPr>
        <w:t xml:space="preserve"> X.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(ex Gabriel 1989) sp. nov. nom. rev. comb. nov., and X.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494–518. </w:t>
      </w:r>
      <w:hyperlink r:id="rId4287663a0ad7296df"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Schwartz HF, Steadman JR, Hall R &amp; Forster RL (2005) Compendium of bean diseases (Issue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SP &amp; Schwartz HF (2010) Breeding common bean for resistance to diseases: A review.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2199–2223. </w:t>
      </w:r>
      <w:hyperlink r:id="rId6810663a0ad72978d" w:history="1">
        <w:r>
          <w:rPr>
            <w:rFonts w:ascii="Calibri" w:hAnsi="Calibri" w:eastAsia="Calibri" w:cs="Calibri"/>
            <w:color w:val="0000CC"/>
            <w:sz w:val="22"/>
            <w:szCs w:val="22"/>
            <w:u w:val="single"/>
          </w:rPr>
          <w:t xml:space="preserve">https://doi.org/10.2135/cropsci2009.03.0163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(1897) Description of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n. sp. </w:t>
      </w:r>
      <w:r>
        <w:rPr>
          <w:rFonts w:ascii="Calibri" w:hAnsi="Calibri" w:eastAsia="Calibri" w:cs="Calibri"/>
          <w:i/>
          <w:iCs/>
          <w:color w:val="000000"/>
          <w:sz w:val="22"/>
          <w:szCs w:val="22"/>
        </w:rPr>
        <w:t xml:space="preserve">Botanical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MD &amp; Wallen VR (1970) Epidemiological and ecological relations of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southwestern Ontario, 1961-1968.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1329–1334.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Hurtado‐Gonzales OP, Pastor‐Corrales MA &amp; Steadman JR (2019) Registration of great northern common bean cultivar ‘Panhandle Pride’ with enhanced disease resistance to bean rust and common bacterial blight.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Xanthomonas.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6756663a0ad72998b"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Vidaver AK (1993)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cause of common bacterial blight of bean. In JG Swings, EL Civerolo (Eds.),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40–44).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Wallen VR &amp; Jackson HR (1975) Model for yield loss determination of bacterial blight of field beans utilizing aerial infrared photography combined with field plot studies.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(9), 942-948. </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DM &amp; Saettler AW (1980) Colonization and distribution of </w:t>
      </w:r>
      <w:r>
        <w:rPr>
          <w:rFonts w:ascii="Calibri" w:hAnsi="Calibri" w:eastAsia="Calibri" w:cs="Calibri"/>
          <w:i/>
          <w:iCs/>
          <w:color w:val="000000"/>
          <w:sz w:val="22"/>
          <w:szCs w:val="22"/>
        </w:rPr>
        <w:t xml:space="preserve">Xanthomonas phaseol</w:t>
      </w:r>
      <w:r>
        <w:rPr>
          <w:rFonts w:ascii="Calibri" w:hAnsi="Calibri" w:eastAsia="Calibri" w:cs="Calibri"/>
          <w:color w:val="000000"/>
          <w:sz w:val="22"/>
          <w:szCs w:val="22"/>
        </w:rPr>
        <w:t xml:space="preserve">i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field-grown navy beans.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500–506.</w:t>
      </w:r>
    </w:p>
    <w:p>
      <w:pPr>
        <w:widowControl w:val="on"/>
        <w:pBdr/>
        <w:spacing w:before="220" w:after="220" w:line="240" w:lineRule="auto"/>
        <w:ind w:left="0" w:right="0"/>
        <w:jc w:val="left"/>
      </w:pPr>
      <w:r>
        <w:rPr>
          <w:rFonts w:ascii="Calibri" w:hAnsi="Calibri" w:eastAsia="Calibri" w:cs="Calibri"/>
          <w:color w:val="000000"/>
          <w:sz w:val="22"/>
          <w:szCs w:val="22"/>
        </w:rPr>
        <w:t xml:space="preserve">Wimalajeewa DLS &amp; Nancarrow RJ (1980) Survival in soil of bacteria causing common and halo blights of French bean in Victoria. </w:t>
      </w:r>
      <w:r>
        <w:rPr>
          <w:rFonts w:ascii="Calibri" w:hAnsi="Calibri" w:eastAsia="Calibri" w:cs="Calibri"/>
          <w:i/>
          <w:iCs/>
          <w:color w:val="000000"/>
          <w:sz w:val="22"/>
          <w:szCs w:val="22"/>
        </w:rPr>
        <w:t xml:space="preserve">Australian Journal of Experimental Agriculture and Animal Husbandry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Yoshii K, Galvez GE &amp; Alvarez G (1975) Estimation of yield losses in beans caused by common blight. </w:t>
      </w:r>
      <w:r>
        <w:rPr>
          <w:rFonts w:ascii="Calibri" w:hAnsi="Calibri" w:eastAsia="Calibri" w:cs="Calibri"/>
          <w:i/>
          <w:iCs/>
          <w:color w:val="000000"/>
          <w:sz w:val="22"/>
          <w:szCs w:val="22"/>
        </w:rPr>
        <w:t xml:space="preserve">Fitopatologia Colombian</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(1930) The bacterial blight of beans caused by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In </w:t>
      </w:r>
      <w:r>
        <w:rPr>
          <w:rFonts w:ascii="Calibri" w:hAnsi="Calibri" w:eastAsia="Calibri" w:cs="Calibri"/>
          <w:i/>
          <w:iCs/>
          <w:color w:val="000000"/>
          <w:sz w:val="22"/>
          <w:szCs w:val="22"/>
        </w:rPr>
        <w:t xml:space="preserve">Technical Bulletins 169625, United States Department of Agriculture, Economic Research Service.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Nicolas WG Chen and Marie-Agnès Jacques, IRHS, FR.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fuscans</w:t>
      </w:r>
      <w:r>
        <w:rPr>
          <w:rFonts w:ascii="Calibri" w:hAnsi="Calibri" w:eastAsia="Calibri" w:cs="Calibri"/>
          <w:color w:val="000000"/>
          <w:sz w:val="22"/>
          <w:szCs w:val="22"/>
        </w:rPr>
        <w:t xml:space="preserve">. EPPO datasheets on pests recommended for regulation. Available online. </w:t>
      </w:r>
      <w:hyperlink r:id="rId1707663a0ad729d2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61: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 EPP</w:t>
      </w:r>
      <w:r>
        <w:rPr>
          <w:rFonts w:ascii="Calibri" w:hAnsi="Calibri" w:eastAsia="Calibri" w:cs="Calibri"/>
          <w:i/>
          <w:iCs/>
          <w:color w:val="000000"/>
          <w:sz w:val="22"/>
          <w:szCs w:val="22"/>
        </w:rPr>
        <w:t xml:space="preserve">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58-61. </w:t>
      </w:r>
      <w:hyperlink r:id="rId8371663a0ad729eb7" w:history="1">
        <w:r>
          <w:rPr>
            <w:rFonts w:ascii="Calibri" w:hAnsi="Calibri" w:eastAsia="Calibri" w:cs="Calibri"/>
            <w:color w:val="0000CC"/>
            <w:sz w:val="22"/>
            <w:szCs w:val="22"/>
            <w:u w:val="single"/>
          </w:rPr>
          <w:t xml:space="preserve">https://doi.org/10.1111/j.1365-2338.1978.tb02771.x</w:t>
        </w:r>
      </w:hyperlink>
      <w:r>
        <w:rPr>
          <w:rFonts w:ascii="Calibri" w:hAnsi="Calibri" w:eastAsia="Calibri" w:cs="Calibri"/>
          <w:color w:val="000000"/>
          <w:sz w:val="22"/>
          <w:szCs w:val="22"/>
        </w:rPr>
        <w:t xml:space="preserve"> </w:t>
      </w:r>
    </w:p>
    <w:p>
      <w:r>
        <w:drawing>
          <wp:inline distT="0" distB="0" distL="0" distR="0">
            <wp:extent cx="1800000" cy="604800"/>
            <wp:docPr id="2884911" name="name2768663a0ad729f7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09663a0ad729f7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334739">
    <w:multiLevelType w:val="hybridMultilevel"/>
    <w:lvl w:ilvl="0" w:tplc="74791977">
      <w:start w:val="1"/>
      <w:numFmt w:val="decimal"/>
      <w:lvlText w:val="%1."/>
      <w:lvlJc w:val="left"/>
      <w:pPr>
        <w:ind w:left="720" w:hanging="360"/>
      </w:pPr>
    </w:lvl>
    <w:lvl w:ilvl="1" w:tplc="74791977" w:tentative="1">
      <w:start w:val="1"/>
      <w:numFmt w:val="lowerLetter"/>
      <w:lvlText w:val="%2."/>
      <w:lvlJc w:val="left"/>
      <w:pPr>
        <w:ind w:left="1440" w:hanging="360"/>
      </w:pPr>
    </w:lvl>
    <w:lvl w:ilvl="2" w:tplc="74791977" w:tentative="1">
      <w:start w:val="1"/>
      <w:numFmt w:val="lowerRoman"/>
      <w:lvlText w:val="%3."/>
      <w:lvlJc w:val="right"/>
      <w:pPr>
        <w:ind w:left="2160" w:hanging="180"/>
      </w:pPr>
    </w:lvl>
    <w:lvl w:ilvl="3" w:tplc="74791977" w:tentative="1">
      <w:start w:val="1"/>
      <w:numFmt w:val="decimal"/>
      <w:lvlText w:val="%4."/>
      <w:lvlJc w:val="left"/>
      <w:pPr>
        <w:ind w:left="2880" w:hanging="360"/>
      </w:pPr>
    </w:lvl>
    <w:lvl w:ilvl="4" w:tplc="74791977" w:tentative="1">
      <w:start w:val="1"/>
      <w:numFmt w:val="lowerLetter"/>
      <w:lvlText w:val="%5."/>
      <w:lvlJc w:val="left"/>
      <w:pPr>
        <w:ind w:left="3600" w:hanging="360"/>
      </w:pPr>
    </w:lvl>
    <w:lvl w:ilvl="5" w:tplc="74791977" w:tentative="1">
      <w:start w:val="1"/>
      <w:numFmt w:val="lowerRoman"/>
      <w:lvlText w:val="%6."/>
      <w:lvlJc w:val="right"/>
      <w:pPr>
        <w:ind w:left="4320" w:hanging="180"/>
      </w:pPr>
    </w:lvl>
    <w:lvl w:ilvl="6" w:tplc="74791977" w:tentative="1">
      <w:start w:val="1"/>
      <w:numFmt w:val="decimal"/>
      <w:lvlText w:val="%7."/>
      <w:lvlJc w:val="left"/>
      <w:pPr>
        <w:ind w:left="5040" w:hanging="360"/>
      </w:pPr>
    </w:lvl>
    <w:lvl w:ilvl="7" w:tplc="74791977" w:tentative="1">
      <w:start w:val="1"/>
      <w:numFmt w:val="lowerLetter"/>
      <w:lvlText w:val="%8."/>
      <w:lvlJc w:val="left"/>
      <w:pPr>
        <w:ind w:left="5760" w:hanging="360"/>
      </w:pPr>
    </w:lvl>
    <w:lvl w:ilvl="8" w:tplc="74791977" w:tentative="1">
      <w:start w:val="1"/>
      <w:numFmt w:val="lowerRoman"/>
      <w:lvlText w:val="%9."/>
      <w:lvlJc w:val="right"/>
      <w:pPr>
        <w:ind w:left="6480" w:hanging="180"/>
      </w:pPr>
    </w:lvl>
  </w:abstractNum>
  <w:abstractNum w:abstractNumId="13334738">
    <w:multiLevelType w:val="hybridMultilevel"/>
    <w:lvl w:ilvl="0" w:tplc="50123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334738">
    <w:abstractNumId w:val="13334738"/>
  </w:num>
  <w:num w:numId="13334739">
    <w:abstractNumId w:val="133347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0087056" Type="http://schemas.microsoft.com/office/2011/relationships/commentsExtended" Target="commentsExtended.xml"/><Relationship Id="rId429339854" Type="http://schemas.microsoft.com/office/2011/relationships/people" Target="people.xml"/><Relationship Id="rId3273663a0ad725688" Type="http://schemas.openxmlformats.org/officeDocument/2006/relationships/hyperlink" Target="https://gd.eppo.int/taxon/XANTPH/datasheet" TargetMode="External"/><Relationship Id="rId9195663a0ad725931" Type="http://schemas.openxmlformats.org/officeDocument/2006/relationships/hyperlink" Target="https://gd.eppo.int/taxon/XANTFF/" TargetMode="External"/><Relationship Id="rId3798663a0ad725997" Type="http://schemas.openxmlformats.org/officeDocument/2006/relationships/hyperlink" Target="https://gd.eppo.int/taxon/XANTFF/categorization" TargetMode="External"/><Relationship Id="rId6172663a0ad727e8b" Type="http://schemas.openxmlformats.org/officeDocument/2006/relationships/hyperlink" Target="https://doi.org/10.1007/BF00037907" TargetMode="External"/><Relationship Id="rId2646663a0ad727f03" Type="http://schemas.openxmlformats.org/officeDocument/2006/relationships/hyperlink" Target="https://doi.org/10.1186/2193-1801-2-41" TargetMode="External"/><Relationship Id="rId3249663a0ad728021" Type="http://schemas.openxmlformats.org/officeDocument/2006/relationships/hyperlink" Target="https://doi.org/10.1128/AEM.02507-07" TargetMode="External"/><Relationship Id="rId5170663a0ad7281a8" Type="http://schemas.openxmlformats.org/officeDocument/2006/relationships/hyperlink" Target="https://doi.org/10.1094/phyto-84-1185" TargetMode="External"/><Relationship Id="rId2560663a0ad728249" Type="http://schemas.openxmlformats.org/officeDocument/2006/relationships/hyperlink" Target="https://doi.org/10.4172/2157-7471.1000403" TargetMode="External"/><Relationship Id="rId9878663a0ad728348" Type="http://schemas.openxmlformats.org/officeDocument/2006/relationships/hyperlink" Target="https://doi.org/10.1094/phyto-70-675" TargetMode="External"/><Relationship Id="rId2009663a0ad728564" Type="http://schemas.openxmlformats.org/officeDocument/2006/relationships/hyperlink" Target="https://doi.org/10.1128/jb.74.2.137-140.1957" TargetMode="External"/><Relationship Id="rId3227663a0ad728616" Type="http://schemas.openxmlformats.org/officeDocument/2006/relationships/hyperlink" Target="https://doi.org/10.1007/s11104-017-3329-3" TargetMode="External"/><Relationship Id="rId6889663a0ad7286d1" Type="http://schemas.openxmlformats.org/officeDocument/2006/relationships/hyperlink" Target="https://doi.org/10.1007/s10658-007-9164-2" TargetMode="External"/><Relationship Id="rId9380663a0ad728744" Type="http://schemas.openxmlformats.org/officeDocument/2006/relationships/hyperlink" Target="https://doi.org/10.1128/AEM.01098-10" TargetMode="External"/><Relationship Id="rId3385663a0ad72888a" Type="http://schemas.openxmlformats.org/officeDocument/2006/relationships/hyperlink" Target="https://doi.org/10.1094/PDIS-02-19-0325-RE" TargetMode="External"/><Relationship Id="rId7388663a0ad7288f9" Type="http://schemas.openxmlformats.org/officeDocument/2006/relationships/hyperlink" Target="https://doi.org/10.1094/PHYTO-03-10-0095" TargetMode="External"/><Relationship Id="rId1980663a0ad728a9a" Type="http://schemas.openxmlformats.org/officeDocument/2006/relationships/hyperlink" Target="https://doi.org/10.1080/09670870110044030" TargetMode="External"/><Relationship Id="rId5731663a0ad728c1b" Type="http://schemas.openxmlformats.org/officeDocument/2006/relationships/hyperlink" Target="https://doi.org/10.1094/PD-89-0558" TargetMode="External"/><Relationship Id="rId1472663a0ad728e76" Type="http://schemas.openxmlformats.org/officeDocument/2006/relationships/hyperlink" Target="https://doi.org/10.1128/AEM.71.4.2008-2015.2005" TargetMode="External"/><Relationship Id="rId6504663a0ad728ee6" Type="http://schemas.openxmlformats.org/officeDocument/2006/relationships/hyperlink" Target="https://www.apsnet.org/publications/phytopathology/backissues/Documents/1978Articles/Phyto68n07_1057.PDF" TargetMode="External"/><Relationship Id="rId4040663a0ad728f57" Type="http://schemas.openxmlformats.org/officeDocument/2006/relationships/hyperlink" Target="https://pdfs.semanticscholar.org/944a/5b1e16f4f8b08eb65a84ffc7049e3621febc.pdf" TargetMode="External"/><Relationship Id="rId4704663a0ad7290f9" Type="http://schemas.openxmlformats.org/officeDocument/2006/relationships/hyperlink" Target="https://doi.org/10.1007/s10681-006-4600-5" TargetMode="External"/><Relationship Id="rId7118663a0ad7294e7" Type="http://schemas.openxmlformats.org/officeDocument/2006/relationships/hyperlink" Target="https://doi.org/10.1094/PD-70-285" TargetMode="External"/><Relationship Id="rId5808663a0ad7295b3" Type="http://schemas.openxmlformats.org/officeDocument/2006/relationships/hyperlink" Target="https://doi.org/10.1094/PD-75-0952" TargetMode="External"/><Relationship Id="rId4287663a0ad7296df" Type="http://schemas.openxmlformats.org/officeDocument/2006/relationships/hyperlink" Target="https://doi.org/10.1016/j.syapm.2005.03.017" TargetMode="External"/><Relationship Id="rId6810663a0ad72978d" Type="http://schemas.openxmlformats.org/officeDocument/2006/relationships/hyperlink" Target="https://doi.org/10.2135/cropsci2009.03.0163" TargetMode="External"/><Relationship Id="rId6756663a0ad72998b" Type="http://schemas.openxmlformats.org/officeDocument/2006/relationships/hyperlink" Target="https://doi.org/10.1099/00207713-45-3-472" TargetMode="External"/><Relationship Id="rId1707663a0ad729d25" Type="http://schemas.openxmlformats.org/officeDocument/2006/relationships/hyperlink" Target="https://gd.eppo.int" TargetMode="External"/><Relationship Id="rId8371663a0ad729eb7" Type="http://schemas.openxmlformats.org/officeDocument/2006/relationships/hyperlink" Target="https://doi.org/10.1111/j.1365-2338.1978.tb02771.x" TargetMode="External"/><Relationship Id="rId8359663a0ad727020" Type="http://schemas.openxmlformats.org/officeDocument/2006/relationships/image" Target="media/imgrId8359663a0ad727020.jpg"/><Relationship Id="rId6909663a0ad729f74" Type="http://schemas.openxmlformats.org/officeDocument/2006/relationships/image" Target="media/imgrId6909663a0ad729f7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