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Verticillium dahliae hop strains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2024-07-29</w:t>
      </w:r>
    </w:p>
    <w:p>
      <w:pPr>
        <w:widowControl w:val="on"/>
        <w:pBdr/>
        <w:spacing w:before="220" w:after="220" w:line="240" w:lineRule="auto"/>
        <w:ind w:left="0" w:right="0"/>
        <w:jc w:val="both"/>
      </w:pPr>
      <w:r>
        <w:rPr>
          <w:rFonts w:ascii="Calibri" w:hAnsi="Calibri" w:eastAsia="Calibri" w:cs="Calibri"/>
          <w:color w:val="000000"/>
          <w:sz w:val="22"/>
          <w:szCs w:val="22"/>
        </w:rPr>
        <w:br/>
        <w:t xml:space="preserve">Only hop strains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have been included on the EPPO A2 List of pests recommended for regulation as quarantine pests, considering the severity of the disease they may cause on this particular crop, and their limited geographical distribution. Within the European Union, both pathogens are currently listed as regulated non-quarantine pests (RNQPs) with a zero tolerance on hop plants for planting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Verticillium dahliae hop strains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Klebahn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Glomerellales: Plectosphaerellaceae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verticillium wilt of hop</w:t>
            </w:r>
            <w:hyperlink r:id="rId19896acb7a0723aa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11156acb7a0723b1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VERTDH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9508288" name="name74166acb7a0724982" descr="15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87.jpg"/>
                          <pic:cNvPicPr/>
                        </pic:nvPicPr>
                        <pic:blipFill>
                          <a:blip r:embed="rId99386acb7a0724980" cstate="print"/>
                          <a:stretch>
                            <a:fillRect/>
                          </a:stretch>
                        </pic:blipFill>
                        <pic:spPr>
                          <a:xfrm>
                            <a:off x="0" y="0"/>
                            <a:ext cx="2160000" cy="1281600"/>
                          </a:xfrm>
                          <a:prstGeom prst="rect">
                            <a:avLst/>
                          </a:prstGeom>
                          <a:ln w="0">
                            <a:noFill/>
                          </a:ln>
                        </pic:spPr>
                      </pic:pic>
                    </a:graphicData>
                  </a:graphic>
                </wp:inline>
              </w:drawing>
            </w:r>
            <w:hyperlink r:id="rId93066acb7a0724b0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Verticillium wilt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is caused by the soil-borne fungi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 </w:t>
      </w:r>
      <w:r>
        <w:rPr>
          <w:rFonts w:ascii="Calibri" w:hAnsi="Calibri" w:eastAsia="Calibri" w:cs="Calibri"/>
          <w:color w:val="000000"/>
          <w:sz w:val="22"/>
          <w:szCs w:val="22"/>
        </w:rPr>
        <w:t xml:space="preserve">On hops grown in temperate regions,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is the most frequently found species and is responsible for the most severe outbreaks. Originally,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was described by Klebahn (1913) from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sp. cv. Geiselher in Germany. In 2011,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provided a new taxonomic framework for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their boundaries and evolutionary relationships, based on multigene phylogenetic analyses and morphological investigations. As a result,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was split into three different species: 1)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stricto, isolated from potatoes and potato soil; 2) </w:t>
      </w:r>
      <w:r>
        <w:rPr>
          <w:rFonts w:ascii="Calibri" w:hAnsi="Calibri" w:eastAsia="Calibri" w:cs="Calibri"/>
          <w:i/>
          <w:iCs/>
          <w:color w:val="000000"/>
          <w:sz w:val="22"/>
          <w:szCs w:val="22"/>
        </w:rPr>
        <w:t xml:space="preserve">V. alfalfae</w:t>
      </w:r>
      <w:r>
        <w:rPr>
          <w:rFonts w:ascii="Calibri" w:hAnsi="Calibri" w:eastAsia="Calibri" w:cs="Calibri"/>
          <w:color w:val="000000"/>
          <w:sz w:val="22"/>
          <w:szCs w:val="22"/>
        </w:rPr>
        <w:t xml:space="preserve"> whose only known host is alfalfa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3)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attacking a wide range of host plants, including hop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2013; Inderbitzin and Subbarao, 2014). In this new taxonomic concept, isolates of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pathogenic to hop are now considered to be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was initially confounded with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and then with </w:t>
      </w:r>
      <w:r>
        <w:rPr>
          <w:rFonts w:ascii="Calibri" w:hAnsi="Calibri" w:eastAsia="Calibri" w:cs="Calibri"/>
          <w:i/>
          <w:iCs/>
          <w:color w:val="000000"/>
          <w:sz w:val="22"/>
          <w:szCs w:val="22"/>
        </w:rPr>
        <w:t xml:space="preserve">V. longisporum</w:t>
      </w:r>
      <w:r>
        <w:rPr>
          <w:rFonts w:ascii="Calibri" w:hAnsi="Calibri" w:eastAsia="Calibri" w:cs="Calibri"/>
          <w:color w:val="000000"/>
          <w:sz w:val="22"/>
          <w:szCs w:val="22"/>
        </w:rPr>
        <w:t xml:space="preserve"> but it is now confirmed to be a separate species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This taxonomic confusion has introduced uncertainty about past data on both causal agents of Verticillium wilt of hop.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this datasheet, the only host considered is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However, as a species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has a wide host range infecting more than 70 herbaceous and woody plant species. Its hosts include economically important arable, vegetable and fruit crops, such as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artichoke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bell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annuum</w:t>
      </w:r>
      <w:r>
        <w:rPr>
          <w:rFonts w:ascii="Calibri" w:hAnsi="Calibri" w:eastAsia="Calibri" w:cs="Calibri"/>
          <w:color w:val="000000"/>
          <w:sz w:val="22"/>
          <w:szCs w:val="22"/>
        </w:rPr>
        <w:t xml:space="preserve">),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hazelnut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olive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plum (</w:t>
      </w:r>
      <w:r>
        <w:rPr>
          <w:rFonts w:ascii="Calibri" w:hAnsi="Calibri" w:eastAsia="Calibri" w:cs="Calibri"/>
          <w:i/>
          <w:iCs/>
          <w:color w:val="000000"/>
          <w:sz w:val="22"/>
          <w:szCs w:val="22"/>
        </w:rPr>
        <w:t xml:space="preserve">Prunus domestica, P. salicina</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tuberosum</w:t>
      </w:r>
      <w:r>
        <w:rPr>
          <w:rFonts w:ascii="Calibri" w:hAnsi="Calibri" w:eastAsia="Calibri" w:cs="Calibri"/>
          <w:color w:val="000000"/>
          <w:sz w:val="22"/>
          <w:szCs w:val="22"/>
        </w:rPr>
        <w:t xml:space="preserve">), quince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sunflower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(Inderbitzin and Subbarao,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complex taxonomic history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and in particular the past confusion between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alboatrum</w:t>
      </w:r>
      <w:r>
        <w:rPr>
          <w:rFonts w:ascii="Calibri" w:hAnsi="Calibri" w:eastAsia="Calibri" w:cs="Calibri"/>
          <w:color w:val="000000"/>
          <w:sz w:val="22"/>
          <w:szCs w:val="22"/>
        </w:rPr>
        <w:t xml:space="preserve"> sensu lato, there is uncertainty around the geographical distribution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As a species (including both hop and non-hop strains),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has a wide geographical range (EPPO, 2024). Verticillium wilt of hop has generally been attributed to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but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has been isolated in some cases, as shown in the map below.</w:t>
      </w:r>
    </w:p>
    <w:p>
      <w:r>
        <w:drawing>
          <wp:inline distT="0" distB="0" distL="0" distR="0">
            <wp:extent cx="6120000" cy="3067200"/>
            <wp:docPr id="41946111" name="name40936acb7a072606b" descr="VERTD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TDH_distribution_map.jpg"/>
                    <pic:cNvPicPr/>
                  </pic:nvPicPr>
                  <pic:blipFill>
                    <a:blip r:embed="rId56546acb7a072606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Germany, Serbia, Slovakia, Slovenia, United Kingdom (England)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Oregon)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Life cycle, population dynamics and climatic thresholds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is a soil-borne fungal pathogen that colonizes the xylem vessels of hop plants, resulting in a vascular wilt disease. The fungus penetrates roots of a susceptible plant in the region of elongation and the cortex is colonized. From the cortex, the hyphae invade the xylem vessels where conidia are formed. Vascular colonization occurs as conidia are drawn up into the plant along with water. During colonization,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produces and secretes hydrolytic enzymes that are involved in the degradation of the plant cell wall, thus facilitating the spread of the fungus. Due to fungal material and host reaction products, the vascular system becomes plugged, preventing water from reaching upper parts of the plant (Kunej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Leaves and stems deprived of water soon begin to exhibit symptoms of wilting and foliar chlorosis. Symptoms of this disease are seen throughout the plant. As the diseased plant declines, the fungus produces microsclerotia which are released into the soil with the decomposition of plant material. When plant parts bearing microsclerotia are incorporated into the soil, aggregated microsclerotia are initially held together by the shoot tissue, but gradually, as the shoot decomposes, the microsclerotia separate. This is reflected in an apparent increase in soil inoculum density 1 or 2 years after the incorporation of infected plant material (Soesanto, 2000). The microsclerotia are long-lived and survive well over a range of soil moisture and temperature conditions, but lose viability most rapidly in wet, warm soil (Green, 1980; Soesanto, 2000). On hops, the rate and severity of disease development are inversely related to soil temperature. The level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inoculum in soil may fluctuate over time due to chemical inputs, tillage, cropping patterns, and prolonged soil flooding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Both exceptionally high and exceptionally low rainfall reduce the occurrence of the disease in hops (Talboys and Wilson, 1970; Soesanto, 2000). The fungus can survive for at least 14 years in the soil as microsclerotia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are dispersed through seed, vegetative planting material, soil, water, and agricultural equipment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view of the biological features outlined above, Verticillium wilt is essentially a soil-borne or debris-borne disease (and this is certainly the case for hops).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Host specificity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exhibits significant variation in its impact on hop plantations. Although generally considered a generalist pathogen affecting multiple hosts,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demonstrates population differentiation due to varying environmental conditions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Previous studies of the population structure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have revealed a population specific to tomato and no strong association between population structure and the host of origin of isolates on other hosts (Short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These authors also revealed a lack of differentiation linked to geographical locations, despite extremely high genotypic diversity, therefore, the hypothesis of the local population expanding its host range was not substantiated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hop-growing regions, there is a continuum of strain severity, with no distinct disease entity except in England, where a very virulent isolate was identified (Chambers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Atallah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Differences in aggressiveness between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strains have been also reported in Germany (Zinkernagel, 1982). Elsewhere, hop wilt is always mild, and no special strains are known.</w:t>
      </w:r>
    </w:p>
    <w:p>
      <w:pPr>
        <w:widowControl w:val="on"/>
        <w:pBdr/>
        <w:spacing w:before="220" w:after="220" w:line="240" w:lineRule="auto"/>
        <w:ind w:left="0" w:right="0"/>
        <w:jc w:val="both"/>
      </w:pPr>
      <w:r>
        <w:rPr>
          <w:rFonts w:ascii="Calibri" w:hAnsi="Calibri" w:eastAsia="Calibri" w:cs="Calibri"/>
          <w:color w:val="000000"/>
          <w:sz w:val="22"/>
          <w:szCs w:val="22"/>
        </w:rPr>
        <w:t xml:space="preserve">Understanding the genetic diversity within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is crucial for managing hop wilt effectively. Advances in vegetative compatibility and molecular analyses have revealed higher genetic diversity than previously thought (Barbara and Clewes, 2003;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is categorized into six vegetative compatibility groups (VCGs), which are genetically distinct populations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These VCGs help in identifying and deploying resistant hop cultivars and preventing pathogen spread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Kombrink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VCGs are identified using spontaneous nitrate non-utilizing mutants, with VCG1, VCG2, and VCG4 further divided into subgroups A and B with subgroup A being more severe than subgroup B in each case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While VCGs do not fully describe genetic diversity or recombination potential, they are valuable for understanding pathogen evolution and enhancing hop disease management strategies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Kombrink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This can aid in the deployment of resistant cultivars, preventing pathogen introductions and exploring the evolution of an agronomically important group of phytopathogens.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foliar wilt symptoms appear approximately 20 days post inoculation and rapidly progress in susceptible varieties, whereas resistant hop varieties show no symptoms or mild symptoms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fungal biomass gradually increases in roots and stems of susceptible varieties, while in resistant plants, the colonization in roots is significantly less extensive, and fungal DNA in stems is barely detected (O’Brien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As the diseased plant undergoes senescence, the fungus produces resting structures that are released into the soil, where they remain dormant for several years in the absence of a host (Deketelaere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Symptoms are usually most prevalent and severe in wet seasons or in areas where the soil is excessively wet in summer. Disease intensity fluctuates from season to season; plants affected one year may look healthy the next year and for a number of seasons after that. The first symptoms on leaves usually appear in July or early August as a yellowing of the lower leaves, which gradually spreads to other leaves higher up the bine; only occasionally is the whole plant affected (EPPO, 2020). The lower leaves dry out, wither and may fall, while wedge-shaped necrotic areas may develop on the upper leaves. Bines often become swollen and externally may appear brown and corky. Notching or cutting the bine about 0.3–1.0 m from the base will reveal a characteristic light-brown discoloration of the internal woody tissues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described above are those of the ‘mild’ or ‘fluctuating’ type, which is most commonly seen. With more aggressive strains and susceptible cultivars, symptoms can be of the more severe or ’progressive‘ type. A new outbreak usually starts from one infected plant but, by the time it is noticeable, there are often several together in a patch. On leaves, infection is usually first apparent from the end of May onwards (EPPO, 2020). The bottom leaves on one or more bines turn yellow; this yellowing progresses upwards within a few days and, within a week, half or more of the leaves on affected bines may be yellow or dead. Other bines on the infected plant may also begin to show symptoms. A tiger-striping effect is infrequently found on the upper leaves. After 2–3 weeks, all the leaves are dead and usually fallen, and plants often die before the end of the season. Bines rarely become swollen but do show the characteristic internal brown discoloration when cut. They eventually turn black (Deketelaere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Berne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2020). Plants which survive the following winter often produce only a few weak bines the next season, and these soon develop symptoms and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Growth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shows as white, fluffy mycelium, which appears after an incubation period of 3–5 days. Conidia occur singly at the apices of phialides, mainly one-celled but occasionally one-septate, (3.5–) 6.5 (–13.5) x (2.0–) 3.0 (–4.5) µm (EPPO, 2020). They are hyaline, ellipsoidal to irregularly subcylindrical. Phialides are borne on the verticillately branched conidiophores, which are darkened at the base when grown on plant tissues. The species can be identified by the production of resting structures (after 1–2 weeks of incubation), macroscopically visible as a darkening of the cultures (EPPO, 2020). Primary identification of species depends on these resting structures,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produces dark brown to black microsclerotia arising from single hyphae by repeated budding and consisting of swollen, almost globular cells. This epidemiologically important resting structure (microsclerotia) varies in shape from elongate to irregularly spherical and is 25–50 (–100) µm in diameter (Inderbitzin et al., 2011; EFSA, 2014; EPPO, 2020). Two other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V. longisporum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zaregamsianum</w:t>
      </w:r>
      <w:r>
        <w:rPr>
          <w:rFonts w:ascii="Calibri" w:hAnsi="Calibri" w:eastAsia="Calibri" w:cs="Calibri"/>
          <w:color w:val="000000"/>
          <w:sz w:val="22"/>
          <w:szCs w:val="22"/>
        </w:rPr>
        <w:t xml:space="preserve">, can also form microsclerotia, but these species can be differentiated from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by the larger size of their conidia (Inderbitzin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See also Hawksworth and Talboys (1970), Goud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hop strains can be detected following the EPPO diagnostic protocol PM 7/78 (EPPO, 2020). The pathogen can be detected based on the typical symptoms which are known in Verticillium wilt of hops for both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and in both fluctuating (mild) or progressive (lethal) disease forms. Typical symptoms include yellowing and wilting of the leaves, leading to interveinal necrosis and leaf drop, while affected bines exhibit swelling, rough epidermis, and brown vascular discoloration (EPPO,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can easily be isolated from infected hosts by isolation from xylem of roots, stems, branches, twigs, and even leaves and seeds. Isolation of the fungus is made by growth on semi-selective medium (PLYA or PDA), which promotes the production of resting structures. Identification by this method takes up to 2 weeks. Key morphological characteristics are </w:t>
      </w:r>
      <w:r>
        <w:rPr>
          <w:rFonts w:ascii="Calibri" w:hAnsi="Calibri" w:eastAsia="Calibri" w:cs="Calibri"/>
          <w:i/>
          <w:iCs/>
          <w:color w:val="000000"/>
          <w:sz w:val="22"/>
          <w:szCs w:val="22"/>
        </w:rPr>
        <w:t xml:space="preserve">V. dahliae’s</w:t>
      </w:r>
      <w:r>
        <w:rPr>
          <w:rFonts w:ascii="Calibri" w:hAnsi="Calibri" w:eastAsia="Calibri" w:cs="Calibri"/>
          <w:color w:val="000000"/>
          <w:sz w:val="22"/>
          <w:szCs w:val="22"/>
        </w:rPr>
        <w:t xml:space="preserve"> production of resting structures (dark microsclerotia; see morphology) while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can be differentiated by the absence of microsclerotia and presence of dark resting mycelium (EPPO, 2020). The examination of darkened cultures can be done under microscope (100 x magnification), either in situ or squashed onto a slide should reveal the nature of the resting structures (EPPO, 2020).</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the possibility of identifying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based on morphological characters, for reliable identification it is highly recommended that identification should be based on or confirmed by molecular methods, as morphological identification can be prone to errors, especially with atypical isolates lacking diagnostic structures. Specific PCR protocols with specific primers for diagnosis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on hop are available, and sequencing is described (EPPO, 2020). Fungal DNA should be extracted from mycelium taken from solid (PDA, PLYA) or liquid medium or using other appropriate standard methods, including commercial kits with protocols for filamentous fungi. Several PCR-based tests have been developed to detect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inoculum in soil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geographical distribution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(including both hop and non-hop strains) contrasts with its lack of any obvious adaptation to airborne spread. Its sticky, unmelanized asexual spores (conidia) are likely prone to rapid desiccation and damage by UV radiation, and they are generally assumed to be of minimal importance in the spread of Verticillium wilt (Jiménez-Díazet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several other characteristics of this fungus make it particularly amenable to spread through human-mediated intercontinental trade, especially its long-lived environmental stage (microsclerotia) (Fisher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 addition to the survival of melanized microsclerotia in soil, plant debris and commercial crop seed, the fungus exhibits saprotrophic growth in the absence of host plants, and has the generalist ability to colonize trees, agronomic crops, and weeds. Microsclerotia remain viable in the soil for at least 14 years (Wilhelm, 1955), and serve as the primary source of inoculum which makes long-term management in agriculture difficult.</w:t>
      </w:r>
    </w:p>
    <w:p>
      <w:pPr>
        <w:widowControl w:val="on"/>
        <w:pBdr/>
        <w:spacing w:before="220" w:after="220" w:line="240" w:lineRule="auto"/>
        <w:ind w:left="0" w:right="0"/>
        <w:jc w:val="both"/>
      </w:pPr>
      <w:r>
        <w:rPr>
          <w:rFonts w:ascii="Calibri" w:hAnsi="Calibri" w:eastAsia="Calibri" w:cs="Calibri"/>
          <w:color w:val="000000"/>
          <w:sz w:val="22"/>
          <w:szCs w:val="22"/>
        </w:rPr>
        <w:t xml:space="preserve">Hop strains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are most likely to be moved into new areas by transport of soil and hop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Hop is susceptible to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hop strains, which, however, are considered of minor importance compared to </w:t>
      </w:r>
      <w:r>
        <w:rPr>
          <w:rFonts w:ascii="Calibri" w:hAnsi="Calibri" w:eastAsia="Calibri" w:cs="Calibri"/>
          <w:i/>
          <w:iCs/>
          <w:color w:val="000000"/>
          <w:sz w:val="22"/>
          <w:szCs w:val="22"/>
        </w:rPr>
        <w:t xml:space="preserve">V. nonalfalfae</w:t>
      </w:r>
      <w:r>
        <w:rPr>
          <w:rFonts w:ascii="Calibri" w:hAnsi="Calibri" w:eastAsia="Calibri" w:cs="Calibri"/>
          <w:color w:val="000000"/>
          <w:sz w:val="22"/>
          <w:szCs w:val="22"/>
        </w:rPr>
        <w:t xml:space="preserve"> hop strains (EFSA, 2014).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generally causes a mild disease of hops, which can however be severe when attacks susceptible cultivars. Hop wilt attributed to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is moderately severe in Germany (Zinkernagel, 1982) noting differences in strain aggressiveness, and highly virulent in the United Kingdom according to Chambers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but elsewhere Verticillium hop wilt is always mild, and no special strains are known (Talboys, 1987; EFSA, 2014, EPPO,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Verticillium wilt caused by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hop strains is difficult to manage due to ineffective fungicides that do not suppress fungal colonization in plants, and its resting structures that are viable in the soil for many years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No single disease control measure is efficient enough if applied individually. The implementation of integrated management strategies combining an appropriate selection of planting site, disease risk assessment (e.g. assessment of the available inoculum in the soil, determination of pathotypes/races/VCGs/strains present in the site, cropping history of the field, etc.), cultural practices, such as crop rotation and manipulation of fertility and irrigation, use of healthy planting material, including seeds, use of available resistant cultivars and sometimes pre-plant soil treatments, such as solarisation, that reduce the viability of the pathogen in soil (Jeger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Jiménez-Díaz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Klosterman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EFSA, 2014) may reduce disease incidence and severity, but they do not eliminate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Verticillium wilt have been recorded on hops, causing substantial yield losses in parts of the EPPO region. Several countries are important hop producers (e.g. Germany, Czech Republic, Poland, and Slovenia). Once established in an area, this vascular and soil-borne disease is difficult to control and eliminate. The climatic conditions prevailing in the hop-growing areas of Europe do not appear to be limiting factors to Verticillium wilt (EFSA, 2014). Movements of potentially infected hop planting material and soil can readily spread the disease.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is a polyphagous species and has many more potential hosts than those for which it is regulated. Populations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are considered host-adapted rather than host specific, i.e. they display cross-pathogenicity but are more virulent to the host from which they were isolated.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and spread of hop strains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it can be recommended that hop plants for planting should have been produced in a place of production known to be free from the pathogen or have been produced according to a certification scheme. Production sites of hop plants for planting should be isolated from hop gardens, and producers should keep records of cropping and soil borne disease history to demonstrate that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have not been found during the last 5 years. Visual inspection during the growing season carried out at appropriate times should also confirm the absence of Verticillium wilt symptoms. Guidance on how to produce healthy and vegetatively propagated plants can be found in the EPPO Certification scheme for hop (EPPO,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Atallah ZK, Maruthachalam K, du Toit L, Koike ST, Davis RM, Klosterman SJ, Hayes RJ &amp; Subbarao KV (2010) Population analyses of the vascular plant pathogen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detect recombination and transcontinental gene flow. </w:t>
      </w:r>
      <w:r>
        <w:rPr>
          <w:rFonts w:ascii="Calibri" w:hAnsi="Calibri" w:eastAsia="Calibri" w:cs="Calibri"/>
          <w:i/>
          <w:iCs/>
          <w:color w:val="000000"/>
          <w:sz w:val="22"/>
          <w:szCs w:val="22"/>
        </w:rPr>
        <w:t xml:space="preserve">Fungal Genetics and Biology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(5), 416–422. </w:t>
      </w:r>
      <w:hyperlink r:id="rId61096acb7a072796b" w:history="1">
        <w:r>
          <w:rPr>
            <w:rFonts w:ascii="Calibri" w:hAnsi="Calibri" w:eastAsia="Calibri" w:cs="Calibri"/>
            <w:color w:val="0000CC"/>
            <w:sz w:val="22"/>
            <w:szCs w:val="22"/>
            <w:u w:val="single"/>
          </w:rPr>
          <w:t xml:space="preserve">https://doi.org/10.1016/j.fgb.2010.02.003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Barbara DJ &amp; Clewes E (2003) Plant-pathogenic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How many of them are there?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297–305. </w:t>
      </w:r>
      <w:hyperlink r:id="rId41216acb7a0727a12" w:history="1">
        <w:r>
          <w:rPr>
            <w:rFonts w:ascii="Calibri" w:hAnsi="Calibri" w:eastAsia="Calibri" w:cs="Calibri"/>
            <w:color w:val="0000CC"/>
            <w:sz w:val="22"/>
            <w:szCs w:val="22"/>
            <w:u w:val="single"/>
          </w:rPr>
          <w:t xml:space="preserve">https://bsppjournals.onlinelibrary.wiley.com/doi/full/10.1046/j.1364-3703.2003.00172.x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Berlanger I &amp; Powelson ML (2005) Verticillium wilt. </w:t>
      </w:r>
      <w:r>
        <w:rPr>
          <w:rFonts w:ascii="Calibri" w:hAnsi="Calibri" w:eastAsia="Calibri" w:cs="Calibri"/>
          <w:i/>
          <w:iCs/>
          <w:color w:val="000000"/>
          <w:sz w:val="22"/>
          <w:szCs w:val="22"/>
        </w:rPr>
        <w:t xml:space="preserve">The Plant Health Instructor</w:t>
      </w:r>
      <w:r>
        <w:rPr>
          <w:rFonts w:ascii="Calibri" w:hAnsi="Calibri" w:eastAsia="Calibri" w:cs="Calibri"/>
          <w:color w:val="000000"/>
          <w:sz w:val="22"/>
          <w:szCs w:val="22"/>
        </w:rPr>
        <w:t xml:space="preserve">. </w:t>
      </w:r>
      <w:hyperlink r:id="rId37876acb7a0727a6a" w:history="1">
        <w:r>
          <w:rPr>
            <w:rFonts w:ascii="Calibri" w:hAnsi="Calibri" w:eastAsia="Calibri" w:cs="Calibri"/>
            <w:color w:val="0000CC"/>
            <w:sz w:val="22"/>
            <w:szCs w:val="22"/>
            <w:u w:val="single"/>
          </w:rPr>
          <w:t xml:space="preserve">https://doi.org/10.1094/PHI-I-2000-0801-01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Berne S, Kovačević N, Kastelec D, Javornik B &amp; Radišek S (2020) Hop polyphenols in relation to verticillium wilt resistance and their antifungal activity.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(10), 1318. </w:t>
      </w:r>
      <w:hyperlink r:id="rId88796acb7a0727ade" w:history="1">
        <w:r>
          <w:rPr>
            <w:rFonts w:ascii="Calibri" w:hAnsi="Calibri" w:eastAsia="Calibri" w:cs="Calibri"/>
            <w:color w:val="0000CC"/>
            <w:sz w:val="22"/>
            <w:szCs w:val="22"/>
            <w:u w:val="single"/>
          </w:rPr>
          <w:t xml:space="preserve">https://doi.org/10.3390/plants9101318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Chambers DA, Talboys PW, Davies MK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Diseases of hops. In: </w:t>
      </w:r>
      <w:r>
        <w:rPr>
          <w:rFonts w:ascii="Calibri" w:hAnsi="Calibri" w:eastAsia="Calibri" w:cs="Calibri"/>
          <w:i/>
          <w:iCs/>
          <w:color w:val="000000"/>
          <w:sz w:val="22"/>
          <w:szCs w:val="22"/>
        </w:rPr>
        <w:t xml:space="preserve">Report East Malling Research Station for 1984</w:t>
      </w:r>
      <w:r>
        <w:rPr>
          <w:rFonts w:ascii="Calibri" w:hAnsi="Calibri" w:eastAsia="Calibri" w:cs="Calibri"/>
          <w:color w:val="000000"/>
          <w:sz w:val="22"/>
          <w:szCs w:val="22"/>
        </w:rPr>
        <w:t xml:space="preserve">, pp. 179–183.</w:t>
      </w:r>
    </w:p>
    <w:p>
      <w:pPr>
        <w:widowControl w:val="on"/>
        <w:pBdr/>
        <w:spacing w:before="220" w:after="220" w:line="240" w:lineRule="auto"/>
        <w:ind w:left="0" w:right="0"/>
        <w:jc w:val="left"/>
      </w:pPr>
      <w:r>
        <w:rPr>
          <w:rFonts w:ascii="Calibri" w:hAnsi="Calibri" w:eastAsia="Calibri" w:cs="Calibri"/>
          <w:color w:val="000000"/>
          <w:sz w:val="22"/>
          <w:szCs w:val="22"/>
        </w:rPr>
        <w:t xml:space="preserve">Deketelaere S, Tyvaert L, França SC &amp; Höfte M (2017) Desirable traits of a good biocontrol agent against Verticillium wilt. </w:t>
      </w:r>
      <w:r>
        <w:rPr>
          <w:rFonts w:ascii="Calibri" w:hAnsi="Calibri" w:eastAsia="Calibri" w:cs="Calibri"/>
          <w:i/>
          <w:iCs/>
          <w:color w:val="000000"/>
          <w:sz w:val="22"/>
          <w:szCs w:val="22"/>
        </w:rPr>
        <w:t xml:space="preserve">Frontier in Microbio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1186. </w:t>
      </w:r>
      <w:hyperlink r:id="rId76906acb7a0727bd4" w:history="1">
        <w:r>
          <w:rPr>
            <w:rFonts w:ascii="Calibri" w:hAnsi="Calibri" w:eastAsia="Calibri" w:cs="Calibri"/>
            <w:color w:val="0000CC"/>
            <w:sz w:val="22"/>
            <w:szCs w:val="22"/>
            <w:u w:val="single"/>
          </w:rPr>
          <w:t xml:space="preserve">https://www.frontiersin.org/journals/microbiology/articles/10.3389/fmicb.2017.01186/full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(EFSA Panel on Plant Health) (2014) Scientific opinion on the pest categorisation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Kleb.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3928. </w:t>
      </w:r>
      <w:hyperlink r:id="rId66436acb7a0727c5a" w:history="1">
        <w:r>
          <w:rPr>
            <w:rFonts w:ascii="Calibri" w:hAnsi="Calibri" w:eastAsia="Calibri" w:cs="Calibri"/>
            <w:color w:val="0000CC"/>
            <w:sz w:val="22"/>
            <w:szCs w:val="22"/>
            <w:u w:val="single"/>
          </w:rPr>
          <w:t xml:space="preserve">https://doi.org/10.2903/j.efsa.2014.3928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PM 4/16 (2) Certification scheme for hop.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278–283 </w:t>
      </w:r>
      <w:hyperlink r:id="rId81656acb7a0727ccc" w:history="1">
        <w:r>
          <w:rPr>
            <w:rFonts w:ascii="Calibri" w:hAnsi="Calibri" w:eastAsia="Calibri" w:cs="Calibri"/>
            <w:color w:val="0000CC"/>
            <w:sz w:val="22"/>
            <w:szCs w:val="22"/>
            <w:u w:val="single"/>
          </w:rPr>
          <w:t xml:space="preserve">https://gd.eppo.int/standards/PM4/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7/78 (2)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462–476. </w:t>
      </w:r>
      <w:hyperlink r:id="rId22206acb7a0727d6d" w:history="1">
        <w:r>
          <w:rPr>
            <w:rFonts w:ascii="Calibri" w:hAnsi="Calibri" w:eastAsia="Calibri" w:cs="Calibri"/>
            <w:color w:val="0000CC"/>
            <w:sz w:val="22"/>
            <w:szCs w:val="22"/>
            <w:u w:val="single"/>
          </w:rPr>
          <w:t xml:space="preserve">https://doi.org/10.1111/epp.12701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Global Database: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(VERTDA) </w:t>
      </w:r>
      <w:hyperlink r:id="rId89626acb7a0727dbf" w:history="1">
        <w:r>
          <w:rPr>
            <w:rFonts w:ascii="Calibri" w:hAnsi="Calibri" w:eastAsia="Calibri" w:cs="Calibri"/>
            <w:color w:val="0000CC"/>
            <w:sz w:val="22"/>
            <w:szCs w:val="22"/>
            <w:u w:val="single"/>
          </w:rPr>
          <w:t xml:space="preserve">https://gd.eppo.int/taxon/VERTDA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w:t>
      </w:r>
      <w:hyperlink r:id="rId71486acb7a0727df4"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Goud JKC, Termorshuizen AJ &amp; Walter GA (2003) Morphology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 tricorpus</w:t>
      </w:r>
      <w:r>
        <w:rPr>
          <w:rFonts w:ascii="Calibri" w:hAnsi="Calibri" w:eastAsia="Calibri" w:cs="Calibri"/>
          <w:color w:val="000000"/>
          <w:sz w:val="22"/>
          <w:szCs w:val="22"/>
        </w:rPr>
        <w:t xml:space="preserve"> on semi-selective media used for the detection of </w:t>
      </w:r>
      <w:r>
        <w:rPr>
          <w:rFonts w:ascii="Calibri" w:hAnsi="Calibri" w:eastAsia="Calibri" w:cs="Calibri"/>
          <w:i/>
          <w:iCs/>
          <w:color w:val="000000"/>
          <w:sz w:val="22"/>
          <w:szCs w:val="22"/>
        </w:rPr>
        <w:t xml:space="preserve">V. dahliae</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Mycological Research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 822–830. </w:t>
      </w:r>
      <w:hyperlink r:id="rId10266acb7a0727eb7" w:history="1">
        <w:r>
          <w:rPr>
            <w:rFonts w:ascii="Calibri" w:hAnsi="Calibri" w:eastAsia="Calibri" w:cs="Calibri"/>
            <w:color w:val="0000CC"/>
            <w:sz w:val="22"/>
            <w:szCs w:val="22"/>
            <w:u w:val="single"/>
          </w:rPr>
          <w:t xml:space="preserve">https://doi.org/10.1017/S0953756203008050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Green Jr RJ (1980) Soil factors affecting survival of microsclerotia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(4), 353–355.</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DL &amp; Talboys PW (1970)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256.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Inderbitzin P, Bostock RM, Davis RM, Usami T, Platt HW &amp; Subbarao KV (2011) Phylogenetics and taxonomy of the fungal vascular wilt pathogen Verticillium, with the descriptions of five new species.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e28341. </w:t>
      </w:r>
      <w:hyperlink r:id="rId76496acb7a0728007" w:history="1">
        <w:r>
          <w:rPr>
            <w:rFonts w:ascii="Calibri" w:hAnsi="Calibri" w:eastAsia="Calibri" w:cs="Calibri"/>
            <w:color w:val="0000CC"/>
            <w:sz w:val="22"/>
            <w:szCs w:val="22"/>
            <w:u w:val="single"/>
          </w:rPr>
          <w:t xml:space="preserve">https://doi.org/10.1371/journal.pone.0028341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Jiménez-Díaz RM, Mercado-Blanco J, Olivares-García C, Collado-Romero M, Bejarano-Alcázar J, Rodríguez-Jurado D, Giménez-Jaime A, García-Jiménez J &amp; Armengol J (2006) Genetic and virulence diversity in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populations infecting artichoke in eastern-central Spain.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(3), 288–298. </w:t>
      </w:r>
      <w:hyperlink r:id="rId78166acb7a07280a0" w:history="1">
        <w:r>
          <w:rPr>
            <w:rFonts w:ascii="Calibri" w:hAnsi="Calibri" w:eastAsia="Calibri" w:cs="Calibri"/>
            <w:color w:val="0000CC"/>
            <w:sz w:val="22"/>
            <w:szCs w:val="22"/>
            <w:u w:val="single"/>
          </w:rPr>
          <w:t xml:space="preserve">https://doi.org/10.1094/PHYTO-96-0288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Klosterman SJ, Atallah ZK, Vallad GE &amp; Subbarao KV (2009) Diversity, pathogenicity, and management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39–62. </w:t>
      </w:r>
      <w:hyperlink r:id="rId99106acb7a0728130" w:history="1">
        <w:r>
          <w:rPr>
            <w:rFonts w:ascii="Calibri" w:hAnsi="Calibri" w:eastAsia="Calibri" w:cs="Calibri"/>
            <w:color w:val="0000CC"/>
            <w:sz w:val="22"/>
            <w:szCs w:val="22"/>
            <w:u w:val="single"/>
          </w:rPr>
          <w:t xml:space="preserve">https://doi.org/10.1146/annurev-phyto-080508-081748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Kombrink A, Rovenich H, Shi‐Kunne X, Rojas‐Padilla E, van den Berg GC, Domazakis E, De Jonge R, Valkenburg DJ, Sánchez‐Vallet A, Seidl MF &amp; Thomma BP (2017)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LysM effectors differentially contribute to virulence on plant hosts. </w:t>
      </w:r>
      <w:r>
        <w:rPr>
          <w:rFonts w:ascii="Calibri" w:hAnsi="Calibri" w:eastAsia="Calibri" w:cs="Calibri"/>
          <w:i/>
          <w:iCs/>
          <w:color w:val="000000"/>
          <w:sz w:val="22"/>
          <w:szCs w:val="22"/>
        </w:rPr>
        <w:t xml:space="preserve">Molecular Plant Pathology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596–608. </w:t>
      </w:r>
      <w:hyperlink r:id="rId83426acb7a07281b7" w:history="1">
        <w:r>
          <w:rPr>
            <w:rFonts w:ascii="Calibri" w:hAnsi="Calibri" w:eastAsia="Calibri" w:cs="Calibri"/>
            <w:color w:val="0000CC"/>
            <w:sz w:val="22"/>
            <w:szCs w:val="22"/>
            <w:u w:val="single"/>
          </w:rPr>
          <w:t xml:space="preserve">https://doi.org/10.1111/mpp.12520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Kunej U, Mikulič-Petkovšek M, Radišek S &amp; Štajner N (2020) Changes in the phenolic compounds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L.) induced by infection with </w:t>
      </w:r>
      <w:r>
        <w:rPr>
          <w:rFonts w:ascii="Calibri" w:hAnsi="Calibri" w:eastAsia="Calibri" w:cs="Calibri"/>
          <w:i/>
          <w:iCs/>
          <w:color w:val="000000"/>
          <w:sz w:val="22"/>
          <w:szCs w:val="22"/>
        </w:rPr>
        <w:t xml:space="preserve">Verticillium nonalfalfae</w:t>
      </w:r>
      <w:r>
        <w:rPr>
          <w:rFonts w:ascii="Calibri" w:hAnsi="Calibri" w:eastAsia="Calibri" w:cs="Calibri"/>
          <w:color w:val="000000"/>
          <w:sz w:val="22"/>
          <w:szCs w:val="22"/>
        </w:rPr>
        <w:t xml:space="preserve">, the causal agent of hop Verticillium wilt.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(7), 841. </w:t>
      </w:r>
      <w:hyperlink r:id="rId44356acb7a0728267" w:history="1">
        <w:r>
          <w:rPr>
            <w:rFonts w:ascii="Calibri" w:hAnsi="Calibri" w:eastAsia="Calibri" w:cs="Calibri"/>
            <w:color w:val="0000CC"/>
            <w:sz w:val="22"/>
            <w:szCs w:val="22"/>
            <w:u w:val="single"/>
          </w:rPr>
          <w:t xml:space="preserve">https://doi.org/10.3390/plants9070841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O’Brien JA, Daudi A, Butt VS &amp; Bolwell GP (2012) Reactive oxygen species and their role in plant defence and cell wall metabolism. </w:t>
      </w:r>
      <w:r>
        <w:rPr>
          <w:rFonts w:ascii="Calibri" w:hAnsi="Calibri" w:eastAsia="Calibri" w:cs="Calibri"/>
          <w:i/>
          <w:iCs/>
          <w:color w:val="000000"/>
          <w:sz w:val="22"/>
          <w:szCs w:val="22"/>
        </w:rPr>
        <w:t xml:space="preserve">Planta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236</w:t>
      </w:r>
      <w:r>
        <w:rPr>
          <w:rFonts w:ascii="Calibri" w:hAnsi="Calibri" w:eastAsia="Calibri" w:cs="Calibri"/>
          <w:color w:val="000000"/>
          <w:sz w:val="22"/>
          <w:szCs w:val="22"/>
        </w:rPr>
        <w:t xml:space="preserve">, 765–779. </w:t>
      </w:r>
      <w:hyperlink r:id="rId36386acb7a07282d8" w:history="1">
        <w:r>
          <w:rPr>
            <w:rFonts w:ascii="Calibri" w:hAnsi="Calibri" w:eastAsia="Calibri" w:cs="Calibri"/>
            <w:color w:val="0000CC"/>
            <w:sz w:val="22"/>
            <w:szCs w:val="22"/>
            <w:u w:val="single"/>
          </w:rPr>
          <w:t xml:space="preserve">https://doi.org/10.1007/s00425-012-1696-9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Short DP, Sandoya G, Vallad GE, Koike ST, Xiao CL, Wu BM, Gurung S, Hayes RJ &amp; Subbarao KV (2015) Dynamics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species microsclerotia in field soils in response to fumigation, cropping patterns, and flooding.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(5), 638–645. </w:t>
      </w:r>
      <w:hyperlink r:id="rId93086acb7a0728369" w:history="1">
        <w:r>
          <w:rPr>
            <w:rFonts w:ascii="Calibri" w:hAnsi="Calibri" w:eastAsia="Calibri" w:cs="Calibri"/>
            <w:color w:val="0000CC"/>
            <w:sz w:val="22"/>
            <w:szCs w:val="22"/>
            <w:u w:val="single"/>
          </w:rPr>
          <w:t xml:space="preserve">https://apsjournals.apsnet.org/doi/pdf/10.1094/PHYTO-09-14-0259-R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Soesanto L (2000) Ecology and biological control of </w:t>
      </w:r>
      <w:r>
        <w:rPr>
          <w:rFonts w:ascii="Calibri" w:hAnsi="Calibri" w:eastAsia="Calibri" w:cs="Calibri"/>
          <w:i/>
          <w:iCs/>
          <w:color w:val="000000"/>
          <w:sz w:val="22"/>
          <w:szCs w:val="22"/>
        </w:rPr>
        <w:t xml:space="preserve">Verticillium dahliae</w:t>
      </w:r>
      <w:r>
        <w:rPr>
          <w:rFonts w:ascii="Calibri" w:hAnsi="Calibri" w:eastAsia="Calibri" w:cs="Calibri"/>
          <w:color w:val="000000"/>
          <w:sz w:val="22"/>
          <w:szCs w:val="22"/>
        </w:rPr>
        <w:t xml:space="preserve">. PhD Thesis, Wageningen University, Wageningen, the Netherlands. ISBN 90-5808-192-3. Wageningen University and Research.</w:t>
      </w:r>
    </w:p>
    <w:p>
      <w:pPr>
        <w:widowControl w:val="on"/>
        <w:pBdr/>
        <w:spacing w:before="220" w:after="220" w:line="240" w:lineRule="auto"/>
        <w:ind w:left="0" w:right="0"/>
        <w:jc w:val="left"/>
      </w:pPr>
      <w:r>
        <w:rPr>
          <w:rFonts w:ascii="Calibri" w:hAnsi="Calibri" w:eastAsia="Calibri" w:cs="Calibri"/>
          <w:color w:val="000000"/>
          <w:sz w:val="22"/>
          <w:szCs w:val="22"/>
        </w:rPr>
        <w:t xml:space="preserve">Song Y, Zhang Z, Seidl MF, Majer A, Jakse J, Javornik B &amp; Thomma BP (2017) Broad taxonomic characterization of Verticillium wilt resistance genes reveals an ancient origin of the tomato Ve1 immune receptor. </w:t>
      </w:r>
      <w:r>
        <w:rPr>
          <w:rFonts w:ascii="Calibri" w:hAnsi="Calibri" w:eastAsia="Calibri" w:cs="Calibri"/>
          <w:i/>
          <w:iCs/>
          <w:color w:val="000000"/>
          <w:sz w:val="22"/>
          <w:szCs w:val="22"/>
        </w:rPr>
        <w:t xml:space="preserve">Molecular Plant Pathology </w:t>
      </w:r>
      <w:r>
        <w:rPr>
          <w:rFonts w:ascii="Calibri" w:hAnsi="Calibri" w:eastAsia="Calibri" w:cs="Calibri"/>
          <w:b/>
          <w:bCs/>
          <w:i/>
          <w:iCs/>
          <w:color w:val="000000"/>
          <w:sz w:val="22"/>
          <w:szCs w:val="22"/>
        </w:rPr>
        <w:t xml:space="preserve">1</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195–209. </w:t>
      </w:r>
      <w:hyperlink r:id="rId70646acb7a0728443" w:history="1">
        <w:r>
          <w:rPr>
            <w:rFonts w:ascii="Calibri" w:hAnsi="Calibri" w:eastAsia="Calibri" w:cs="Calibri"/>
            <w:color w:val="0000CC"/>
            <w:sz w:val="22"/>
            <w:szCs w:val="22"/>
            <w:u w:val="single"/>
          </w:rPr>
          <w:t xml:space="preserve">https://doi.org/10.1111/mpp.12390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Talboys PW &amp; Wilson JF (1970) Effect of temperature and rainfall on the incidence of wilt (</w:t>
      </w:r>
      <w:r>
        <w:rPr>
          <w:rFonts w:ascii="Calibri" w:hAnsi="Calibri" w:eastAsia="Calibri" w:cs="Calibri"/>
          <w:i/>
          <w:iCs/>
          <w:color w:val="000000"/>
          <w:sz w:val="22"/>
          <w:szCs w:val="22"/>
        </w:rPr>
        <w:t xml:space="preserve">Verticillium albo-atrum</w:t>
      </w:r>
      <w:r>
        <w:rPr>
          <w:rFonts w:ascii="Calibri" w:hAnsi="Calibri" w:eastAsia="Calibri" w:cs="Calibri"/>
          <w:color w:val="000000"/>
          <w:sz w:val="22"/>
          <w:szCs w:val="22"/>
        </w:rPr>
        <w:t xml:space="preserve">) in hops.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51–58.</w:t>
      </w:r>
    </w:p>
    <w:p>
      <w:pPr>
        <w:widowControl w:val="on"/>
        <w:pBdr/>
        <w:spacing w:before="220" w:after="220" w:line="240" w:lineRule="auto"/>
        <w:ind w:left="0" w:right="0"/>
        <w:jc w:val="left"/>
      </w:pPr>
      <w:r>
        <w:rPr>
          <w:rFonts w:ascii="Calibri" w:hAnsi="Calibri" w:eastAsia="Calibri" w:cs="Calibri"/>
          <w:color w:val="000000"/>
          <w:sz w:val="22"/>
          <w:szCs w:val="22"/>
        </w:rPr>
        <w:t xml:space="preserve">Talboys PW (1987) Verticillium wilt in English hops: retrospect and prospect.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68–77.</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AS, Gladieux P, Decognet V, Fermaud M, Confais J, Roudet J, Bardin M, Bout A, C. Nicot P, Poncet C &amp; Fournier E (2015) Population structure and temporal maintenance of the multihost fungal pathogen </w:t>
      </w:r>
      <w:r>
        <w:rPr>
          <w:rFonts w:ascii="Calibri" w:hAnsi="Calibri" w:eastAsia="Calibri" w:cs="Calibri"/>
          <w:i/>
          <w:iCs/>
          <w:color w:val="000000"/>
          <w:sz w:val="22"/>
          <w:szCs w:val="22"/>
        </w:rPr>
        <w:t xml:space="preserve">Botrytis cinerea</w:t>
      </w:r>
      <w:r>
        <w:rPr>
          <w:rFonts w:ascii="Calibri" w:hAnsi="Calibri" w:eastAsia="Calibri" w:cs="Calibri"/>
          <w:color w:val="000000"/>
          <w:sz w:val="22"/>
          <w:szCs w:val="22"/>
        </w:rPr>
        <w:t xml:space="preserve">: causes and implications for disease management. </w:t>
      </w:r>
      <w:r>
        <w:rPr>
          <w:rFonts w:ascii="Calibri" w:hAnsi="Calibri" w:eastAsia="Calibri" w:cs="Calibri"/>
          <w:i/>
          <w:iCs/>
          <w:color w:val="000000"/>
          <w:sz w:val="22"/>
          <w:szCs w:val="22"/>
        </w:rPr>
        <w:t xml:space="preserve">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(4), 1261–1274. </w:t>
      </w:r>
      <w:hyperlink r:id="rId11156acb7a07285b0" w:history="1">
        <w:r>
          <w:rPr>
            <w:rFonts w:ascii="Calibri" w:hAnsi="Calibri" w:eastAsia="Calibri" w:cs="Calibri"/>
            <w:color w:val="0000CC"/>
            <w:sz w:val="22"/>
            <w:szCs w:val="22"/>
            <w:u w:val="single"/>
          </w:rPr>
          <w:t xml:space="preserve">https://doi.org/10.1111/1462-2920.12563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Wilhelm S (1955) Longevity of the verticillium wilt fungus in the laboratory and in the field.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180–181.</w:t>
      </w:r>
    </w:p>
    <w:p>
      <w:pPr>
        <w:widowControl w:val="on"/>
        <w:pBdr/>
        <w:spacing w:before="220" w:after="220" w:line="240" w:lineRule="auto"/>
        <w:ind w:left="0" w:right="0"/>
        <w:jc w:val="left"/>
      </w:pPr>
      <w:r>
        <w:rPr>
          <w:rFonts w:ascii="Calibri" w:hAnsi="Calibri" w:eastAsia="Calibri" w:cs="Calibri"/>
          <w:color w:val="000000"/>
          <w:sz w:val="22"/>
          <w:szCs w:val="22"/>
        </w:rPr>
        <w:t xml:space="preserve">Zinkernagel V (1982) [On the development of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spp. in susceptible and tolerant hop varieties after natural and artificial infection].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205–218.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extensively revised in 2024 by Kateryna Davydenko, the Swedish University of Agricultural Science and the Ukrainian Research Institute of Forestry and Forest Melioration.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Verticillium dahliae hop strains</w:t>
      </w:r>
      <w:r>
        <w:rPr>
          <w:rFonts w:ascii="Calibri" w:hAnsi="Calibri" w:eastAsia="Calibri" w:cs="Calibri"/>
          <w:color w:val="000000"/>
          <w:sz w:val="22"/>
          <w:szCs w:val="22"/>
        </w:rPr>
        <w:t xml:space="preserve">. EPPO datasheets on pests recommended for regulation. Available online. </w:t>
      </w:r>
      <w:hyperlink r:id="rId31706acb7a072874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the second edition of 'Quarantine Pests for Europe' in 1997, as </w:t>
      </w:r>
      <w:r>
        <w:rPr>
          <w:rFonts w:ascii="Calibri" w:hAnsi="Calibri" w:eastAsia="Calibri" w:cs="Calibri"/>
          <w:i/>
          <w:iCs/>
          <w:color w:val="000000"/>
          <w:sz w:val="22"/>
          <w:szCs w:val="22"/>
        </w:rPr>
        <w:t xml:space="preserve">Verticillium </w:t>
      </w:r>
      <w:r>
        <w:rPr>
          <w:rFonts w:ascii="Calibri" w:hAnsi="Calibri" w:eastAsia="Calibri" w:cs="Calibri"/>
          <w:color w:val="000000"/>
          <w:sz w:val="22"/>
          <w:szCs w:val="22"/>
        </w:rPr>
        <w:t xml:space="preserve">spp. on hops.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
      <w:r>
        <w:drawing>
          <wp:inline distT="0" distB="0" distL="0" distR="0">
            <wp:extent cx="1800000" cy="604800"/>
            <wp:docPr id="6496794" name="name46286acb7a07288b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6066acb7a07288b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79145">
    <w:multiLevelType w:val="hybridMultilevel"/>
    <w:lvl w:ilvl="0" w:tplc="29819506">
      <w:start w:val="1"/>
      <w:numFmt w:val="decimal"/>
      <w:lvlText w:val="%1."/>
      <w:lvlJc w:val="left"/>
      <w:pPr>
        <w:ind w:left="720" w:hanging="360"/>
      </w:pPr>
    </w:lvl>
    <w:lvl w:ilvl="1" w:tplc="29819506" w:tentative="1">
      <w:start w:val="1"/>
      <w:numFmt w:val="lowerLetter"/>
      <w:lvlText w:val="%2."/>
      <w:lvlJc w:val="left"/>
      <w:pPr>
        <w:ind w:left="1440" w:hanging="360"/>
      </w:pPr>
    </w:lvl>
    <w:lvl w:ilvl="2" w:tplc="29819506" w:tentative="1">
      <w:start w:val="1"/>
      <w:numFmt w:val="lowerRoman"/>
      <w:lvlText w:val="%3."/>
      <w:lvlJc w:val="right"/>
      <w:pPr>
        <w:ind w:left="2160" w:hanging="180"/>
      </w:pPr>
    </w:lvl>
    <w:lvl w:ilvl="3" w:tplc="29819506" w:tentative="1">
      <w:start w:val="1"/>
      <w:numFmt w:val="decimal"/>
      <w:lvlText w:val="%4."/>
      <w:lvlJc w:val="left"/>
      <w:pPr>
        <w:ind w:left="2880" w:hanging="360"/>
      </w:pPr>
    </w:lvl>
    <w:lvl w:ilvl="4" w:tplc="29819506" w:tentative="1">
      <w:start w:val="1"/>
      <w:numFmt w:val="lowerLetter"/>
      <w:lvlText w:val="%5."/>
      <w:lvlJc w:val="left"/>
      <w:pPr>
        <w:ind w:left="3600" w:hanging="360"/>
      </w:pPr>
    </w:lvl>
    <w:lvl w:ilvl="5" w:tplc="29819506" w:tentative="1">
      <w:start w:val="1"/>
      <w:numFmt w:val="lowerRoman"/>
      <w:lvlText w:val="%6."/>
      <w:lvlJc w:val="right"/>
      <w:pPr>
        <w:ind w:left="4320" w:hanging="180"/>
      </w:pPr>
    </w:lvl>
    <w:lvl w:ilvl="6" w:tplc="29819506" w:tentative="1">
      <w:start w:val="1"/>
      <w:numFmt w:val="decimal"/>
      <w:lvlText w:val="%7."/>
      <w:lvlJc w:val="left"/>
      <w:pPr>
        <w:ind w:left="5040" w:hanging="360"/>
      </w:pPr>
    </w:lvl>
    <w:lvl w:ilvl="7" w:tplc="29819506" w:tentative="1">
      <w:start w:val="1"/>
      <w:numFmt w:val="lowerLetter"/>
      <w:lvlText w:val="%8."/>
      <w:lvlJc w:val="left"/>
      <w:pPr>
        <w:ind w:left="5760" w:hanging="360"/>
      </w:pPr>
    </w:lvl>
    <w:lvl w:ilvl="8" w:tplc="29819506" w:tentative="1">
      <w:start w:val="1"/>
      <w:numFmt w:val="lowerRoman"/>
      <w:lvlText w:val="%9."/>
      <w:lvlJc w:val="right"/>
      <w:pPr>
        <w:ind w:left="6480" w:hanging="180"/>
      </w:pPr>
    </w:lvl>
  </w:abstractNum>
  <w:abstractNum w:abstractNumId="23379144">
    <w:multiLevelType w:val="hybridMultilevel"/>
    <w:lvl w:ilvl="0" w:tplc="73837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79144">
    <w:abstractNumId w:val="23379144"/>
  </w:num>
  <w:num w:numId="23379145">
    <w:abstractNumId w:val="233791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5235411" Type="http://schemas.microsoft.com/office/2011/relationships/commentsExtended" Target="commentsExtended.xml"/><Relationship Id="rId959842348" Type="http://schemas.microsoft.com/office/2011/relationships/people" Target="people.xml"/><Relationship Id="rId19896acb7a0723aaf" Type="http://schemas.openxmlformats.org/officeDocument/2006/relationships/hyperlink" Target="https://gd.eppo.int/taxon/VERTDH/" TargetMode="External"/><Relationship Id="rId11156acb7a0723b1a" Type="http://schemas.openxmlformats.org/officeDocument/2006/relationships/hyperlink" Target="https://gd.eppo.int/taxon/VERTDH/categorization" TargetMode="External"/><Relationship Id="rId93066acb7a0724b08" Type="http://schemas.openxmlformats.org/officeDocument/2006/relationships/hyperlink" Target="https://gd.eppo.int/taxon/VERTDH/photos" TargetMode="External"/><Relationship Id="rId61096acb7a072796b" Type="http://schemas.openxmlformats.org/officeDocument/2006/relationships/hyperlink" Target="https://doi.org/10.1016/j.fgb.2010.02.003" TargetMode="External"/><Relationship Id="rId41216acb7a0727a12" Type="http://schemas.openxmlformats.org/officeDocument/2006/relationships/hyperlink" Target="https://bsppjournals.onlinelibrary.wiley.com/doi/full/10.1046/j.1364-3703.2003.00172.x" TargetMode="External"/><Relationship Id="rId37876acb7a0727a6a" Type="http://schemas.openxmlformats.org/officeDocument/2006/relationships/hyperlink" Target="https://doi.org/10.1094/PHI-I-2000-0801-01" TargetMode="External"/><Relationship Id="rId88796acb7a0727ade" Type="http://schemas.openxmlformats.org/officeDocument/2006/relationships/hyperlink" Target="https://doi.org/10.3390/plants9101318" TargetMode="External"/><Relationship Id="rId76906acb7a0727bd4" Type="http://schemas.openxmlformats.org/officeDocument/2006/relationships/hyperlink" Target="https://www.frontiersin.org/journals/microbiology/articles/10.3389/fmicb.2017.01186/full" TargetMode="External"/><Relationship Id="rId66436acb7a0727c5a" Type="http://schemas.openxmlformats.org/officeDocument/2006/relationships/hyperlink" Target="https://doi.org/10.2903/j.efsa.2014.3928" TargetMode="External"/><Relationship Id="rId81656acb7a0727ccc" Type="http://schemas.openxmlformats.org/officeDocument/2006/relationships/hyperlink" Target="https://gd.eppo.int/standards/PM4/" TargetMode="External"/><Relationship Id="rId22206acb7a0727d6d" Type="http://schemas.openxmlformats.org/officeDocument/2006/relationships/hyperlink" Target="https://doi.org/10.1111/epp.12701" TargetMode="External"/><Relationship Id="rId89626acb7a0727dbf" Type="http://schemas.openxmlformats.org/officeDocument/2006/relationships/hyperlink" Target="https://gd.eppo.int/taxon/VERTDA" TargetMode="External"/><Relationship Id="rId71486acb7a0727df4" Type="http://schemas.openxmlformats.org/officeDocument/2006/relationships/hyperlink" Target="https://eur-lex.europa.eu/legal-content/EN/TXT/?uri=CELEX%3A32019R2072" TargetMode="External"/><Relationship Id="rId10266acb7a0727eb7" Type="http://schemas.openxmlformats.org/officeDocument/2006/relationships/hyperlink" Target="https://doi.org/10.1017/S0953756203008050" TargetMode="External"/><Relationship Id="rId76496acb7a0728007" Type="http://schemas.openxmlformats.org/officeDocument/2006/relationships/hyperlink" Target="https://doi.org/10.1371/journal.pone.0028341" TargetMode="External"/><Relationship Id="rId78166acb7a07280a0" Type="http://schemas.openxmlformats.org/officeDocument/2006/relationships/hyperlink" Target="https://doi.org/10.1094/PHYTO-96-0288" TargetMode="External"/><Relationship Id="rId99106acb7a0728130" Type="http://schemas.openxmlformats.org/officeDocument/2006/relationships/hyperlink" Target="https://doi.org/10.1146/annurev-phyto-080508-081748" TargetMode="External"/><Relationship Id="rId83426acb7a07281b7" Type="http://schemas.openxmlformats.org/officeDocument/2006/relationships/hyperlink" Target="https://doi.org/10.1111/mpp.12520" TargetMode="External"/><Relationship Id="rId44356acb7a0728267" Type="http://schemas.openxmlformats.org/officeDocument/2006/relationships/hyperlink" Target="https://doi.org/10.3390/plants9070841" TargetMode="External"/><Relationship Id="rId36386acb7a07282d8" Type="http://schemas.openxmlformats.org/officeDocument/2006/relationships/hyperlink" Target="https://doi.org/10.1007/s00425-012-1696-9" TargetMode="External"/><Relationship Id="rId93086acb7a0728369" Type="http://schemas.openxmlformats.org/officeDocument/2006/relationships/hyperlink" Target="https://apsjournals.apsnet.org/doi/pdf/10.1094/PHYTO-09-14-0259-R" TargetMode="External"/><Relationship Id="rId70646acb7a0728443" Type="http://schemas.openxmlformats.org/officeDocument/2006/relationships/hyperlink" Target="https://doi.org/10.1111/mpp.12390" TargetMode="External"/><Relationship Id="rId11156acb7a07285b0" Type="http://schemas.openxmlformats.org/officeDocument/2006/relationships/hyperlink" Target="https://doi.org/10.1111/1462-2920.12563" TargetMode="External"/><Relationship Id="rId31706acb7a0728742" Type="http://schemas.openxmlformats.org/officeDocument/2006/relationships/hyperlink" Target="https://gd.eppo.int" TargetMode="External"/><Relationship Id="rId99386acb7a0724980" Type="http://schemas.openxmlformats.org/officeDocument/2006/relationships/image" Target="media/imgrId99386acb7a0724980.jpg"/><Relationship Id="rId56546acb7a0726068" Type="http://schemas.openxmlformats.org/officeDocument/2006/relationships/image" Target="media/imgrId56546acb7a0726068.jpg"/><Relationship Id="rId46066acb7a07288b0" Type="http://schemas.openxmlformats.org/officeDocument/2006/relationships/image" Target="media/imgrId46066acb7a07288b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