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dahliae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dahliae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Klebahn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148069e303f6c51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53969e303f6c51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VERTDH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484228" name="name983369e303f6c563d" descr="15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87.jpg"/>
                          <pic:cNvPicPr/>
                        </pic:nvPicPr>
                        <pic:blipFill>
                          <a:blip r:embed="rId357469e303f6c563b" cstate="print"/>
                          <a:stretch>
                            <a:fillRect/>
                          </a:stretch>
                        </pic:blipFill>
                        <pic:spPr>
                          <a:xfrm>
                            <a:off x="0" y="0"/>
                            <a:ext cx="2160000" cy="1281600"/>
                          </a:xfrm>
                          <a:prstGeom prst="rect">
                            <a:avLst/>
                          </a:prstGeom>
                          <a:ln w="0">
                            <a:noFill/>
                          </a:ln>
                        </pic:spPr>
                      </pic:pic>
                    </a:graphicData>
                  </a:graphic>
                </wp:inline>
              </w:drawing>
            </w:r>
            <w:hyperlink r:id="rId741969e303f6c573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 </w:t>
      </w:r>
      <w:r>
        <w:rPr>
          <w:rFonts w:ascii="Calibri" w:hAnsi="Calibri" w:eastAsia="Calibri" w:cs="Calibri"/>
          <w:color w:val="000000"/>
          <w:sz w:val="22"/>
          <w:szCs w:val="22"/>
        </w:rPr>
        <w:t xml:space="preserve">On hops grown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Originally,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was described by Klebahn (1913) from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 cv. Geiselher in Germany.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was initially confounded with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and then with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but it is now confirmed to be a separate species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taxonomic confusion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host range infecting more than 70 herbaceous and woody plant species. Its hosts include economically important arable, vegetable and fruit crops,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 P. salicina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in particular the past confusion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there is uncertainty around the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As a species (including both hop and non-hop strains),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geographical range (EPPO, 2024). Verticillium wilt of hop has generally been attributed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been isolated in some cases, as shown in the map below.</w:t>
      </w:r>
    </w:p>
    <w:p>
      <w:r>
        <w:drawing>
          <wp:inline distT="0" distB="0" distL="0" distR="0">
            <wp:extent cx="6120000" cy="3067200"/>
            <wp:docPr id="9401671" name="name149569e303f6c6950" descr="VERTD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DH_distribution_map.jpg"/>
                    <pic:cNvPicPr/>
                  </pic:nvPicPr>
                  <pic:blipFill>
                    <a:blip r:embed="rId752769e303f6c694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Germany,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soil-borne fungal pathogen that colonizes the xylem vessels of hop plants, resulting in a vascular wilt disease. The fungus penetrates roots of a susceptible plant in the region of elongation and the cortex is colonized. From the cortex, the hyphae invade the xylem vessels where conidia are formed. Vascular colonization occurs as conidia are drawn up into the plant along with water. During colonization,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and secretes hydrolytic enzymes that are involved in the degradation of the plant cell wall, thus facilitating the spread of the fungus. Due to fungal material and host reaction products, the vascular system becomes plugged, preventing water from reaching upper parts of the plant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Leaves and stems deprived of water soon begin to exhibit symptoms of wilting and foliar chlorosis. Symptoms of this disease are seen throughout the plant. As the diseased plant declines, the fungus produces microsclerotia which are released into the soil with the decomposition of plant material. When plant parts bearing microsclerotia are incorporated into the soil, aggregated microsclerotia are initially held together by the shoot tissue, but gradually, as the shoot decomposes, the microsclerotia separate. This is reflected in an apparent increase in soil inoculum density 1 or 2 years after the incorporation of infected plant material (Soesanto, 2000). The microsclerotia are long-lived and survive well over a range of soil moisture and temperature conditions, but lose viability most rapidly in wet, warm soil (Green, 1980; Soesanto, 2000). On hops, the rate and severity of disease development are inversely related to soil temperature. The level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may fluctuate over time due to chemical inputs, tillage, cropping patterns, and prolonged soil flooding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Both exceptionally high and exceptionally low rainfall reduce the occurrence of the disease in hops (Talboys and Wilson, 1970; Soesanto, 2000). The fungus can survive for at least 14 years in the soil as microsclerotia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are dispersed through seed, vegetative planting material, soil, water, and agricultural equipment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view of the biological features outlined above, Verticillium wilt is essentially a soil-borne or debris-borne disease (and this is certainly the case for hops).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exhibits significant variation in its impact on hop plantations. Although generally considered a generalist pathogen affecting multiple hosts,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demonstrates population differentiation due to varying environmental conditions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Previous studies of the population structure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have revealed a population specific to tomato and no strong association between population structure and the host of origin of isolates on other hosts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authors also revealed a lack of differentiation linked to geographical locations, despite extremely high genotypic diversity, therefore, the hypothesis of the local population expanding its host range was not substantiated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hop-growing regions, there is a continuum of strain severity, with no distinct disease entity except in England, where a very virulent isolate was identified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Differences in aggressiveness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strains have been also reported in Germany (Zinkernagel, 1982). Elsewhere, hop wilt is always mild, and no special strains are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Understanding the genetic diversity within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crucial for managing hop wilt effectively. Advances in vegetative compatibility and molecular analyses have revealed higher genetic diversity than previously thought (Barbara and Clewes, 2003;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categorized into six vegetative compatibility groups (VCGs), which are genetically distinct populations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VCGs help in identifying and deploying resistant hop cultivars and preventing pathogen spread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VCGs are identified using spontaneous nitrate non-utilizing mutants, with VCG1, VCG2, and VCG4 further divided into subgroups A and B with subgroup A being more severe than subgroup B in each case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While VCGs do not fully describe genetic diversity or recombination potential, they are valuable for understanding pathogen evolution and enhancing hop disease management strategies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can aid in the deployment of resistant cultivars, preventing pathogen introductions and exploring the evolution of an agronomically important group of phytopathogens.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foliar wilt symptoms appear approximately 20 days post inoculation and rapidly progress in susceptible varieties, whereas resistant hop varieties show no symptoms or mild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fungal biomass gradually increases in roots and stems of susceptible varieties, while in resistant plants, the colonization in roots is significantly less extensive, and fungal DNA in stems is barely detected (O’Brien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the diseased plant undergoes senescence, the fungus produces resting structures that are released into the soil, where they remain dormant for several years in the absence of a host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‘mild’ or ‘fluctuating’ type, which is most commonly seen. With more aggressive strains and susceptible cultivars, symptoms can be of the more severe or ’progressive‘ type. A new outbreak usually starts from one infected plant but, by the time it is noticeable, there are often several together in a patch. On leaves, infection is usually first apparent from the end of May onwards (EPPO, 2020). The bottom leaves on one or more bines turn yellow; this yellowing progresses upwards within a few days and, within a week, half or more of the leaves on affected bines may be yellow or dead. Other bines on the infected plant may also begin to show symptoms. A tiger-striping effect is infrequently found on the upper leaves. After 2–3 weeks, all the leaves are dead and usually fallen, and plants often die before the end of the season. Bines rarely become swollen but do show the characteristic internal brown discoloration when cut. They eventually turn black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shows as white, fluffy mycelium, which appears after an incubation period of 3–5 days. Conidia occur singly at the apices of phialides, mainly one-celled but occasionally one-septate, (3.5–) 6.5 (–13.5) x (2.0–) 3.0 (–4.5) µm (EPPO, 2020). They are hyaline, ellipsoidal to irregularly subcylindrical. Phialides are borne on the verticillately branched conidiophores, which are darkened at the base when grown on plant tissues. The species can be identified by the production of resting structures (after 1–2 weeks of incubation), macroscopically visible as a darkening of the cultures (EPPO, 2020). Primary identification of species depends on these resting structures,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dark brown to black microsclerotia arising from single hyphae by repeated budding and consisting of swollen, almost globular cells. This epidemiologically important resting structure (microsclerotia) varies in shape from elongate to irregularly spherical and is 25–50 (–100) µm in diameter (Inderbitzin et al., 2011; EFSA, 2014; EPPO, 2020). Two other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zaregamsianum</w:t>
      </w:r>
      <w:r>
        <w:rPr>
          <w:rFonts w:ascii="Calibri" w:hAnsi="Calibri" w:eastAsia="Calibri" w:cs="Calibri"/>
          <w:color w:val="000000"/>
          <w:sz w:val="22"/>
          <w:szCs w:val="22"/>
        </w:rPr>
        <w:t xml:space="preserve">, can also form microsclerotia, but these species can be differentiated from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by the larger size of their conidia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See also Hawksworth and Talboys (1970), Goud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hop strains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fluctuating (mild) or progressive (lethal)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(PLYA or PDA), which promotes the production of resting structures. Identification by this method takes up to 2 weeks. Key morphological characteristics are </w:t>
      </w:r>
      <w:r>
        <w:rPr>
          <w:rFonts w:ascii="Calibri" w:hAnsi="Calibri" w:eastAsia="Calibri" w:cs="Calibri"/>
          <w:i/>
          <w:iCs/>
          <w:color w:val="000000"/>
          <w:sz w:val="22"/>
          <w:szCs w:val="22"/>
        </w:rPr>
        <w:t xml:space="preserve">V. dahliae’s</w:t>
      </w:r>
      <w:r>
        <w:rPr>
          <w:rFonts w:ascii="Calibri" w:hAnsi="Calibri" w:eastAsia="Calibri" w:cs="Calibri"/>
          <w:color w:val="000000"/>
          <w:sz w:val="22"/>
          <w:szCs w:val="22"/>
        </w:rPr>
        <w:t xml:space="preserve"> production of resting structures (dark microsclerotia; see morphology) while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be differentiated by the absence of microsclerotia and presence of dark resting mycelium (EPPO, 2020). The examination of darkened cultures can be done under microscope (100 x magnification), either in situ or squashed onto a slide should reveal the nature of the resting structures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Specific PCR protocols with specific primers for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are available, and sequencing is described (EPPO, 2020). Fungal DNA should be extracted from mycelium taken from solid (PDA, PLYA) or liquid medium or using other appropriate standard methods, including commercial kits with protocols for filamentous fungi. Several PCR-based tests have been developed to detect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(including both hop and non-hop strains) contrasts with its lack of any obvious adaptation to airborne spread. Its sticky, unmelanized asexual spores (conidia) are likely prone to rapid desiccation and damage by UV radiation, and they are generally assumed to be of minimal importance in the spread of Verticillium wilt (Jiménez-Díazet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several other characteristics of this fungus make it particularly amenable to spread through human-mediated intercontinental trade, especially its long-lived environmental stage (microsclerotia)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addition to the survival of melanized microsclerotia in soil, plant debris and commercial crop seed, the fungus exhibits saprotrophic growth in the absence of host plants, and has the generalist ability to colonize trees, agronomic crops, and weeds. Microsclerotia remain viable in the soil for at least 14 years (Wilhelm, 1955), and serve as the primary source of inoculum which makes long-term management in agriculture difficult.</w:t>
      </w:r>
    </w:p>
    <w:p>
      <w:pPr>
        <w:widowControl w:val="on"/>
        <w:pBdr/>
        <w:spacing w:before="220" w:after="220" w:line="240" w:lineRule="auto"/>
        <w:ind w:left="0" w:right="0"/>
        <w:jc w:val="both"/>
      </w:pPr>
      <w:r>
        <w:rPr>
          <w:rFonts w:ascii="Calibri" w:hAnsi="Calibri" w:eastAsia="Calibri" w:cs="Calibri"/>
          <w:color w:val="000000"/>
          <w:sz w:val="22"/>
          <w:szCs w:val="22"/>
        </w:rPr>
        <w:t xml:space="preserve">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most likely to be moved into new areas by transport of soil and hop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Hop is susceptible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which, however, are considered of minor importance compared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strains (EFSA, 2014).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generally causes a mild disease of hops, which can however be severe when attacks susceptible cultivars. Hop wilt attributed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moderately severe in Germany (Zinkernagel, 1982) noting differences in strain aggressiveness, and highly virulent in the United Kingdom according to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elsewhere Verticillium hop wilt is always mild, and no special strains are known (Talboys, 1987; EFSA, 2014,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is difficult to manage due to ineffective fungicides that do not suppress fungal colonization in plants, and its resting structures that are viable in the soil for many years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single disease control measure is efficient enough if applied individually. The implementation of integrated management strategies combining an appropriate selection of planting site, disease risk assessment (e.g. assessment of the available inoculum in the soil, determination of pathotypes/races/VCGs/strains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the pathogen in soil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may reduce disease incidence and severity, but they do not eliminate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polyphagous species and has many more potential hosts than those for which it is regulated. Populations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considered host-adapted rather than host 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and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ZK, Maruthachalam K, du Toit L, Koike ST, Davis RM, Klosterman SJ, Hayes RJ &amp; Subbarao KV (2010) Population analyses of the vascular plant pathogen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detect recombination and transcontinental gene flow.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416–422. </w:t>
      </w:r>
      <w:hyperlink r:id="rId533469e303f6c7900" w:history="1">
        <w:r>
          <w:rPr>
            <w:rFonts w:ascii="Calibri" w:hAnsi="Calibri" w:eastAsia="Calibri" w:cs="Calibri"/>
            <w:color w:val="0000CC"/>
            <w:sz w:val="22"/>
            <w:szCs w:val="22"/>
            <w:u w:val="single"/>
          </w:rPr>
          <w:t xml:space="preserve">https://doi.org/10.1016/j.fgb.2010.02.003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 </w:t>
      </w:r>
      <w:hyperlink r:id="rId849669e303f6c7998" w:history="1">
        <w:r>
          <w:rPr>
            <w:rFonts w:ascii="Calibri" w:hAnsi="Calibri" w:eastAsia="Calibri" w:cs="Calibri"/>
            <w:color w:val="0000CC"/>
            <w:sz w:val="22"/>
            <w:szCs w:val="22"/>
            <w:u w:val="single"/>
          </w:rPr>
          <w:t xml:space="preserve">https://bsppjournals.onlinelibrary.wiley.com/doi/full/10.1046/j.1364-3703.2003.00172.x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942569e303f6c79f2"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796669e303f6c7a65"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 in Microbio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634569e303f6c7b55" w:history="1">
        <w:r>
          <w:rPr>
            <w:rFonts w:ascii="Calibri" w:hAnsi="Calibri" w:eastAsia="Calibri" w:cs="Calibri"/>
            <w:color w:val="0000CC"/>
            <w:sz w:val="22"/>
            <w:szCs w:val="22"/>
            <w:u w:val="single"/>
          </w:rPr>
          <w:t xml:space="preserve">https://www.frontiersin.org/journals/microbiology/articles/10.3389/fmicb.2017.01186/full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(2014) Scientific opinion on the pest categorisation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Kleb.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3928. </w:t>
      </w:r>
      <w:hyperlink r:id="rId157569e303f6c7bd9" w:history="1">
        <w:r>
          <w:rPr>
            <w:rFonts w:ascii="Calibri" w:hAnsi="Calibri" w:eastAsia="Calibri" w:cs="Calibri"/>
            <w:color w:val="0000CC"/>
            <w:sz w:val="22"/>
            <w:szCs w:val="22"/>
            <w:u w:val="single"/>
          </w:rPr>
          <w:t xml:space="preserve">https://doi.org/10.2903/j.efsa.2014.3928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942269e303f6c7c46"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574669e303f6c7ce5"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(VERTDA) </w:t>
      </w:r>
      <w:hyperlink r:id="rId918669e303f6c7d34" w:history="1">
        <w:r>
          <w:rPr>
            <w:rFonts w:ascii="Calibri" w:hAnsi="Calibri" w:eastAsia="Calibri" w:cs="Calibri"/>
            <w:color w:val="0000CC"/>
            <w:sz w:val="22"/>
            <w:szCs w:val="22"/>
            <w:u w:val="single"/>
          </w:rPr>
          <w:t xml:space="preserve">https://gd.eppo.int/taxon/VERTDA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865269e303f6c7d68"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Goud JKC, Termorshuizen AJ &amp; Walter GA (2003) Morphology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on semi-selective media used for the detection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822–830. </w:t>
      </w:r>
      <w:hyperlink r:id="rId559669e303f6c7e43" w:history="1">
        <w:r>
          <w:rPr>
            <w:rFonts w:ascii="Calibri" w:hAnsi="Calibri" w:eastAsia="Calibri" w:cs="Calibri"/>
            <w:color w:val="0000CC"/>
            <w:sz w:val="22"/>
            <w:szCs w:val="22"/>
            <w:u w:val="single"/>
          </w:rPr>
          <w:t xml:space="preserve">https://doi.org/10.1017/S0953756203008050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 Jr RJ (1980) Soil factors affecting survival of microsclerotia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353–355.</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Talboys PW (1970)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256.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Verticillium, with the descriptions of five new species.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e28341. </w:t>
      </w:r>
      <w:hyperlink r:id="rId451769e303f6c7f85"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Jiménez-Díaz RM, Mercado-Blanco J, Olivares-García C, Collado-Romero M, Bejarano-Alcázar J, Rodríguez-Jurado D, Giménez-Jaime A, García-Jiménez J &amp; Armengol J (2006) Genetic and virulence diversity in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populations infecting artichoke in eastern-central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288–298. </w:t>
      </w:r>
      <w:hyperlink r:id="rId603369e303f6c8017" w:history="1">
        <w:r>
          <w:rPr>
            <w:rFonts w:ascii="Calibri" w:hAnsi="Calibri" w:eastAsia="Calibri" w:cs="Calibri"/>
            <w:color w:val="0000CC"/>
            <w:sz w:val="22"/>
            <w:szCs w:val="22"/>
            <w:u w:val="single"/>
          </w:rPr>
          <w:t xml:space="preserve">https://doi.org/10.1094/PHYTO-96-0288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203569e303f6c80a5"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Kombrink A, Rovenich H, Shi‐Kunne X, Rojas‐Padilla E, van den Berg GC, Domazakis E, De Jonge R, Valkenburg DJ, Sánchez‐Vallet A, Seidl MF &amp; Thomma BP (2017)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LysM effectors differentially contribute to virulence on plant hosts.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596–608. </w:t>
      </w:r>
      <w:hyperlink r:id="rId931269e303f6c812a" w:history="1">
        <w:r>
          <w:rPr>
            <w:rFonts w:ascii="Calibri" w:hAnsi="Calibri" w:eastAsia="Calibri" w:cs="Calibri"/>
            <w:color w:val="0000CC"/>
            <w:sz w:val="22"/>
            <w:szCs w:val="22"/>
            <w:u w:val="single"/>
          </w:rPr>
          <w:t xml:space="preserve">https://doi.org/10.1111/mpp.12520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Verticillium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835269e303f6c81e2"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O’Brien JA, Daudi A, Butt VS &amp; Bolwell GP (2012) Reactive oxygen species and their role in plant defence and cell wall metabolism.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765–779. </w:t>
      </w:r>
      <w:hyperlink r:id="rId408569e303f6c8251" w:history="1">
        <w:r>
          <w:rPr>
            <w:rFonts w:ascii="Calibri" w:hAnsi="Calibri" w:eastAsia="Calibri" w:cs="Calibri"/>
            <w:color w:val="0000CC"/>
            <w:sz w:val="22"/>
            <w:szCs w:val="22"/>
            <w:u w:val="single"/>
          </w:rPr>
          <w:t xml:space="preserve">https://doi.org/10.1007/s00425-012-1696-9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Sandoya G, Vallad GE, Koike ST, Xiao CL, Wu BM, Gurung S, Hayes RJ &amp; Subbarao KV (2015) Dynamics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microsclerotia in field soils in response to fumigation, cropping patterns, and flooding.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638–645. </w:t>
      </w:r>
      <w:hyperlink r:id="rId568969e303f6c830e" w:history="1">
        <w:r>
          <w:rPr>
            <w:rFonts w:ascii="Calibri" w:hAnsi="Calibri" w:eastAsia="Calibri" w:cs="Calibri"/>
            <w:color w:val="0000CC"/>
            <w:sz w:val="22"/>
            <w:szCs w:val="22"/>
            <w:u w:val="single"/>
          </w:rPr>
          <w:t xml:space="preserve">https://apsjournals.apsnet.org/doi/pdf/10.1094/PHYTO-09-14-0259-R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Soesanto L (2000) Ecology and biological control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PhD Thesis, Wageningen University, Wageningen, the Netherlands. ISBN 90-5808-192-3. Wageningen University and Research.</w:t>
      </w:r>
    </w:p>
    <w:p>
      <w:pPr>
        <w:widowControl w:val="on"/>
        <w:pBdr/>
        <w:spacing w:before="220" w:after="220" w:line="240" w:lineRule="auto"/>
        <w:ind w:left="0" w:right="0"/>
        <w:jc w:val="left"/>
      </w:pPr>
      <w:r>
        <w:rPr>
          <w:rFonts w:ascii="Calibri" w:hAnsi="Calibri" w:eastAsia="Calibri" w:cs="Calibri"/>
          <w:color w:val="000000"/>
          <w:sz w:val="22"/>
          <w:szCs w:val="22"/>
        </w:rPr>
        <w:t xml:space="preserve">Song Y, Zhang Z, Seidl MF, Majer A, Jakse J, Javornik B &amp; Thomma BP (2017) Broad taxonomic characterization of Verticillium wilt resistance genes reveals an ancient origin of the tomato Ve1 immune receptor. </w:t>
      </w:r>
      <w:r>
        <w:rPr>
          <w:rFonts w:ascii="Calibri" w:hAnsi="Calibri" w:eastAsia="Calibri" w:cs="Calibri"/>
          <w:i/>
          <w:iCs/>
          <w:color w:val="000000"/>
          <w:sz w:val="22"/>
          <w:szCs w:val="22"/>
        </w:rPr>
        <w:t xml:space="preserve">Molecular Plant Pathology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195–209. </w:t>
      </w:r>
      <w:hyperlink r:id="rId588669e303f6c83cf" w:history="1">
        <w:r>
          <w:rPr>
            <w:rFonts w:ascii="Calibri" w:hAnsi="Calibri" w:eastAsia="Calibri" w:cs="Calibri"/>
            <w:color w:val="0000CC"/>
            <w:sz w:val="22"/>
            <w:szCs w:val="22"/>
            <w:u w:val="single"/>
          </w:rPr>
          <w:t xml:space="preserve">https://doi.org/10.1111/mpp.12390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AS, Gladieux P, Decognet V, Fermaud M, Confais J, Roudet J, Bardin M, Bout A, C. Nicot P, Poncet C &amp; Fournier E (2015) Population structure and temporal maintenance of the multihost fungal pathogen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causes and implications for disease management.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1261–1274. </w:t>
      </w:r>
      <w:hyperlink r:id="rId394869e303f6c8559" w:history="1">
        <w:r>
          <w:rPr>
            <w:rFonts w:ascii="Calibri" w:hAnsi="Calibri" w:eastAsia="Calibri" w:cs="Calibri"/>
            <w:color w:val="0000CC"/>
            <w:sz w:val="22"/>
            <w:szCs w:val="22"/>
            <w:u w:val="single"/>
          </w:rPr>
          <w:t xml:space="preserve">https://doi.org/10.1111/1462-2920.12563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220" w:after="220" w:line="240" w:lineRule="auto"/>
        <w:ind w:left="0" w:right="0"/>
        <w:jc w:val="left"/>
      </w:pPr>
      <w:r>
        <w:rPr>
          <w:rFonts w:ascii="Calibri" w:hAnsi="Calibri" w:eastAsia="Calibri" w:cs="Calibri"/>
          <w:color w:val="000000"/>
          <w:sz w:val="22"/>
          <w:szCs w:val="22"/>
        </w:rPr>
        <w:t xml:space="preserve">Zinkernagel V (1982) [On the development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in susceptible and tolerant hop varieties after natural and artificial infection].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205–218.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Verticillium dahliae hop strains</w:t>
      </w:r>
      <w:r>
        <w:rPr>
          <w:rFonts w:ascii="Calibri" w:hAnsi="Calibri" w:eastAsia="Calibri" w:cs="Calibri"/>
          <w:color w:val="000000"/>
          <w:sz w:val="22"/>
          <w:szCs w:val="22"/>
        </w:rPr>
        <w:t xml:space="preserve">. EPPO datasheets on pests recommended for regulation. Available online. </w:t>
      </w:r>
      <w:hyperlink r:id="rId980269e303f6c86e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the second edition of 'Quarantine Pests for Europe' in 1997, as </w:t>
      </w:r>
      <w:r>
        <w:rPr>
          <w:rFonts w:ascii="Calibri" w:hAnsi="Calibri" w:eastAsia="Calibri" w:cs="Calibri"/>
          <w:i/>
          <w:iCs/>
          <w:color w:val="000000"/>
          <w:sz w:val="22"/>
          <w:szCs w:val="22"/>
        </w:rPr>
        <w:t xml:space="preserve">Verticillium </w:t>
      </w:r>
      <w:r>
        <w:rPr>
          <w:rFonts w:ascii="Calibri" w:hAnsi="Calibri" w:eastAsia="Calibri" w:cs="Calibri"/>
          <w:color w:val="000000"/>
          <w:sz w:val="22"/>
          <w:szCs w:val="22"/>
        </w:rPr>
        <w:t xml:space="preserve">spp. on hops.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
      <w:r>
        <w:drawing>
          <wp:inline distT="0" distB="0" distL="0" distR="0">
            <wp:extent cx="1800000" cy="604800"/>
            <wp:docPr id="59695687" name="name221169e303f6c88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5769e303f6c88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623580">
    <w:multiLevelType w:val="hybridMultilevel"/>
    <w:lvl w:ilvl="0" w:tplc="22511939">
      <w:start w:val="1"/>
      <w:numFmt w:val="decimal"/>
      <w:lvlText w:val="%1."/>
      <w:lvlJc w:val="left"/>
      <w:pPr>
        <w:ind w:left="720" w:hanging="360"/>
      </w:pPr>
    </w:lvl>
    <w:lvl w:ilvl="1" w:tplc="22511939" w:tentative="1">
      <w:start w:val="1"/>
      <w:numFmt w:val="lowerLetter"/>
      <w:lvlText w:val="%2."/>
      <w:lvlJc w:val="left"/>
      <w:pPr>
        <w:ind w:left="1440" w:hanging="360"/>
      </w:pPr>
    </w:lvl>
    <w:lvl w:ilvl="2" w:tplc="22511939" w:tentative="1">
      <w:start w:val="1"/>
      <w:numFmt w:val="lowerRoman"/>
      <w:lvlText w:val="%3."/>
      <w:lvlJc w:val="right"/>
      <w:pPr>
        <w:ind w:left="2160" w:hanging="180"/>
      </w:pPr>
    </w:lvl>
    <w:lvl w:ilvl="3" w:tplc="22511939" w:tentative="1">
      <w:start w:val="1"/>
      <w:numFmt w:val="decimal"/>
      <w:lvlText w:val="%4."/>
      <w:lvlJc w:val="left"/>
      <w:pPr>
        <w:ind w:left="2880" w:hanging="360"/>
      </w:pPr>
    </w:lvl>
    <w:lvl w:ilvl="4" w:tplc="22511939" w:tentative="1">
      <w:start w:val="1"/>
      <w:numFmt w:val="lowerLetter"/>
      <w:lvlText w:val="%5."/>
      <w:lvlJc w:val="left"/>
      <w:pPr>
        <w:ind w:left="3600" w:hanging="360"/>
      </w:pPr>
    </w:lvl>
    <w:lvl w:ilvl="5" w:tplc="22511939" w:tentative="1">
      <w:start w:val="1"/>
      <w:numFmt w:val="lowerRoman"/>
      <w:lvlText w:val="%6."/>
      <w:lvlJc w:val="right"/>
      <w:pPr>
        <w:ind w:left="4320" w:hanging="180"/>
      </w:pPr>
    </w:lvl>
    <w:lvl w:ilvl="6" w:tplc="22511939" w:tentative="1">
      <w:start w:val="1"/>
      <w:numFmt w:val="decimal"/>
      <w:lvlText w:val="%7."/>
      <w:lvlJc w:val="left"/>
      <w:pPr>
        <w:ind w:left="5040" w:hanging="360"/>
      </w:pPr>
    </w:lvl>
    <w:lvl w:ilvl="7" w:tplc="22511939" w:tentative="1">
      <w:start w:val="1"/>
      <w:numFmt w:val="lowerLetter"/>
      <w:lvlText w:val="%8."/>
      <w:lvlJc w:val="left"/>
      <w:pPr>
        <w:ind w:left="5760" w:hanging="360"/>
      </w:pPr>
    </w:lvl>
    <w:lvl w:ilvl="8" w:tplc="22511939" w:tentative="1">
      <w:start w:val="1"/>
      <w:numFmt w:val="lowerRoman"/>
      <w:lvlText w:val="%9."/>
      <w:lvlJc w:val="right"/>
      <w:pPr>
        <w:ind w:left="6480" w:hanging="180"/>
      </w:pPr>
    </w:lvl>
  </w:abstractNum>
  <w:abstractNum w:abstractNumId="60623579">
    <w:multiLevelType w:val="hybridMultilevel"/>
    <w:lvl w:ilvl="0" w:tplc="674276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623579">
    <w:abstractNumId w:val="60623579"/>
  </w:num>
  <w:num w:numId="60623580">
    <w:abstractNumId w:val="606235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9191341" Type="http://schemas.microsoft.com/office/2011/relationships/commentsExtended" Target="commentsExtended.xml"/><Relationship Id="rId160259956" Type="http://schemas.microsoft.com/office/2011/relationships/people" Target="people.xml"/><Relationship Id="rId148069e303f6c5136" Type="http://schemas.openxmlformats.org/officeDocument/2006/relationships/hyperlink" Target="https://gd.eppo.int/taxon/VERTDH/" TargetMode="External"/><Relationship Id="rId653969e303f6c51a9" Type="http://schemas.openxmlformats.org/officeDocument/2006/relationships/hyperlink" Target="https://gd.eppo.int/taxon/VERTDH/categorization" TargetMode="External"/><Relationship Id="rId741969e303f6c573c" Type="http://schemas.openxmlformats.org/officeDocument/2006/relationships/hyperlink" Target="https://gd.eppo.int/taxon/VERTDH/photos" TargetMode="External"/><Relationship Id="rId533469e303f6c7900" Type="http://schemas.openxmlformats.org/officeDocument/2006/relationships/hyperlink" Target="https://doi.org/10.1016/j.fgb.2010.02.003" TargetMode="External"/><Relationship Id="rId849669e303f6c7998" Type="http://schemas.openxmlformats.org/officeDocument/2006/relationships/hyperlink" Target="https://bsppjournals.onlinelibrary.wiley.com/doi/full/10.1046/j.1364-3703.2003.00172.x" TargetMode="External"/><Relationship Id="rId942569e303f6c79f2" Type="http://schemas.openxmlformats.org/officeDocument/2006/relationships/hyperlink" Target="https://doi.org/10.1094/PHI-I-2000-0801-01" TargetMode="External"/><Relationship Id="rId796669e303f6c7a65" Type="http://schemas.openxmlformats.org/officeDocument/2006/relationships/hyperlink" Target="https://doi.org/10.3390/plants9101318" TargetMode="External"/><Relationship Id="rId634569e303f6c7b55" Type="http://schemas.openxmlformats.org/officeDocument/2006/relationships/hyperlink" Target="https://www.frontiersin.org/journals/microbiology/articles/10.3389/fmicb.2017.01186/full" TargetMode="External"/><Relationship Id="rId157569e303f6c7bd9" Type="http://schemas.openxmlformats.org/officeDocument/2006/relationships/hyperlink" Target="https://doi.org/10.2903/j.efsa.2014.3928" TargetMode="External"/><Relationship Id="rId942269e303f6c7c46" Type="http://schemas.openxmlformats.org/officeDocument/2006/relationships/hyperlink" Target="https://gd.eppo.int/standards/PM4/" TargetMode="External"/><Relationship Id="rId574669e303f6c7ce5" Type="http://schemas.openxmlformats.org/officeDocument/2006/relationships/hyperlink" Target="https://doi.org/10.1111/epp.12701" TargetMode="External"/><Relationship Id="rId918669e303f6c7d34" Type="http://schemas.openxmlformats.org/officeDocument/2006/relationships/hyperlink" Target="https://gd.eppo.int/taxon/VERTDA" TargetMode="External"/><Relationship Id="rId865269e303f6c7d68" Type="http://schemas.openxmlformats.org/officeDocument/2006/relationships/hyperlink" Target="https://eur-lex.europa.eu/legal-content/EN/TXT/?uri=CELEX%3A32019R2072" TargetMode="External"/><Relationship Id="rId559669e303f6c7e43" Type="http://schemas.openxmlformats.org/officeDocument/2006/relationships/hyperlink" Target="https://doi.org/10.1017/S0953756203008050" TargetMode="External"/><Relationship Id="rId451769e303f6c7f85" Type="http://schemas.openxmlformats.org/officeDocument/2006/relationships/hyperlink" Target="https://doi.org/10.1371/journal.pone.0028341" TargetMode="External"/><Relationship Id="rId603369e303f6c8017" Type="http://schemas.openxmlformats.org/officeDocument/2006/relationships/hyperlink" Target="https://doi.org/10.1094/PHYTO-96-0288" TargetMode="External"/><Relationship Id="rId203569e303f6c80a5" Type="http://schemas.openxmlformats.org/officeDocument/2006/relationships/hyperlink" Target="https://doi.org/10.1146/annurev-phyto-080508-081748" TargetMode="External"/><Relationship Id="rId931269e303f6c812a" Type="http://schemas.openxmlformats.org/officeDocument/2006/relationships/hyperlink" Target="https://doi.org/10.1111/mpp.12520" TargetMode="External"/><Relationship Id="rId835269e303f6c81e2" Type="http://schemas.openxmlformats.org/officeDocument/2006/relationships/hyperlink" Target="https://doi.org/10.3390/plants9070841" TargetMode="External"/><Relationship Id="rId408569e303f6c8251" Type="http://schemas.openxmlformats.org/officeDocument/2006/relationships/hyperlink" Target="https://doi.org/10.1007/s00425-012-1696-9" TargetMode="External"/><Relationship Id="rId568969e303f6c830e" Type="http://schemas.openxmlformats.org/officeDocument/2006/relationships/hyperlink" Target="https://apsjournals.apsnet.org/doi/pdf/10.1094/PHYTO-09-14-0259-R" TargetMode="External"/><Relationship Id="rId588669e303f6c83cf" Type="http://schemas.openxmlformats.org/officeDocument/2006/relationships/hyperlink" Target="https://doi.org/10.1111/mpp.12390" TargetMode="External"/><Relationship Id="rId394869e303f6c8559" Type="http://schemas.openxmlformats.org/officeDocument/2006/relationships/hyperlink" Target="https://doi.org/10.1111/1462-2920.12563" TargetMode="External"/><Relationship Id="rId980269e303f6c86ee" Type="http://schemas.openxmlformats.org/officeDocument/2006/relationships/hyperlink" Target="https://gd.eppo.int" TargetMode="External"/><Relationship Id="rId357469e303f6c563b" Type="http://schemas.openxmlformats.org/officeDocument/2006/relationships/image" Target="media/imgrId357469e303f6c563b.jpg"/><Relationship Id="rId752769e303f6c694d" Type="http://schemas.openxmlformats.org/officeDocument/2006/relationships/image" Target="media/imgrId752769e303f6c694d.jpg"/><Relationship Id="rId135769e303f6c8804" Type="http://schemas.openxmlformats.org/officeDocument/2006/relationships/image" Target="media/imgrId135769e303f6c88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