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Trioza erytreae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Trioza erytreae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(Del Guercio)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Triozidae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Spanioza erythreae</w:t>
            </w:r>
            <w:r>
              <w:rPr>
                <w:rFonts w:ascii="Calibri" w:hAnsi="Calibri" w:eastAsia="Calibri" w:cs="Calibri"/>
                <w:color w:val="000000"/>
                <w:position w:val="-3"/>
                <w:sz w:val="22"/>
                <w:szCs w:val="22"/>
              </w:rPr>
              <w:t xml:space="preserve"> Del Guercio, </w:t>
            </w:r>
            <w:r>
              <w:rPr>
                <w:rFonts w:ascii="Calibri" w:hAnsi="Calibri" w:eastAsia="Calibri" w:cs="Calibri"/>
                <w:i/>
                <w:iCs/>
                <w:color w:val="000000"/>
                <w:position w:val="-3"/>
                <w:sz w:val="22"/>
                <w:szCs w:val="22"/>
              </w:rPr>
              <w:t xml:space="preserve">Spanioza merwei</w:t>
            </w:r>
            <w:r>
              <w:rPr>
                <w:rFonts w:ascii="Calibri" w:hAnsi="Calibri" w:eastAsia="Calibri" w:cs="Calibri"/>
                <w:color w:val="000000"/>
                <w:position w:val="-3"/>
                <w:sz w:val="22"/>
                <w:szCs w:val="22"/>
              </w:rPr>
              <w:t xml:space="preserve"> (Pettey), </w:t>
            </w:r>
            <w:r>
              <w:rPr>
                <w:rFonts w:ascii="Calibri" w:hAnsi="Calibri" w:eastAsia="Calibri" w:cs="Calibri"/>
                <w:i/>
                <w:iCs/>
                <w:color w:val="000000"/>
                <w:position w:val="-3"/>
                <w:sz w:val="22"/>
                <w:szCs w:val="22"/>
              </w:rPr>
              <w:t xml:space="preserve">Trioza merwei</w:t>
            </w:r>
            <w:r>
              <w:rPr>
                <w:rFonts w:ascii="Calibri" w:hAnsi="Calibri" w:eastAsia="Calibri" w:cs="Calibri"/>
                <w:color w:val="000000"/>
                <w:position w:val="-3"/>
                <w:sz w:val="22"/>
                <w:szCs w:val="22"/>
              </w:rPr>
              <w:t xml:space="preserve"> Pettey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African citrus psyllid, citrus psylla, citrus psyllid, two-spotted citrus psyllid</w:t>
            </w:r>
            <w:hyperlink r:id="rId71816a95f8392eef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14786a95f8392ef6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TRIZER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8099210" name="name53056a95f8392f796" descr="2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73.jpg"/>
                          <pic:cNvPicPr/>
                        </pic:nvPicPr>
                        <pic:blipFill>
                          <a:blip r:embed="rId75616a95f8392f794" cstate="print"/>
                          <a:stretch>
                            <a:fillRect/>
                          </a:stretch>
                        </pic:blipFill>
                        <pic:spPr>
                          <a:xfrm>
                            <a:off x="0" y="0"/>
                            <a:ext cx="2160000" cy="1281600"/>
                          </a:xfrm>
                          <a:prstGeom prst="rect">
                            <a:avLst/>
                          </a:prstGeom>
                          <a:ln w="0">
                            <a:noFill/>
                          </a:ln>
                        </pic:spPr>
                      </pic:pic>
                    </a:graphicData>
                  </a:graphic>
                </wp:inline>
              </w:drawing>
            </w:r>
            <w:hyperlink r:id="rId92806a95f8392f895"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is confined to Rutaceae, occurring on wild and ornamental hosts (</w:t>
      </w:r>
      <w:r>
        <w:rPr>
          <w:rFonts w:ascii="Calibri" w:hAnsi="Calibri" w:eastAsia="Calibri" w:cs="Calibri"/>
          <w:i/>
          <w:iCs/>
          <w:color w:val="000000"/>
          <w:sz w:val="22"/>
          <w:szCs w:val="22"/>
        </w:rPr>
        <w:t xml:space="preserve">Clausena anisata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and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especially lemons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and limes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Within the EPPO region, the host species are generally confined to countries surrounding the Mediterranean Sea.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Choisya ternata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australasica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tangerina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volkameriana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anisata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asiaticum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Until the 1990s, </w:t>
      </w:r>
      <w:r>
        <w:rPr>
          <w:rFonts w:ascii="Calibri" w:hAnsi="Calibri" w:eastAsia="Calibri" w:cs="Calibri"/>
          <w:i/>
          <w:iCs/>
          <w:color w:val="000000"/>
          <w:sz w:val="22"/>
          <w:szCs w:val="22"/>
        </w:rPr>
        <w:t xml:space="preserve">T. erytreae </w:t>
      </w:r>
      <w:r>
        <w:rPr>
          <w:rFonts w:ascii="Calibri" w:hAnsi="Calibri" w:eastAsia="Calibri" w:cs="Calibri"/>
          <w:color w:val="000000"/>
          <w:sz w:val="22"/>
          <w:szCs w:val="22"/>
        </w:rPr>
        <w:t xml:space="preserve">was present in Sub-Saharan Africa, Saudi Arabi and the Yemen and on the islands of St. Helena, Mauritius, Reunion and Madagascar. In 1994 and 2002, this psyllid invaded Madeira and the Canary Islands, respectively, in Macaronesia (West Palaearctic). In 2014, </w:t>
      </w:r>
      <w:r>
        <w:rPr>
          <w:rFonts w:ascii="Calibri" w:hAnsi="Calibri" w:eastAsia="Calibri" w:cs="Calibri"/>
          <w:i/>
          <w:iCs/>
          <w:color w:val="000000"/>
          <w:sz w:val="22"/>
          <w:szCs w:val="22"/>
        </w:rPr>
        <w:t xml:space="preserve">T. erytreae </w:t>
      </w:r>
      <w:r>
        <w:rPr>
          <w:rFonts w:ascii="Calibri" w:hAnsi="Calibri" w:eastAsia="Calibri" w:cs="Calibri"/>
          <w:color w:val="000000"/>
          <w:sz w:val="22"/>
          <w:szCs w:val="22"/>
        </w:rPr>
        <w:t xml:space="preserve">reached mainland Europe, where it spread from Galicia (northwestern Spain) to Lisbon in Portugal. </w:t>
      </w:r>
    </w:p>
    <w:p>
      <w:pPr>
        <w:widowControl w:val="on"/>
        <w:pBdr/>
        <w:spacing w:before="220" w:after="220" w:line="240" w:lineRule="auto"/>
        <w:ind w:left="0" w:right="0"/>
        <w:jc w:val="both"/>
      </w:pPr>
      <w:r>
        <w:rPr>
          <w:rFonts w:ascii="Calibri" w:hAnsi="Calibri" w:eastAsia="Calibri" w:cs="Calibri"/>
          <w:color w:val="000000"/>
          <w:sz w:val="22"/>
          <w:szCs w:val="22"/>
        </w:rPr>
        <w:t xml:space="preserve">A recent study has suggested that the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individuals found in Europe (Madeira, Canary Islands and Galicia) have a similar haplotype and most likely originated from South Africa, although the possibility of a Kenyan origin cannot be excluded (Ajene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is wider than that of the causal agent of citrus huanglongbing (HLB) disease originally associated with this vector, </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because the vector occurs in Congo, Sudan and Zambia in Africa, and Portugal and Spain in Europe, where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Liberibacter africanus’ has not yet been recorded.</w:t>
      </w:r>
    </w:p>
    <w:p>
      <w:r>
        <w:drawing>
          <wp:inline distT="0" distB="0" distL="0" distR="0">
            <wp:extent cx="6120000" cy="3067200"/>
            <wp:docPr id="65385060" name="name70236a95f83930a0e" descr="TRIZE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ZER_distribution_map.jpg"/>
                    <pic:cNvPicPr/>
                  </pic:nvPicPr>
                  <pic:blipFill>
                    <a:blip r:embed="rId99476a95f83930a0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(mainland, Madeira), Spain (mainland, Islas Canárias)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Cameroon, Comoros, Congo, The Democratic Republic of the, Eritrea, Eswatini, Ethiopia, Gabon, Ghana, Kenya, Madagascar, Malawi, Mauritius, Reunion, Rwanda, Saint Helena, Sao Tome and Principe, South Africa, Sudan, Tanzania, United Republic of,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Saudi Arabia, Yemen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Cocuzza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compiled a bibliography for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up to 2017, and general reviews have been published by van den Berg &amp; Fletcher (1988) and van den Berg (1990).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has a temperature sensitivity similar to that of the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(Schwarz &amp; Green, 1970; Catling, 1973). It is very sensitive to extreme heat (temperatures above 32°) and dry weather, with the eggs and first-instar nymphs being particularly vulnerable. Based on this climatic profile and the mortality of the psyllid, Green &amp; Catling (1971) used the maximum saturation deficit as an accurate predictor of the geographical distribution of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It is favoured in cool and moist areas, in which citrus growth flushes tend to be prolonged. </w:t>
      </w:r>
    </w:p>
    <w:p>
      <w:pPr>
        <w:widowControl w:val="on"/>
        <w:pBdr/>
        <w:spacing w:before="220" w:after="220" w:line="240" w:lineRule="auto"/>
        <w:ind w:left="0" w:right="0"/>
        <w:jc w:val="both"/>
      </w:pPr>
      <w:r>
        <w:rPr>
          <w:rFonts w:ascii="Calibri" w:hAnsi="Calibri" w:eastAsia="Calibri" w:cs="Calibri"/>
          <w:color w:val="000000"/>
          <w:sz w:val="22"/>
          <w:szCs w:val="22"/>
        </w:rPr>
        <w:t xml:space="preserve">The sex ratio fluctuates in the field, but females always predominate. There is a pre-oviposition period of 3-7 days, but this is considerably extended in the absence of young foliage; longevity is also prolonged under such conditions. Mating occurs two to four times per day, and eggs may be laid immediately. The eggs are equipped with a sharp point that is driven through the leaf epidermis and is thought to be responsible for maintaining a favourable internal water relationship. Females remain fertile for 11-16 days in the absence of males, and maximum egg production occurs towards the middle of their lifespan, which is normally 17-50 days. Each female may lay up to 2000 eggs. There is an incubation period of 5-17 days and nymph development (five instars) takes 17-47 days, the lengths of both these periods being inversely related to mean temperature and directly related to the nutritional value of the leaves. The temperature threshold for nymph development appears to be around 10-12°C. There is no diapause. Van den 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studied the daily activities and habits of adults, and egg hatching and moulting, in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whereas van den 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(1991a) studied mating, fertility and oviposition.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erytreae </w:t>
      </w:r>
      <w:r>
        <w:rPr>
          <w:rFonts w:ascii="Calibri" w:hAnsi="Calibri" w:eastAsia="Calibri" w:cs="Calibri"/>
          <w:color w:val="000000"/>
          <w:sz w:val="22"/>
          <w:szCs w:val="22"/>
        </w:rPr>
        <w:t xml:space="preserve">transmits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under natural conditions in Africa, parts of Arabia, and some Indian Ocean islands (McClean &amp; Oberholzer, 1965; Gottwall, 2010).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has also been shown to transmit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(Ajene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Gottwall,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severely distorts leaves, which become stunted and galled, and appear to be dusted with solid white honeydew excreted by the psyllid. High psyllid densities and humid environmental conditions may be associated with the development of sooty mold on the honeydew.</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Yellow-orange, cylindrical, with a sharp point at the anterior; laid at the margins of young, actively growing leaves.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Nymph</w:t>
      </w:r>
    </w:p>
    <w:p>
      <w:pPr>
        <w:widowControl w:val="on"/>
        <w:pBdr/>
        <w:spacing w:before="220" w:after="220" w:line="240" w:lineRule="auto"/>
        <w:ind w:left="0" w:right="0"/>
        <w:jc w:val="both"/>
      </w:pPr>
      <w:r>
        <w:rPr>
          <w:rFonts w:ascii="Calibri" w:hAnsi="Calibri" w:eastAsia="Calibri" w:cs="Calibri"/>
          <w:color w:val="000000"/>
          <w:sz w:val="22"/>
          <w:szCs w:val="22"/>
        </w:rPr>
        <w:t xml:space="preserve">Dorso-ventrally compressed and varying in colour from yellow  to olive-green or dark grey; has a marginal fringe of white, waxy filaments; largely sedentary; forms distinct colonies and settles on the underside of young leaves, where, after a few days of feeding, it produces distinctive cup-shaped, open galls.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about 3-4 mm long. Winged, with a yellowish-green body, initially delicate, later becoming light-brown. Males are smaller than females and have a blunt tip to the abdomen, whereas the abdomen of the female ends in a sharp point. Adults adopt a distinctive stance while feeding, with the abdomen raised at an angle of about 35° to the feeding surface.</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of the sizes of the nymphs and adults of </w:t>
      </w:r>
      <w:r>
        <w:rPr>
          <w:rFonts w:ascii="Calibri" w:hAnsi="Calibri" w:eastAsia="Calibri" w:cs="Calibri"/>
          <w:i/>
          <w:iCs/>
          <w:color w:val="000000"/>
          <w:sz w:val="22"/>
          <w:szCs w:val="22"/>
        </w:rPr>
        <w:t xml:space="preserve">T. erytreae </w:t>
      </w:r>
      <w:r>
        <w:rPr>
          <w:rFonts w:ascii="Calibri" w:hAnsi="Calibri" w:eastAsia="Calibri" w:cs="Calibri"/>
          <w:color w:val="000000"/>
          <w:sz w:val="22"/>
          <w:szCs w:val="22"/>
        </w:rPr>
        <w:t xml:space="preserve">have been provided by Cocuzza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(2016) and Aidoo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(2019). The EPPO Diagnostic Protocol for </w:t>
      </w:r>
      <w:r>
        <w:rPr>
          <w:rFonts w:ascii="Calibri" w:hAnsi="Calibri" w:eastAsia="Calibri" w:cs="Calibri"/>
          <w:i/>
          <w:iCs/>
          <w:color w:val="000000"/>
          <w:sz w:val="22"/>
          <w:szCs w:val="22"/>
        </w:rPr>
        <w:t xml:space="preserve">T. erytreae </w:t>
      </w:r>
      <w:r>
        <w:rPr>
          <w:rFonts w:ascii="Calibri" w:hAnsi="Calibri" w:eastAsia="Calibri" w:cs="Calibri"/>
          <w:color w:val="000000"/>
          <w:sz w:val="22"/>
          <w:szCs w:val="22"/>
        </w:rPr>
        <w:t xml:space="preserve">provides guidance on how to detect and identify the pest (EPPO Standard PM 7/57).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distinctive cup-shaped, open galls produced by </w:t>
      </w:r>
      <w:r>
        <w:rPr>
          <w:rFonts w:ascii="Calibri" w:hAnsi="Calibri" w:eastAsia="Calibri" w:cs="Calibri"/>
          <w:i/>
          <w:iCs/>
          <w:color w:val="000000"/>
          <w:sz w:val="22"/>
          <w:szCs w:val="22"/>
        </w:rPr>
        <w:t xml:space="preserve">T. erytreae </w:t>
      </w:r>
      <w:r>
        <w:rPr>
          <w:rFonts w:ascii="Calibri" w:hAnsi="Calibri" w:eastAsia="Calibri" w:cs="Calibri"/>
          <w:color w:val="000000"/>
          <w:sz w:val="22"/>
          <w:szCs w:val="22"/>
        </w:rPr>
        <w:t xml:space="preserve">nymphs can be used to detect its presence in recently invaded areas. These galls are produced by nymphs after a few days of feeding on young and tender leaves, and the galls remain in the leaves when the adults emerge and the leaves mature. These galls can, therefore, be used to detect the presence of the psyllid in the current and previous flushes. For the detection of nymphs and adults, monitoring should be carried out during flushing periods. In the Mediterranean Basin, there are three flushing periods for most citrus species: spring, mid-summer and late autumn. The spring flush is the most important in terms of size. However, lemon species flush throughout the year. For confirmation of the detection of </w:t>
      </w:r>
      <w:r>
        <w:rPr>
          <w:rFonts w:ascii="Calibri" w:hAnsi="Calibri" w:eastAsia="Calibri" w:cs="Calibri"/>
          <w:i/>
          <w:iCs/>
          <w:color w:val="000000"/>
          <w:sz w:val="22"/>
          <w:szCs w:val="22"/>
        </w:rPr>
        <w:t xml:space="preserve">T. erytreae </w:t>
      </w:r>
      <w:r>
        <w:rPr>
          <w:rFonts w:ascii="Calibri" w:hAnsi="Calibri" w:eastAsia="Calibri" w:cs="Calibri"/>
          <w:color w:val="000000"/>
          <w:sz w:val="22"/>
          <w:szCs w:val="22"/>
        </w:rPr>
        <w:t xml:space="preserve">and identification of the adults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yellow sticky traps or suction sampling devices can be used to capture the adults. Detailed protocols for surveillance, sampling and detection are indicated in the EPPO Standard PM 9/27 (2020)</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in the EFSA pest survey card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is can spread locally by natural means of dispersal, over distances of up to 1.5 km (van den Berg &amp; Deacon, 1988). Eggs and nymphs may be carried over longer distances on citrus material (budwood, grafted trees, rootstock seedlings). Both adults and nymphs can acquire the causal agent of huanglongbing, but only adults can transmit it (McClean 1974; Moll and van Vuuren 1977). The illegal introduction of plant material can lead to the introduction of the disease or the vector. Adults can survive for up to 12 days on recently harvested lemon fruits at 13.5 ± 2ºC, 85.4 ± 10% RH, under an L14 hours:D10 hours photoperiod (Urbaneja-Bernat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Introduction on citrus fruits that have passed through packing house processes involving brushing, washing and the removal of stems and leaves is unlikely.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erytreae</w:t>
      </w:r>
      <w:r>
        <w:rPr>
          <w:rFonts w:ascii="Calibri" w:hAnsi="Calibri" w:eastAsia="Calibri" w:cs="Calibri"/>
          <w:color w:val="000000"/>
          <w:sz w:val="22"/>
          <w:szCs w:val="22"/>
        </w:rPr>
        <w:t xml:space="preserve"> results principally from its role as a vector of huanglongbing, the most damaging citrus disease in the world (Gottwald, 2010). Heavy infestations with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also cause severe leaf distortion, the development of conspicuous pits on the leaf surface and the development of sooty mold on the excreted honeydew.</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active ingredients of different groups can be used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In South Africa, control is based on the use of organophosphates and neonicotinoids that are banned in Europe. A list of active ingredients, with their efficacy and mode of action against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the other vector of huanglongbing, has been published by Qureshi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can enter orchards from other host plants in the surrounding vegetation (van den 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1991b), the removal of which is, therefore, recommended. </w:t>
      </w:r>
    </w:p>
    <w:p>
      <w:pPr>
        <w:widowControl w:val="on"/>
        <w:pBdr/>
        <w:spacing w:before="220" w:after="220" w:line="240" w:lineRule="auto"/>
        <w:ind w:left="0" w:right="0"/>
        <w:jc w:val="both"/>
      </w:pPr>
      <w:r>
        <w:rPr>
          <w:rFonts w:ascii="Calibri" w:hAnsi="Calibri" w:eastAsia="Calibri" w:cs="Calibri"/>
          <w:color w:val="000000"/>
          <w:sz w:val="22"/>
          <w:szCs w:val="22"/>
        </w:rPr>
        <w:t xml:space="preserve">Experience in areas to which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already has spread or into which it has recently been introduced suggests that the eradication of this species is almost impossible (Cocuzza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On Reunion Island and the Canary Islands,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has been successfully controlled by the introduction of the parasitoid </w:t>
      </w:r>
      <w:r>
        <w:rPr>
          <w:rFonts w:ascii="Calibri" w:hAnsi="Calibri" w:eastAsia="Calibri" w:cs="Calibri"/>
          <w:i/>
          <w:iCs/>
          <w:color w:val="000000"/>
          <w:sz w:val="22"/>
          <w:szCs w:val="22"/>
        </w:rPr>
        <w:t xml:space="preserve">Tamarixia dryi</w:t>
      </w:r>
      <w:r>
        <w:rPr>
          <w:rFonts w:ascii="Calibri" w:hAnsi="Calibri" w:eastAsia="Calibri" w:cs="Calibri"/>
          <w:color w:val="000000"/>
          <w:sz w:val="22"/>
          <w:szCs w:val="22"/>
        </w:rPr>
        <w:t xml:space="preserve"> from South Africa (Aubert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Hernández-Suárez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This species of parasitoid is highly specific and does not, therefore, represent an environmental risk for native psyllid species (Urbaneja-Bernat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South Africa, three primary parasitoids and numerous predators occur, but have not been found to reduce populations to economically acceptable levels, probably due to the presence of a hyperparasitoid complex (van den 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Pérez-Rodríguez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Cameroon, the psyllid is also attacked by a complex of parasitoids (Tamesse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is now established in mainland Europe (Galicia in Spain and the Portuguese coast from the northern part of the country to Lisbon), but it has not yet reached the main citrus-producing areas. A study based on water vapor deficit pressure has suggested that the psyllid will be able to spread along the entire Portuguese coast to the Algarve (southern Portugal), the main citrus-producing area in Portugal (Paiva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It would probably be able to establish itself and spread in Mediterranean countries without difficulty, because citrus crops are mostly produced in areas close to the coast with a high relative humidity, but further studies are required to confirm this. In addition to its role as a vector of huanglongbing, this psyllid has a significant potential for damage in its own right. Biological control may be possible, at least on islands, but there is no guarantee that it could keep populations at sufficiently low levels to prevent transmission of huanglongbing.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severity of huanglongbing, EPPO has recommended to prohibit the importation of citrus plants for planting and cut branches or buds of citrus from areas or countries where citrus huanglongbing (or either of its vectors) are present. In the EU territory, it is also forbidden to import fruit from third countries with their peduncles and leaves. In disease free countries as those of the Mediterranean area, awareness, monitoring, surveillance, pest risk assessment, quarantine measures and action plans are advised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Procedures for official control with the aim of detecting, containing and eradicating huanglongbing and its vectors are provided in the EPPO Standard PM 9/27 (EPPO, 2020)</w:t>
      </w:r>
      <w:r>
        <w:rPr>
          <w:rFonts w:ascii="Calibri" w:hAnsi="Calibri" w:eastAsia="Calibri" w:cs="Calibri"/>
          <w:b/>
          <w:bCs/>
          <w:i/>
          <w:iCs/>
          <w:color w:val="000000"/>
          <w:sz w:val="22"/>
          <w:szCs w:val="22"/>
        </w:rPr>
        <w:t xml:space="preserve">.</w:t>
      </w:r>
      <w:r>
        <w:rPr>
          <w:rFonts w:ascii="Calibri" w:hAnsi="Calibri" w:eastAsia="Calibri" w:cs="Calibri"/>
          <w:color w:val="000000"/>
          <w:sz w:val="22"/>
          <w:szCs w:val="22"/>
        </w:rPr>
        <w:t xml:space="preserve"> As surveys should be carried out in all the EU member countries, a pest survey card was prepared by the European Food Safety Authority (EFSA, 2019) to assist EU Member States in planning their huanglongbing annual survey activities.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Aidoo OF, Tanga CM, Paris TM, Allan SA, Mohamed SA, Khamis FM, Sétamou M, Borgemeister C, Ekesi S (2019) Size and shape analysis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Del Guercio (Hemiptera: Triozidae), vector of citrus huanglongbing disease.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760-771.</w:t>
      </w:r>
    </w:p>
    <w:p>
      <w:pPr>
        <w:widowControl w:val="on"/>
        <w:pBdr/>
        <w:spacing w:before="220" w:after="220" w:line="240" w:lineRule="auto"/>
        <w:ind w:left="0" w:right="0"/>
        <w:jc w:val="left"/>
      </w:pPr>
      <w:r>
        <w:rPr>
          <w:rFonts w:ascii="Calibri" w:hAnsi="Calibri" w:eastAsia="Calibri" w:cs="Calibri"/>
          <w:color w:val="000000"/>
          <w:sz w:val="22"/>
          <w:szCs w:val="22"/>
        </w:rPr>
        <w:t xml:space="preserve">Ajene IJ, Khami FM, van Asch B, Pietersen G, Seid N, Rwomushana I, Ombura FLO, Momanyi G, Finyange P, Rasowo BA, Tanga CM, Mohammed S, Ekesi S (2020) Distribution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in Eastern Africa, and the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Kenya. </w:t>
      </w:r>
      <w:r>
        <w:rPr>
          <w:rFonts w:ascii="Calibri" w:hAnsi="Calibri" w:eastAsia="Calibri" w:cs="Calibri"/>
          <w:i/>
          <w:iCs/>
          <w:color w:val="000000"/>
          <w:sz w:val="22"/>
          <w:szCs w:val="22"/>
        </w:rPr>
        <w:t xml:space="preserve">Scientific Reports </w:t>
      </w:r>
      <w:r>
        <w:rPr>
          <w:rFonts w:ascii="Calibri" w:hAnsi="Calibri" w:eastAsia="Calibri" w:cs="Calibri"/>
          <w:b/>
          <w:bCs/>
          <w:color w:val="000000"/>
          <w:sz w:val="22"/>
          <w:szCs w:val="22"/>
        </w:rPr>
        <w:t xml:space="preserve">10, </w:t>
      </w:r>
      <w:r>
        <w:rPr>
          <w:rFonts w:ascii="Calibri" w:hAnsi="Calibri" w:eastAsia="Calibri" w:cs="Calibri"/>
          <w:color w:val="000000"/>
          <w:sz w:val="22"/>
          <w:szCs w:val="22"/>
        </w:rPr>
        <w:t xml:space="preserve">3919 </w:t>
      </w:r>
      <w:hyperlink r:id="rId71466a95f8393172a" w:history="1">
        <w:r>
          <w:rPr>
            <w:rFonts w:ascii="Calibri" w:hAnsi="Calibri" w:eastAsia="Calibri" w:cs="Calibri"/>
            <w:color w:val="0000CC"/>
            <w:sz w:val="22"/>
            <w:szCs w:val="22"/>
            <w:u w:val="single"/>
          </w:rPr>
          <w:t xml:space="preserve">https://doi.org/10.1038/s41598-020-60712-0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Ajene I, Pietersen G, van Asch B (2020) Mitochondrial genetic variation reveals phylogeographic structure and cryptic diversity in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8893. </w:t>
      </w:r>
      <w:hyperlink r:id="rId20406a95f839317c0" w:history="1">
        <w:r>
          <w:rPr>
            <w:rFonts w:ascii="Calibri" w:hAnsi="Calibri" w:eastAsia="Calibri" w:cs="Calibri"/>
            <w:color w:val="0000CC"/>
            <w:sz w:val="22"/>
            <w:szCs w:val="22"/>
            <w:u w:val="single"/>
          </w:rPr>
          <w:t xml:space="preserve">https://doi.org/10.1038/s41598-020-65880-7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Aubert B, Bové JM, Etienne J (1980) La lutte contre la maladie du greening des agrumes à l'île de la Réunion. Résultats et perspectives.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605-624.</w:t>
      </w:r>
    </w:p>
    <w:p>
      <w:pPr>
        <w:widowControl w:val="on"/>
        <w:pBdr/>
        <w:spacing w:before="220" w:after="220" w:line="240" w:lineRule="auto"/>
        <w:ind w:left="0" w:right="0"/>
        <w:jc w:val="left"/>
      </w:pPr>
      <w:r>
        <w:rPr>
          <w:rFonts w:ascii="Calibri" w:hAnsi="Calibri" w:eastAsia="Calibri" w:cs="Calibri"/>
          <w:color w:val="000000"/>
          <w:sz w:val="22"/>
          <w:szCs w:val="22"/>
        </w:rPr>
        <w:t xml:space="preserve">Catling HD (1973) Notes on the biology of the South African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Entomological Society of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299-306.</w:t>
      </w:r>
    </w:p>
    <w:p>
      <w:pPr>
        <w:widowControl w:val="on"/>
        <w:pBdr/>
        <w:spacing w:before="220" w:after="220" w:line="240" w:lineRule="auto"/>
        <w:ind w:left="0" w:right="0"/>
        <w:jc w:val="left"/>
      </w:pPr>
      <w:r>
        <w:rPr>
          <w:rFonts w:ascii="Calibri" w:hAnsi="Calibri" w:eastAsia="Calibri" w:cs="Calibri"/>
          <w:color w:val="000000"/>
          <w:sz w:val="22"/>
          <w:szCs w:val="22"/>
        </w:rPr>
        <w:t xml:space="preserve">Cocuzza GEM, Urbaneja A, Hernández-Suárez E, Siverio F, Di Silvestro S, Tena A, Carmelo R (2017) A review on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(African citrus psyllid), now in mainland Europe, and its potential risk as vector of “huanglongbing” (HLB) in citrus. Journal of Pest Science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1-17.</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Parnell S, Camilleri M, Diakaki M, Schrader G &amp; Vos S. Pest survey card on Huanglongbing and its vectors.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2019, EN-1574. </w:t>
      </w:r>
      <w:hyperlink r:id="rId66896a95f8393194a" w:history="1">
        <w:r>
          <w:rPr>
            <w:rFonts w:ascii="Calibri" w:hAnsi="Calibri" w:eastAsia="Calibri" w:cs="Calibri"/>
            <w:color w:val="0000CC"/>
            <w:sz w:val="22"/>
            <w:szCs w:val="22"/>
            <w:u w:val="single"/>
          </w:rPr>
          <w:t xml:space="preserve">https://doi.org/doi:10.2903/sp.efsa.2019.EN-1574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9/27 (1)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species that are casual agents of Huanglongbing disease of citrus and their vectors: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122-141.</w:t>
      </w:r>
    </w:p>
    <w:p>
      <w:pPr>
        <w:widowControl w:val="on"/>
        <w:pBdr/>
        <w:spacing w:before="220" w:after="220" w:line="240" w:lineRule="auto"/>
        <w:ind w:left="0" w:right="0"/>
        <w:jc w:val="left"/>
      </w:pPr>
      <w:r>
        <w:rPr>
          <w:rFonts w:ascii="Calibri" w:hAnsi="Calibri" w:eastAsia="Calibri" w:cs="Calibri"/>
          <w:color w:val="000000"/>
          <w:sz w:val="22"/>
          <w:szCs w:val="22"/>
        </w:rPr>
        <w:t xml:space="preserve">Green GC, Catling HD (1971) Weather-induced mortality of the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a vector of greening virus, in some citrus-producing areas of South Africa. </w:t>
      </w:r>
      <w:r>
        <w:rPr>
          <w:rFonts w:ascii="Calibri" w:hAnsi="Calibri" w:eastAsia="Calibri" w:cs="Calibri"/>
          <w:i/>
          <w:iCs/>
          <w:color w:val="000000"/>
          <w:sz w:val="22"/>
          <w:szCs w:val="22"/>
        </w:rPr>
        <w:t xml:space="preserve">Agricultural Meteorology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305-317.</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(2010) Current epidemiological understanding of citrus huanglongbing.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119-139.</w:t>
      </w:r>
    </w:p>
    <w:p>
      <w:pPr>
        <w:widowControl w:val="on"/>
        <w:pBdr/>
        <w:spacing w:before="220" w:after="220" w:line="240" w:lineRule="auto"/>
        <w:ind w:left="0" w:right="0"/>
        <w:jc w:val="left"/>
      </w:pPr>
      <w:r>
        <w:rPr>
          <w:rFonts w:ascii="Calibri" w:hAnsi="Calibri" w:eastAsia="Calibri" w:cs="Calibri"/>
          <w:color w:val="000000"/>
          <w:sz w:val="22"/>
          <w:szCs w:val="22"/>
        </w:rPr>
        <w:t xml:space="preserve">Hernández-Suárez E, Pérez-Rodríguez J, Suárez-Méndez L, Urbaneja-Bernat P, Rizza R, Siverio F, Piedra-Buena A, Urbaneja A, Tena, A (2020) Control de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en las Islas Canarias por el parasitoide </w:t>
      </w:r>
      <w:r>
        <w:rPr>
          <w:rFonts w:ascii="Calibri" w:hAnsi="Calibri" w:eastAsia="Calibri" w:cs="Calibri"/>
          <w:i/>
          <w:iCs/>
          <w:color w:val="000000"/>
          <w:sz w:val="22"/>
          <w:szCs w:val="22"/>
        </w:rPr>
        <w:t xml:space="preserve">Tamarixia dryi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Phytoma España </w:t>
      </w:r>
      <w:r>
        <w:rPr>
          <w:rFonts w:ascii="Calibri" w:hAnsi="Calibri" w:eastAsia="Calibri" w:cs="Calibri"/>
          <w:b/>
          <w:bCs/>
          <w:color w:val="000000"/>
          <w:sz w:val="22"/>
          <w:szCs w:val="22"/>
        </w:rPr>
        <w:t xml:space="preserve">319</w:t>
      </w:r>
      <w:r>
        <w:rPr>
          <w:rFonts w:ascii="Calibri" w:hAnsi="Calibri" w:eastAsia="Calibri" w:cs="Calibri"/>
          <w:color w:val="000000"/>
          <w:sz w:val="22"/>
          <w:szCs w:val="22"/>
        </w:rPr>
        <w:t xml:space="preserve">, 28-32.</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Oberholzer PCJ (1965) Citrus psylla, a vector of the greening disease of sweet orange. </w:t>
      </w:r>
      <w:r>
        <w:rPr>
          <w:rFonts w:ascii="Calibri" w:hAnsi="Calibri" w:eastAsia="Calibri" w:cs="Calibri"/>
          <w:i/>
          <w:iCs/>
          <w:color w:val="000000"/>
          <w:sz w:val="22"/>
          <w:szCs w:val="22"/>
        </w:rPr>
        <w:t xml:space="preserve">South African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297-298.</w:t>
      </w:r>
    </w:p>
    <w:p>
      <w:pPr>
        <w:widowControl w:val="on"/>
        <w:pBdr/>
        <w:spacing w:before="220" w:after="220" w:line="240" w:lineRule="auto"/>
        <w:ind w:left="0" w:right="0"/>
        <w:jc w:val="left"/>
      </w:pPr>
      <w:r>
        <w:rPr>
          <w:rFonts w:ascii="Calibri" w:hAnsi="Calibri" w:eastAsia="Calibri" w:cs="Calibri"/>
          <w:color w:val="000000"/>
          <w:sz w:val="22"/>
          <w:szCs w:val="22"/>
        </w:rPr>
        <w:t xml:space="preserve">Paiva PEB, Cota T, Neto L, Soares C, Tomás JC, Duarte A (2020) Water vapor pressure deficit in Portugal and implications for the development of the invasive African citrus psyllid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i/>
          <w:iCs/>
          <w:color w:val="000000"/>
          <w:sz w:val="22"/>
          <w:szCs w:val="22"/>
        </w:rPr>
        <w:t xml:space="preserve">11</w:t>
      </w:r>
      <w:r>
        <w:rPr>
          <w:rFonts w:ascii="Calibri" w:hAnsi="Calibri" w:eastAsia="Calibri" w:cs="Calibri"/>
          <w:color w:val="000000"/>
          <w:sz w:val="22"/>
          <w:szCs w:val="22"/>
        </w:rPr>
        <w:t xml:space="preserve">, 229.</w:t>
      </w:r>
    </w:p>
    <w:p>
      <w:pPr>
        <w:widowControl w:val="on"/>
        <w:pBdr/>
        <w:spacing w:before="220" w:after="220" w:line="240" w:lineRule="auto"/>
        <w:ind w:left="0" w:right="0"/>
        <w:jc w:val="left"/>
      </w:pPr>
      <w:r>
        <w:rPr>
          <w:rFonts w:ascii="Calibri" w:hAnsi="Calibri" w:eastAsia="Calibri" w:cs="Calibri"/>
          <w:color w:val="000000"/>
          <w:sz w:val="22"/>
          <w:szCs w:val="22"/>
        </w:rPr>
        <w:t xml:space="preserve">Pérez-Rodríguez J, Krüger K, Pérez-Hedo M, Ruíz-Rivero O, Urbaneja A, Tena A (2019) Classical biological control of the African citrus psyllid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a major threat to the European citrus industry. Scientific Reports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9440.</w:t>
      </w:r>
    </w:p>
    <w:p>
      <w:pPr>
        <w:widowControl w:val="on"/>
        <w:pBdr/>
        <w:spacing w:before="220" w:after="220" w:line="240" w:lineRule="auto"/>
        <w:ind w:left="0" w:right="0"/>
        <w:jc w:val="left"/>
      </w:pPr>
      <w:r>
        <w:rPr>
          <w:rFonts w:ascii="Calibri" w:hAnsi="Calibri" w:eastAsia="Calibri" w:cs="Calibri"/>
          <w:color w:val="000000"/>
          <w:sz w:val="22"/>
          <w:szCs w:val="22"/>
        </w:rPr>
        <w:t xml:space="preserve">Qureshi JA, Kostyk BC, Stansly PA (2014) Insecticidal suppression of Asian citrus psyllid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(Hemiptera: Liviidae) vector of huanglongbing pathogens.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i/>
          <w:iCs/>
          <w:color w:val="000000"/>
          <w:sz w:val="22"/>
          <w:szCs w:val="22"/>
        </w:rPr>
        <w:t xml:space="preserve">9</w:t>
      </w:r>
      <w:r>
        <w:rPr>
          <w:rFonts w:ascii="Calibri" w:hAnsi="Calibri" w:eastAsia="Calibri" w:cs="Calibri"/>
          <w:color w:val="000000"/>
          <w:sz w:val="22"/>
          <w:szCs w:val="22"/>
        </w:rPr>
        <w:t xml:space="preserve">(12).</w:t>
      </w:r>
    </w:p>
    <w:p>
      <w:pPr>
        <w:widowControl w:val="on"/>
        <w:pBdr/>
        <w:spacing w:before="220" w:after="220" w:line="240" w:lineRule="auto"/>
        <w:ind w:left="0" w:right="0"/>
        <w:jc w:val="left"/>
      </w:pPr>
      <w:r>
        <w:rPr>
          <w:rFonts w:ascii="Calibri" w:hAnsi="Calibri" w:eastAsia="Calibri" w:cs="Calibri"/>
          <w:color w:val="000000"/>
          <w:sz w:val="22"/>
          <w:szCs w:val="22"/>
        </w:rPr>
        <w:t xml:space="preserve">Schwarz RE, Green GC (1970) Citrus greening and the citrus psyllid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a temperature-dependent agent-vector complex. </w:t>
      </w:r>
      <w:r>
        <w:rPr>
          <w:rFonts w:ascii="Calibri" w:hAnsi="Calibri" w:eastAsia="Calibri" w:cs="Calibri"/>
          <w:i/>
          <w:iCs/>
          <w:color w:val="000000"/>
          <w:sz w:val="22"/>
          <w:szCs w:val="22"/>
        </w:rPr>
        <w:t xml:space="preserve">Zeitschrift für Pflanzenkrankheiten und Pflanzenschutz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490-493.</w:t>
      </w:r>
    </w:p>
    <w:p>
      <w:pPr>
        <w:widowControl w:val="on"/>
        <w:pBdr/>
        <w:spacing w:before="220" w:after="220" w:line="240" w:lineRule="auto"/>
        <w:ind w:left="0" w:right="0"/>
        <w:jc w:val="left"/>
      </w:pPr>
      <w:r>
        <w:rPr>
          <w:rFonts w:ascii="Calibri" w:hAnsi="Calibri" w:eastAsia="Calibri" w:cs="Calibri"/>
          <w:color w:val="000000"/>
          <w:sz w:val="22"/>
          <w:szCs w:val="22"/>
        </w:rPr>
        <w:t xml:space="preserve">Tamesse JL (2009) Key for identification of the Hymenopteran parasitoids of the African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Del Guercio (Hemiptera: Triozidae) in Cameroon. African Journal of Agricultural Research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85–91.</w:t>
      </w:r>
    </w:p>
    <w:p>
      <w:pPr>
        <w:widowControl w:val="on"/>
        <w:pBdr/>
        <w:spacing w:before="220" w:after="220" w:line="240" w:lineRule="auto"/>
        <w:ind w:left="0" w:right="0"/>
        <w:jc w:val="left"/>
      </w:pPr>
      <w:r>
        <w:rPr>
          <w:rFonts w:ascii="Calibri" w:hAnsi="Calibri" w:eastAsia="Calibri" w:cs="Calibri"/>
          <w:color w:val="000000"/>
          <w:sz w:val="22"/>
          <w:szCs w:val="22"/>
        </w:rPr>
        <w:t xml:space="preserve">Urbaneja-Bernat P, Hernández-Suárez E, Urbaneja A, Tena A (2020) Preventive measures to limit the spread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(Del Guercio) (Hemiptera: Psyllidae) in mainland Europe. </w:t>
      </w:r>
      <w:r>
        <w:rPr>
          <w:rFonts w:ascii="Calibri" w:hAnsi="Calibri" w:eastAsia="Calibri" w:cs="Calibri"/>
          <w:i/>
          <w:iCs/>
          <w:color w:val="000000"/>
          <w:sz w:val="22"/>
          <w:szCs w:val="22"/>
        </w:rPr>
        <w:t xml:space="preserve">Journal of Applied Entomology. </w:t>
      </w:r>
      <w:hyperlink r:id="rId75326a95f83931e93" w:history="1">
        <w:r>
          <w:rPr>
            <w:rFonts w:ascii="Calibri" w:hAnsi="Calibri" w:eastAsia="Calibri" w:cs="Calibri"/>
            <w:color w:val="0000CC"/>
            <w:sz w:val="22"/>
            <w:szCs w:val="22"/>
            <w:u w:val="single"/>
          </w:rPr>
          <w:t xml:space="preserve">https://doi.org/10.1111/jen.12771</w:t>
        </w:r>
      </w:hyperlink>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Urbaneja-Bernat P, Pérez-Rodríguez J, Krüger K, Catalán J, Rizza R, Hernández-Suárez E, Urbaneja A, Tena A (2019) Host range testing of </w:t>
      </w:r>
      <w:r>
        <w:rPr>
          <w:rFonts w:ascii="Calibri" w:hAnsi="Calibri" w:eastAsia="Calibri" w:cs="Calibri"/>
          <w:i/>
          <w:iCs/>
          <w:color w:val="000000"/>
          <w:sz w:val="22"/>
          <w:szCs w:val="22"/>
        </w:rPr>
        <w:t xml:space="preserve">Tamarixia dryi</w:t>
      </w:r>
      <w:r>
        <w:rPr>
          <w:rFonts w:ascii="Calibri" w:hAnsi="Calibri" w:eastAsia="Calibri" w:cs="Calibri"/>
          <w:color w:val="000000"/>
          <w:sz w:val="22"/>
          <w:szCs w:val="22"/>
        </w:rPr>
        <w:t xml:space="preserve"> (Hymenoptera: Eulophidae) sourced from South Africa for classical biological control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(Hemiptera: Psyllidae) in Europe.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135</w:t>
      </w:r>
      <w:r>
        <w:rPr>
          <w:rFonts w:ascii="Calibri" w:hAnsi="Calibri" w:eastAsia="Calibri" w:cs="Calibri"/>
          <w:color w:val="000000"/>
          <w:sz w:val="22"/>
          <w:szCs w:val="22"/>
        </w:rPr>
        <w:t xml:space="preserve">, 110-116.</w:t>
      </w:r>
    </w:p>
    <w:p>
      <w:pPr>
        <w:widowControl w:val="on"/>
        <w:pBdr/>
        <w:spacing w:before="220" w:after="220" w:line="240" w:lineRule="auto"/>
        <w:ind w:left="0" w:right="0"/>
        <w:jc w:val="left"/>
      </w:pPr>
      <w:r>
        <w:rPr>
          <w:rFonts w:ascii="Calibri" w:hAnsi="Calibri" w:eastAsia="Calibri" w:cs="Calibri"/>
          <w:color w:val="000000"/>
          <w:sz w:val="22"/>
          <w:szCs w:val="22"/>
        </w:rPr>
        <w:t xml:space="preserve">Van den Berg MA (1990) The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Agriculture, Ecosystems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171-194.</w:t>
      </w:r>
    </w:p>
    <w:p>
      <w:pPr>
        <w:widowControl w:val="on"/>
        <w:pBdr/>
        <w:spacing w:before="220" w:after="220" w:line="240" w:lineRule="auto"/>
        <w:ind w:left="0" w:right="0"/>
        <w:jc w:val="left"/>
      </w:pPr>
      <w:r>
        <w:rPr>
          <w:rFonts w:ascii="Calibri" w:hAnsi="Calibri" w:eastAsia="Calibri" w:cs="Calibri"/>
          <w:color w:val="000000"/>
          <w:sz w:val="22"/>
          <w:szCs w:val="22"/>
        </w:rPr>
        <w:t xml:space="preserve">Van den Berg MA, Deacon VE (1988) Dispersal of the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the absence of its host plants.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361-368.</w:t>
      </w:r>
    </w:p>
    <w:p>
      <w:pPr>
        <w:widowControl w:val="on"/>
        <w:pBdr/>
        <w:spacing w:before="220" w:after="220" w:line="240" w:lineRule="auto"/>
        <w:ind w:left="0" w:right="0"/>
        <w:jc w:val="left"/>
      </w:pPr>
      <w:r>
        <w:rPr>
          <w:rFonts w:ascii="Calibri" w:hAnsi="Calibri" w:eastAsia="Calibri" w:cs="Calibri"/>
          <w:color w:val="000000"/>
          <w:sz w:val="22"/>
          <w:szCs w:val="22"/>
        </w:rPr>
        <w:t xml:space="preserve">Van den Berg MA, Fletcher CD (1988) A bibliography of the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up to 1987.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47-61.</w:t>
      </w:r>
    </w:p>
    <w:p>
      <w:pPr>
        <w:widowControl w:val="on"/>
        <w:pBdr/>
        <w:spacing w:before="220" w:after="220" w:line="240" w:lineRule="auto"/>
        <w:ind w:left="0" w:right="0"/>
        <w:jc w:val="left"/>
      </w:pPr>
      <w:r>
        <w:rPr>
          <w:rFonts w:ascii="Calibri" w:hAnsi="Calibri" w:eastAsia="Calibri" w:cs="Calibri"/>
          <w:color w:val="000000"/>
          <w:sz w:val="22"/>
          <w:szCs w:val="22"/>
        </w:rPr>
        <w:t xml:space="preserve">Van den Berg MA, Deacon VE, Fourie CJ, Anderson SH (1987) Predators of the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the Lowveld and Rustenburg areas of Transvaal.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285-289.</w:t>
      </w:r>
    </w:p>
    <w:p>
      <w:pPr>
        <w:widowControl w:val="on"/>
        <w:pBdr/>
        <w:spacing w:before="220" w:after="220" w:line="240" w:lineRule="auto"/>
        <w:ind w:left="0" w:right="0"/>
        <w:jc w:val="left"/>
      </w:pPr>
      <w:r>
        <w:rPr>
          <w:rFonts w:ascii="Calibri" w:hAnsi="Calibri" w:eastAsia="Calibri" w:cs="Calibri"/>
          <w:color w:val="000000"/>
          <w:sz w:val="22"/>
          <w:szCs w:val="22"/>
        </w:rPr>
        <w:t xml:space="preserve">Van den Berg MA, Deacon VE, Jager K de (1990) Ecology of the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1. Daily activities and habits of adults. 2. Egg hatching and moulting.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323-328, 329-333.</w:t>
      </w:r>
    </w:p>
    <w:p>
      <w:pPr>
        <w:widowControl w:val="on"/>
        <w:pBdr/>
        <w:spacing w:before="220" w:after="220" w:line="240" w:lineRule="auto"/>
        <w:ind w:left="0" w:right="0"/>
        <w:jc w:val="left"/>
      </w:pPr>
      <w:r>
        <w:rPr>
          <w:rFonts w:ascii="Calibri" w:hAnsi="Calibri" w:eastAsia="Calibri" w:cs="Calibri"/>
          <w:color w:val="000000"/>
          <w:sz w:val="22"/>
          <w:szCs w:val="22"/>
        </w:rPr>
        <w:t xml:space="preserve">Van den Berg MA, Deacon VE, Thomas CD (1991a) Ecology of the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3. Mating, fertility and oviposition.</w:t>
      </w:r>
      <w:r>
        <w:rPr>
          <w:rFonts w:ascii="Calibri" w:hAnsi="Calibri" w:eastAsia="Calibri" w:cs="Calibri"/>
          <w:i/>
          <w:iCs/>
          <w:color w:val="000000"/>
          <w:sz w:val="22"/>
          <w:szCs w:val="22"/>
        </w:rPr>
        <w:t xml:space="preserve"> 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195-200.</w:t>
      </w:r>
    </w:p>
    <w:p>
      <w:pPr>
        <w:widowControl w:val="on"/>
        <w:pBdr/>
        <w:spacing w:before="220" w:after="220" w:line="240" w:lineRule="auto"/>
        <w:ind w:left="0" w:right="0"/>
        <w:jc w:val="left"/>
      </w:pPr>
      <w:r>
        <w:rPr>
          <w:rFonts w:ascii="Calibri" w:hAnsi="Calibri" w:eastAsia="Calibri" w:cs="Calibri"/>
          <w:color w:val="000000"/>
          <w:sz w:val="22"/>
          <w:szCs w:val="22"/>
        </w:rPr>
        <w:t xml:space="preserve">Van den Berg MA, Deacon VE, Steenekamp PJ (1991b) Dispersal within and between citrus orchards and native hosts, and nymphal mortality of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Agriculture, Ecosystems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297-309.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Alejandro Tena from Instituto Valenciano de Investigaciones Agrarias (IVIA), Moncada, Valencia, Spain.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EPPO datasheets on pests recommended for regulation. Available online. </w:t>
      </w:r>
      <w:hyperlink r:id="rId89256a95f8393236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(1988) Data sheets on quarantine organisms No. 151, Citrus greening bacterium and its vectors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&amp;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 </w:t>
      </w:r>
      <w:r>
        <w:rPr>
          <w:rFonts w:ascii="Calibri" w:hAnsi="Calibri" w:eastAsia="Calibri" w:cs="Calibri"/>
          <w:color w:val="000000"/>
          <w:sz w:val="22"/>
          <w:szCs w:val="22"/>
        </w:rPr>
        <w:t xml:space="preserve">18, 497-507.</w:t>
      </w:r>
    </w:p>
    <w:p>
      <w:r>
        <w:drawing>
          <wp:inline distT="0" distB="0" distL="0" distR="0">
            <wp:extent cx="1800000" cy="604800"/>
            <wp:docPr id="32142228" name="name58626a95f8393254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3676a95f8393254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502122">
    <w:multiLevelType w:val="hybridMultilevel"/>
    <w:lvl w:ilvl="0" w:tplc="64874230">
      <w:start w:val="1"/>
      <w:numFmt w:val="decimal"/>
      <w:lvlText w:val="%1."/>
      <w:lvlJc w:val="left"/>
      <w:pPr>
        <w:ind w:left="720" w:hanging="360"/>
      </w:pPr>
    </w:lvl>
    <w:lvl w:ilvl="1" w:tplc="64874230" w:tentative="1">
      <w:start w:val="1"/>
      <w:numFmt w:val="lowerLetter"/>
      <w:lvlText w:val="%2."/>
      <w:lvlJc w:val="left"/>
      <w:pPr>
        <w:ind w:left="1440" w:hanging="360"/>
      </w:pPr>
    </w:lvl>
    <w:lvl w:ilvl="2" w:tplc="64874230" w:tentative="1">
      <w:start w:val="1"/>
      <w:numFmt w:val="lowerRoman"/>
      <w:lvlText w:val="%3."/>
      <w:lvlJc w:val="right"/>
      <w:pPr>
        <w:ind w:left="2160" w:hanging="180"/>
      </w:pPr>
    </w:lvl>
    <w:lvl w:ilvl="3" w:tplc="64874230" w:tentative="1">
      <w:start w:val="1"/>
      <w:numFmt w:val="decimal"/>
      <w:lvlText w:val="%4."/>
      <w:lvlJc w:val="left"/>
      <w:pPr>
        <w:ind w:left="2880" w:hanging="360"/>
      </w:pPr>
    </w:lvl>
    <w:lvl w:ilvl="4" w:tplc="64874230" w:tentative="1">
      <w:start w:val="1"/>
      <w:numFmt w:val="lowerLetter"/>
      <w:lvlText w:val="%5."/>
      <w:lvlJc w:val="left"/>
      <w:pPr>
        <w:ind w:left="3600" w:hanging="360"/>
      </w:pPr>
    </w:lvl>
    <w:lvl w:ilvl="5" w:tplc="64874230" w:tentative="1">
      <w:start w:val="1"/>
      <w:numFmt w:val="lowerRoman"/>
      <w:lvlText w:val="%6."/>
      <w:lvlJc w:val="right"/>
      <w:pPr>
        <w:ind w:left="4320" w:hanging="180"/>
      </w:pPr>
    </w:lvl>
    <w:lvl w:ilvl="6" w:tplc="64874230" w:tentative="1">
      <w:start w:val="1"/>
      <w:numFmt w:val="decimal"/>
      <w:lvlText w:val="%7."/>
      <w:lvlJc w:val="left"/>
      <w:pPr>
        <w:ind w:left="5040" w:hanging="360"/>
      </w:pPr>
    </w:lvl>
    <w:lvl w:ilvl="7" w:tplc="64874230" w:tentative="1">
      <w:start w:val="1"/>
      <w:numFmt w:val="lowerLetter"/>
      <w:lvlText w:val="%8."/>
      <w:lvlJc w:val="left"/>
      <w:pPr>
        <w:ind w:left="5760" w:hanging="360"/>
      </w:pPr>
    </w:lvl>
    <w:lvl w:ilvl="8" w:tplc="64874230" w:tentative="1">
      <w:start w:val="1"/>
      <w:numFmt w:val="lowerRoman"/>
      <w:lvlText w:val="%9."/>
      <w:lvlJc w:val="right"/>
      <w:pPr>
        <w:ind w:left="6480" w:hanging="180"/>
      </w:pPr>
    </w:lvl>
  </w:abstractNum>
  <w:abstractNum w:abstractNumId="56502121">
    <w:multiLevelType w:val="hybridMultilevel"/>
    <w:lvl w:ilvl="0" w:tplc="700802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502121">
    <w:abstractNumId w:val="56502121"/>
  </w:num>
  <w:num w:numId="56502122">
    <w:abstractNumId w:val="5650212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8279576" Type="http://schemas.microsoft.com/office/2011/relationships/commentsExtended" Target="commentsExtended.xml"/><Relationship Id="rId742183537" Type="http://schemas.microsoft.com/office/2011/relationships/people" Target="people.xml"/><Relationship Id="rId71816a95f8392eeff" Type="http://schemas.openxmlformats.org/officeDocument/2006/relationships/hyperlink" Target="https://gd.eppo.int/taxon/TRIZER/" TargetMode="External"/><Relationship Id="rId14786a95f8392ef6a" Type="http://schemas.openxmlformats.org/officeDocument/2006/relationships/hyperlink" Target="https://gd.eppo.int/taxon/TRIZER/categorization" TargetMode="External"/><Relationship Id="rId92806a95f8392f895" Type="http://schemas.openxmlformats.org/officeDocument/2006/relationships/hyperlink" Target="https://gd.eppo.int/taxon/TRIZER/photos" TargetMode="External"/><Relationship Id="rId71466a95f8393172a" Type="http://schemas.openxmlformats.org/officeDocument/2006/relationships/hyperlink" Target="https://doi.org/10.1038/s41598-020-60712-0" TargetMode="External"/><Relationship Id="rId20406a95f839317c0" Type="http://schemas.openxmlformats.org/officeDocument/2006/relationships/hyperlink" Target="https://doi.org/10.1038/s41598-020-65880-7" TargetMode="External"/><Relationship Id="rId66896a95f8393194a" Type="http://schemas.openxmlformats.org/officeDocument/2006/relationships/hyperlink" Target="https://doi.org/doi:10.2903/sp.efsa.2019.EN-1574" TargetMode="External"/><Relationship Id="rId75326a95f83931e93" Type="http://schemas.openxmlformats.org/officeDocument/2006/relationships/hyperlink" Target="https://doi.org/10.1111/jen.12771" TargetMode="External"/><Relationship Id="rId89256a95f8393236f" Type="http://schemas.openxmlformats.org/officeDocument/2006/relationships/hyperlink" Target="https://gd.eppo.int" TargetMode="External"/><Relationship Id="rId75616a95f8392f794" Type="http://schemas.openxmlformats.org/officeDocument/2006/relationships/image" Target="media/imgrId75616a95f8392f794.jpg"/><Relationship Id="rId99476a95f83930a0b" Type="http://schemas.openxmlformats.org/officeDocument/2006/relationships/image" Target="media/imgrId99476a95f83930a0b.jpg"/><Relationship Id="rId63676a95f8393254a" Type="http://schemas.openxmlformats.org/officeDocument/2006/relationships/image" Target="media/imgrId63676a95f8393254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