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Aphis citricidus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Aphis citricidus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(Kirkaldy)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Aphididae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Aphis aeglis</w:t>
            </w:r>
            <w:r>
              <w:rPr>
                <w:rFonts w:ascii="Calibri" w:hAnsi="Calibri" w:eastAsia="Calibri" w:cs="Calibri"/>
                <w:color w:val="000000"/>
                <w:position w:val="-3"/>
                <w:sz w:val="22"/>
                <w:szCs w:val="22"/>
              </w:rPr>
              <w:t xml:space="preserve"> Shinji, </w:t>
            </w:r>
            <w:r>
              <w:rPr>
                <w:rFonts w:ascii="Calibri" w:hAnsi="Calibri" w:eastAsia="Calibri" w:cs="Calibri"/>
                <w:i/>
                <w:iCs/>
                <w:color w:val="000000"/>
                <w:position w:val="-3"/>
                <w:sz w:val="22"/>
                <w:szCs w:val="22"/>
              </w:rPr>
              <w:t xml:space="preserve">Aphis nigricans</w:t>
            </w:r>
            <w:r>
              <w:rPr>
                <w:rFonts w:ascii="Calibri" w:hAnsi="Calibri" w:eastAsia="Calibri" w:cs="Calibri"/>
                <w:color w:val="000000"/>
                <w:position w:val="-3"/>
                <w:sz w:val="22"/>
                <w:szCs w:val="22"/>
              </w:rPr>
              <w:t xml:space="preserve"> van der Goot, </w:t>
            </w:r>
            <w:r>
              <w:rPr>
                <w:rFonts w:ascii="Calibri" w:hAnsi="Calibri" w:eastAsia="Calibri" w:cs="Calibri"/>
                <w:i/>
                <w:iCs/>
                <w:color w:val="000000"/>
                <w:position w:val="-3"/>
                <w:sz w:val="22"/>
                <w:szCs w:val="22"/>
              </w:rPr>
              <w:t xml:space="preserve">Aphis tavaresi</w:t>
            </w:r>
            <w:r>
              <w:rPr>
                <w:rFonts w:ascii="Calibri" w:hAnsi="Calibri" w:eastAsia="Calibri" w:cs="Calibri"/>
                <w:color w:val="000000"/>
                <w:position w:val="-3"/>
                <w:sz w:val="22"/>
                <w:szCs w:val="22"/>
              </w:rPr>
              <w:t xml:space="preserve"> Del Guercio, </w:t>
            </w:r>
            <w:r>
              <w:rPr>
                <w:rFonts w:ascii="Calibri" w:hAnsi="Calibri" w:eastAsia="Calibri" w:cs="Calibri"/>
                <w:i/>
                <w:iCs/>
                <w:color w:val="000000"/>
                <w:position w:val="-3"/>
                <w:sz w:val="22"/>
                <w:szCs w:val="22"/>
              </w:rPr>
              <w:t xml:space="preserve">Myzus citricidus</w:t>
            </w:r>
            <w:r>
              <w:rPr>
                <w:rFonts w:ascii="Calibri" w:hAnsi="Calibri" w:eastAsia="Calibri" w:cs="Calibri"/>
                <w:color w:val="000000"/>
                <w:position w:val="-3"/>
                <w:sz w:val="22"/>
                <w:szCs w:val="22"/>
              </w:rPr>
              <w:t xml:space="preserve"> Kirkaldy, </w:t>
            </w:r>
            <w:r>
              <w:rPr>
                <w:rFonts w:ascii="Calibri" w:hAnsi="Calibri" w:eastAsia="Calibri" w:cs="Calibri"/>
                <w:i/>
                <w:iCs/>
                <w:color w:val="000000"/>
                <w:position w:val="-3"/>
                <w:sz w:val="22"/>
                <w:szCs w:val="22"/>
              </w:rPr>
              <w:t xml:space="preserve">Paratoxoptera argentiniensis</w:t>
            </w:r>
            <w:r>
              <w:rPr>
                <w:rFonts w:ascii="Calibri" w:hAnsi="Calibri" w:eastAsia="Calibri" w:cs="Calibri"/>
                <w:color w:val="000000"/>
                <w:position w:val="-3"/>
                <w:sz w:val="22"/>
                <w:szCs w:val="22"/>
              </w:rPr>
              <w:t xml:space="preserve"> Blanchard, </w:t>
            </w:r>
            <w:r>
              <w:rPr>
                <w:rFonts w:ascii="Calibri" w:hAnsi="Calibri" w:eastAsia="Calibri" w:cs="Calibri"/>
                <w:i/>
                <w:iCs/>
                <w:color w:val="000000"/>
                <w:position w:val="-3"/>
                <w:sz w:val="22"/>
                <w:szCs w:val="22"/>
              </w:rPr>
              <w:t xml:space="preserve">Toxoptera aphoides</w:t>
            </w:r>
            <w:r>
              <w:rPr>
                <w:rFonts w:ascii="Calibri" w:hAnsi="Calibri" w:eastAsia="Calibri" w:cs="Calibri"/>
                <w:color w:val="000000"/>
                <w:position w:val="-3"/>
                <w:sz w:val="22"/>
                <w:szCs w:val="22"/>
              </w:rPr>
              <w:t xml:space="preserve"> van der Goot, </w:t>
            </w:r>
            <w:r>
              <w:rPr>
                <w:rFonts w:ascii="Calibri" w:hAnsi="Calibri" w:eastAsia="Calibri" w:cs="Calibri"/>
                <w:i/>
                <w:iCs/>
                <w:color w:val="000000"/>
                <w:position w:val="-3"/>
                <w:sz w:val="22"/>
                <w:szCs w:val="22"/>
              </w:rPr>
              <w:t xml:space="preserve">Toxoptera citricida</w:t>
            </w:r>
            <w:r>
              <w:rPr>
                <w:rFonts w:ascii="Calibri" w:hAnsi="Calibri" w:eastAsia="Calibri" w:cs="Calibri"/>
                <w:color w:val="000000"/>
                <w:position w:val="-3"/>
                <w:sz w:val="22"/>
                <w:szCs w:val="22"/>
              </w:rPr>
              <w:t xml:space="preserve"> (Kirkaldy), </w:t>
            </w:r>
            <w:r>
              <w:rPr>
                <w:rFonts w:ascii="Calibri" w:hAnsi="Calibri" w:eastAsia="Calibri" w:cs="Calibri"/>
                <w:i/>
                <w:iCs/>
                <w:color w:val="000000"/>
                <w:position w:val="-3"/>
                <w:sz w:val="22"/>
                <w:szCs w:val="22"/>
              </w:rPr>
              <w:t xml:space="preserve">Toxoptera citricidus</w:t>
            </w:r>
            <w:r>
              <w:rPr>
                <w:rFonts w:ascii="Calibri" w:hAnsi="Calibri" w:eastAsia="Calibri" w:cs="Calibri"/>
                <w:color w:val="000000"/>
                <w:position w:val="-3"/>
                <w:sz w:val="22"/>
                <w:szCs w:val="22"/>
              </w:rPr>
              <w:t xml:space="preserve"> (Kirkaldy), </w:t>
            </w:r>
            <w:r>
              <w:rPr>
                <w:rFonts w:ascii="Calibri" w:hAnsi="Calibri" w:eastAsia="Calibri" w:cs="Calibri"/>
                <w:i/>
                <w:iCs/>
                <w:color w:val="000000"/>
                <w:position w:val="-3"/>
                <w:sz w:val="22"/>
                <w:szCs w:val="22"/>
              </w:rPr>
              <w:t xml:space="preserve">Toxoptera tavaresi</w:t>
            </w:r>
            <w:r>
              <w:rPr>
                <w:rFonts w:ascii="Calibri" w:hAnsi="Calibri" w:eastAsia="Calibri" w:cs="Calibri"/>
                <w:color w:val="000000"/>
                <w:position w:val="-3"/>
                <w:sz w:val="22"/>
                <w:szCs w:val="22"/>
              </w:rPr>
              <w:t xml:space="preserve"> (Del Guercio)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brown citrus aphid, oriental black citrus aphid, tropical citrus aphid</w:t>
            </w:r>
            <w:hyperlink r:id="rId377069c01e64c37c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614169c01e64c381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TOXOCI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1050932" name="name615669c01e64c3db5" descr="16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7.jpg"/>
                          <pic:cNvPicPr/>
                        </pic:nvPicPr>
                        <pic:blipFill>
                          <a:blip r:embed="rId365569c01e64c3db4" cstate="print"/>
                          <a:stretch>
                            <a:fillRect/>
                          </a:stretch>
                        </pic:blipFill>
                        <pic:spPr>
                          <a:xfrm>
                            <a:off x="0" y="0"/>
                            <a:ext cx="2160000" cy="1281600"/>
                          </a:xfrm>
                          <a:prstGeom prst="rect">
                            <a:avLst/>
                          </a:prstGeom>
                          <a:ln w="0">
                            <a:noFill/>
                          </a:ln>
                        </pic:spPr>
                      </pic:pic>
                    </a:graphicData>
                  </a:graphic>
                </wp:inline>
              </w:drawing>
            </w:r>
            <w:hyperlink r:id="rId945369c01e64c3e6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Aphis citricidus</w:t>
      </w:r>
      <w:r>
        <w:rPr>
          <w:rFonts w:ascii="Calibri" w:hAnsi="Calibri" w:eastAsia="Calibri" w:cs="Calibri"/>
          <w:color w:val="000000"/>
          <w:sz w:val="22"/>
          <w:szCs w:val="22"/>
        </w:rPr>
        <w:t xml:space="preserve"> was described as </w:t>
      </w:r>
      <w:r>
        <w:rPr>
          <w:rFonts w:ascii="Calibri" w:hAnsi="Calibri" w:eastAsia="Calibri" w:cs="Calibri"/>
          <w:i/>
          <w:iCs/>
          <w:color w:val="000000"/>
          <w:sz w:val="22"/>
          <w:szCs w:val="22"/>
        </w:rPr>
        <w:t xml:space="preserve">Myzus citricidus</w:t>
      </w:r>
      <w:r>
        <w:rPr>
          <w:rFonts w:ascii="Calibri" w:hAnsi="Calibri" w:eastAsia="Calibri" w:cs="Calibri"/>
          <w:color w:val="000000"/>
          <w:sz w:val="22"/>
          <w:szCs w:val="22"/>
        </w:rPr>
        <w:t xml:space="preserve"> because of its resemblance to </w:t>
      </w:r>
      <w:r>
        <w:rPr>
          <w:rFonts w:ascii="Calibri" w:hAnsi="Calibri" w:eastAsia="Calibri" w:cs="Calibri"/>
          <w:i/>
          <w:iCs/>
          <w:color w:val="000000"/>
          <w:sz w:val="22"/>
          <w:szCs w:val="22"/>
        </w:rPr>
        <w:t xml:space="preserve">Myzus cerasi</w:t>
      </w:r>
      <w:r>
        <w:rPr>
          <w:rFonts w:ascii="Calibri" w:hAnsi="Calibri" w:eastAsia="Calibri" w:cs="Calibri"/>
          <w:color w:val="000000"/>
          <w:sz w:val="22"/>
          <w:szCs w:val="22"/>
        </w:rPr>
        <w:t xml:space="preserve"> according to its author (Kirkaldy, 1907). A few years later it was transferred to the genus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and later to the genus </w:t>
      </w:r>
      <w:r>
        <w:rPr>
          <w:rFonts w:ascii="Calibri" w:hAnsi="Calibri" w:eastAsia="Calibri" w:cs="Calibri"/>
          <w:i/>
          <w:iCs/>
          <w:color w:val="000000"/>
          <w:sz w:val="22"/>
          <w:szCs w:val="22"/>
        </w:rPr>
        <w:t xml:space="preserve">Toxoptera</w:t>
      </w:r>
      <w:r>
        <w:rPr>
          <w:rFonts w:ascii="Calibri" w:hAnsi="Calibri" w:eastAsia="Calibri" w:cs="Calibri"/>
          <w:color w:val="000000"/>
          <w:sz w:val="22"/>
          <w:szCs w:val="22"/>
        </w:rPr>
        <w:t xml:space="preserve">. It has now been returned to the genus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because </w:t>
      </w:r>
      <w:r>
        <w:rPr>
          <w:rFonts w:ascii="Calibri" w:hAnsi="Calibri" w:eastAsia="Calibri" w:cs="Calibri"/>
          <w:i/>
          <w:iCs/>
          <w:color w:val="000000"/>
          <w:sz w:val="22"/>
          <w:szCs w:val="22"/>
        </w:rPr>
        <w:t xml:space="preserve">Toxoptera</w:t>
      </w:r>
      <w:r>
        <w:rPr>
          <w:rFonts w:ascii="Calibri" w:hAnsi="Calibri" w:eastAsia="Calibri" w:cs="Calibri"/>
          <w:color w:val="000000"/>
          <w:sz w:val="22"/>
          <w:szCs w:val="22"/>
        </w:rPr>
        <w:t xml:space="preserve"> was synonymized with </w:t>
      </w:r>
      <w:r>
        <w:rPr>
          <w:rFonts w:ascii="Calibri" w:hAnsi="Calibri" w:eastAsia="Calibri" w:cs="Calibri"/>
          <w:i/>
          <w:iCs/>
          <w:color w:val="000000"/>
          <w:sz w:val="22"/>
          <w:szCs w:val="22"/>
        </w:rPr>
        <w:t xml:space="preserve">Aphis </w:t>
      </w:r>
      <w:r>
        <w:rPr>
          <w:rFonts w:ascii="Calibri" w:hAnsi="Calibri" w:eastAsia="Calibri" w:cs="Calibri"/>
          <w:color w:val="000000"/>
          <w:sz w:val="22"/>
          <w:szCs w:val="22"/>
        </w:rPr>
        <w:t xml:space="preserve">by Lagos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as a result of the study of 41 morphological characteristics and the sequences of COI and EF1-</w:t>
      </w:r>
      <w:r>
        <w:rPr>
          <w:rFonts w:ascii="Calibri" w:hAnsi="Calibri" w:eastAsia="Calibri" w:cs="Calibri"/>
          <w:i/>
          <w:iCs/>
          <w:color w:val="000000"/>
          <w:sz w:val="22"/>
          <w:szCs w:val="22"/>
        </w:rPr>
        <w:t xml:space="preserve">α</w:t>
      </w:r>
      <w:r>
        <w:rPr>
          <w:rFonts w:ascii="Calibri" w:hAnsi="Calibri" w:eastAsia="Calibri" w:cs="Calibri"/>
          <w:color w:val="000000"/>
          <w:sz w:val="22"/>
          <w:szCs w:val="22"/>
        </w:rPr>
        <w:t xml:space="preserve"> of 68 species of the subtribe Aphidina. Nieto Nafría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established that </w:t>
      </w:r>
      <w:r>
        <w:rPr>
          <w:rFonts w:ascii="Calibri" w:hAnsi="Calibri" w:eastAsia="Calibri" w:cs="Calibri"/>
          <w:i/>
          <w:iCs/>
          <w:color w:val="000000"/>
          <w:sz w:val="22"/>
          <w:szCs w:val="22"/>
        </w:rPr>
        <w:t xml:space="preserve">citricidus</w:t>
      </w:r>
      <w:r>
        <w:rPr>
          <w:rFonts w:ascii="Calibri" w:hAnsi="Calibri" w:eastAsia="Calibri" w:cs="Calibri"/>
          <w:color w:val="000000"/>
          <w:sz w:val="22"/>
          <w:szCs w:val="22"/>
        </w:rPr>
        <w:t xml:space="preserve"> is the correct specific epithet for the species, instead of </w:t>
      </w:r>
      <w:r>
        <w:rPr>
          <w:rFonts w:ascii="Calibri" w:hAnsi="Calibri" w:eastAsia="Calibri" w:cs="Calibri"/>
          <w:i/>
          <w:iCs/>
          <w:color w:val="000000"/>
          <w:sz w:val="22"/>
          <w:szCs w:val="22"/>
        </w:rPr>
        <w:t xml:space="preserve">citricida</w:t>
      </w:r>
      <w:r>
        <w:rPr>
          <w:rFonts w:ascii="Calibri" w:hAnsi="Calibri" w:eastAsia="Calibri" w:cs="Calibri"/>
          <w:color w:val="000000"/>
          <w:sz w:val="22"/>
          <w:szCs w:val="22"/>
        </w:rPr>
        <w:t xml:space="preserve">, which was frequently used. For much of the 20</w:t>
      </w:r>
      <w:r>
        <w:rPr>
          <w:rFonts w:ascii="Calibri" w:hAnsi="Calibri" w:eastAsia="Calibri" w:cs="Calibri"/>
          <w:color w:val="000000"/>
          <w:position w:val="4"/>
          <w:sz w:val="22"/>
          <w:szCs w:val="22"/>
          <w:vertAlign w:val="superscript"/>
        </w:rPr>
        <w:t xml:space="preserve">th </w:t>
      </w:r>
      <w:r>
        <w:rPr>
          <w:rFonts w:ascii="Calibri" w:hAnsi="Calibri" w:eastAsia="Calibri" w:cs="Calibri"/>
          <w:color w:val="000000"/>
          <w:sz w:val="22"/>
          <w:szCs w:val="22"/>
        </w:rPr>
        <w:t xml:space="preserve">century,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has often been confused with </w:t>
      </w:r>
      <w:r>
        <w:rPr>
          <w:rFonts w:ascii="Calibri" w:hAnsi="Calibri" w:eastAsia="Calibri" w:cs="Calibri"/>
          <w:i/>
          <w:iCs/>
          <w:color w:val="000000"/>
          <w:sz w:val="22"/>
          <w:szCs w:val="22"/>
        </w:rPr>
        <w:t xml:space="preserve">A. aurantii </w:t>
      </w:r>
      <w:r>
        <w:rPr>
          <w:rFonts w:ascii="Calibri" w:hAnsi="Calibri" w:eastAsia="Calibri" w:cs="Calibri"/>
          <w:color w:val="000000"/>
          <w:sz w:val="22"/>
          <w:szCs w:val="22"/>
        </w:rPr>
        <w:t xml:space="preserve">Boyer de Fonscolombe, the black citrus aphid, several records of the latter applying to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Aphis citricidus</w:t>
      </w:r>
      <w:r>
        <w:rPr>
          <w:rFonts w:ascii="Calibri" w:hAnsi="Calibri" w:eastAsia="Calibri" w:cs="Calibri"/>
          <w:color w:val="000000"/>
          <w:sz w:val="22"/>
          <w:szCs w:val="22"/>
        </w:rPr>
        <w:t xml:space="preserve"> preferentially feeds on</w:t>
      </w:r>
      <w:r>
        <w:rPr>
          <w:rFonts w:ascii="Calibri" w:hAnsi="Calibri" w:eastAsia="Calibri" w:cs="Calibri"/>
          <w:i/>
          <w:iCs/>
          <w:color w:val="000000"/>
          <w:sz w:val="22"/>
          <w:szCs w:val="22"/>
        </w:rPr>
        <w:t xml:space="preserve"> Citrus</w:t>
      </w:r>
      <w:r>
        <w:rPr>
          <w:rFonts w:ascii="Calibri" w:hAnsi="Calibri" w:eastAsia="Calibri" w:cs="Calibri"/>
          <w:color w:val="000000"/>
          <w:sz w:val="22"/>
          <w:szCs w:val="22"/>
        </w:rPr>
        <w:t xml:space="preserve"> species (Rutaceae) and also on other Rutaceae; Blackman &amp; Eastop (2021) specifically list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sinensis.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catalogued as a polyphagous aphid, with a preference for the Rutaceae, although it may be limited to colonizing young growth of plants of other families, on which it can establish dense colonies. Blackman &amp; Eastop (2021). In Northern Spain,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occasionally found high populations levels of the aphid on </w:t>
      </w:r>
      <w:r>
        <w:rPr>
          <w:rFonts w:ascii="Calibri" w:hAnsi="Calibri" w:eastAsia="Calibri" w:cs="Calibri"/>
          <w:i/>
          <w:iCs/>
          <w:color w:val="000000"/>
          <w:sz w:val="22"/>
          <w:szCs w:val="22"/>
        </w:rPr>
        <w:t xml:space="preserve">Chaenomeles speciosa</w:t>
      </w:r>
      <w:r>
        <w:rPr>
          <w:rFonts w:ascii="Calibri" w:hAnsi="Calibri" w:eastAsia="Calibri" w:cs="Calibri"/>
          <w:color w:val="000000"/>
          <w:sz w:val="22"/>
          <w:szCs w:val="22"/>
        </w:rPr>
        <w:t xml:space="preserve"> (Rosaceae) which is cultivated as an ornamental. Michaud (1998) listed 28 plant families (including Rutaceae) on which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has been observed.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Artabotrys hexapetalus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Bombax ceiba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Bridelia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lagenaria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absus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karna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Cleistanthus monoicus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Clutia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Commiphora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rotundata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Engelhardia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ingens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Flindersia xanthoxyla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Geijera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Gonostegia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staphylina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Lasianthus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Litsea monopetala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Maesa chisia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pes-caprae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Samanea saman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Schima wallichii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aligerum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Tetradium daniellii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khasianum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Trema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foetidum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Xylosma congesta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armatum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fagara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thought to originate from South-East Asia (Michaud, 1998) and occurs predominantly in humid tropical regions.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presented the history of the dispersal of the species from Asia to many other parts of the world with citrus plants. It is widespread in Africa south of the Sahara, and also present in Australia, New Zealand, and the Pacific Islands. It has also spread to citrus-growing areas in Central America, the Caribbean and Southern USA (Halbert, 1996). In the early 2000s, it was first found in Mediterranean Basin, in Northern Portugal and Northern Spain.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thrives in moist warm climates and seems able to tolerate colder conditions than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for example occurring at higher altitudes, but it is not found in regions with long hot dry seasons (Blackman &amp; Eastop, 2021). It is known to occur in territories with a Mediterranean climate (in Europe, North America, South America, Africa and Australia) and even in territories with a Euro-Atlantic climate with mild winters, such as Northern Portugal, Galicia and the northern slopes of the Cantabrian Mountains in Spain (Ilharco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r>
        <w:drawing>
          <wp:inline distT="0" distB="0" distL="0" distR="0">
            <wp:extent cx="6120000" cy="3067200"/>
            <wp:docPr id="66115361" name="name403969c01e64c5573" descr="TOXO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XOCI_distribution_map.jpg"/>
                    <pic:cNvPicPr/>
                  </pic:nvPicPr>
                  <pic:blipFill>
                    <a:blip r:embed="rId321869c01e64c557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Madeira),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Burundi, Cameroon, Central African Republic, Congo, Congo, The Democratic Republic of the, Cote d'Ivoire, Eswatini, Ethiopia, Ghana, Guinea, Kenya, Malawi, Mauritius, Mozambique, Nigeria, Reunion, Rwanda, Saint Helena, Senegal, Seychelles, Sierra Leone, Somalia, South Africa,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Cambodia, China (Chongqing, Fujian, Guangdong, Guangxi, Guizhou, Hainan, Jiangsu, Shaanxi, Shandong, Sichuan, Xianggang (Hong Kong), Yunnan, Zhejiang), India (Arunachal Pradesh, Assam, Delhi, Karnataka, Maharashtra, Manipur, Meghalaya, Odisha, Punjab, Sikkim, Tamil Nadu, Uttar Pradesh, West Bengal), Indonesia (Irian Jaya, Java, Sulawesi, Sumatra), Japan (Honshu, Kyushu, Ryukyu Archipelago, Shikoku), Korea, Democratic People's Republic of, Korea, Republic of, Lao People's Democratic Republic, Malaysia (Sabah, Sarawak, West), Myanmar, Nepal,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Aruba, Belize, Bermuda, Cayman Islands, Costa Rica, Cuba, Dominica, Dominican Republic, Grenada, Guadeloupe, Guatemala, Haiti, Honduras, Jamaica, Martinique, Netherlands Antilles, Nicaragua,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(Amapa, Bahia, Ceara, Espirito Santo, Goias, Maranhao, Mato Grosso do Sul, Minas Gerais, Para, Parana, Pernambuco, Rio de Janeiro, Rio Grande do Sul, Santa Catarina, Sao Paulo), Colombia, Ecuador (Galapagos),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Cook Islands, Fiji, French Polynesia, New Zealand, Papua New Guinea, Samoa, Solomon Islands, Tonga,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Aphis citricidus </w:t>
      </w:r>
      <w:r>
        <w:rPr>
          <w:rFonts w:ascii="Calibri" w:hAnsi="Calibri" w:eastAsia="Calibri" w:cs="Calibri"/>
          <w:color w:val="000000"/>
          <w:sz w:val="22"/>
          <w:szCs w:val="22"/>
        </w:rPr>
        <w:t xml:space="preserve">is an anholocyclic aphid (i.e. its annual life cycle is completed without sexual generation) everywhere except in Japan (Komazaki, 1988). Generations of parthenogenetic and viviparous females follow one another continuously and, as in almost all aphids, the birth of the first daughter of a female occurs shortly after the end of the imaginal molt, and successive births occur very rapidly.</w:t>
      </w:r>
    </w:p>
    <w:p>
      <w:pPr>
        <w:widowControl w:val="on"/>
        <w:pBdr/>
        <w:spacing w:before="220" w:after="220" w:line="240" w:lineRule="auto"/>
        <w:ind w:left="0" w:right="0"/>
        <w:jc w:val="both"/>
      </w:pPr>
      <w:r>
        <w:rPr>
          <w:rFonts w:ascii="Calibri" w:hAnsi="Calibri" w:eastAsia="Calibri" w:cs="Calibri"/>
          <w:color w:val="000000"/>
          <w:sz w:val="22"/>
          <w:szCs w:val="22"/>
        </w:rPr>
        <w:t xml:space="preserve">Galatoire (1983), Takahashi (1989), Michaud, (1998) and Shang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among others, report details on life cycle, population dynamics and flight dispersal. In Northern Spain,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report that the populations of the species were maintained parthenogenetically with production of alate viviparous females throughout the study period (June 2002 to October 2007). They concluded from the trapped alata that each year there was a long minimum period of flight in winter and another short minimum period in midsummer, and one or two maxima in the passage from spring to summer and another maximum in autumn.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considered to be the most efficient vector of citrus tristeza virus (CTV), a phloem-limited closterovirus. In particular, it can transmit the most aggressive strains of CTV causing quick decline and stem-pitting (Hermoso de Mendoza</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(2008). CTV is transmitted by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a semi-persistent mode.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Growth of citrus shoots is greatly impaired, and they become distorted; leaves become brittle and wrinkled and curl downwards. Attacked flowers fail to open or do so abortively since the ovaries are deformed.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Apterae are 1.5–2.4 mm long, very dark shiny brown to shiny black and with antennas partially dark (proximal and distal segments) and light (intermediate segments). According to Blackman &amp; Eastop (2021), the best characters to differentiate the apterous viviparous females of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from those of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are: longest seta on antennal segment III 29–64 µm in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versus 12–27 in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longest seta on hind tibia 80 µm at least in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versus 60 µm at most in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Alatae have a shiny black abdomen, with a wholly black third antennal segment succeeded by a pale fourth segment (which carry respectively 6 to 20 and sometimes 1 to 4 secondary sensoria), front wing pterostigma is brown but paler than the distal part of femora and median vein of front wing is twice-branched. In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the pterostigma is as dark brown to black as the femora, and the median vein is one-branched.</w:t>
      </w:r>
    </w:p>
    <w:p>
      <w:pPr>
        <w:widowControl w:val="on"/>
        <w:pBdr/>
        <w:spacing w:before="220" w:after="220" w:line="240" w:lineRule="auto"/>
        <w:ind w:left="0" w:right="0"/>
        <w:jc w:val="both"/>
      </w:pPr>
      <w:r>
        <w:rPr>
          <w:rFonts w:ascii="Calibri" w:hAnsi="Calibri" w:eastAsia="Calibri" w:cs="Calibri"/>
          <w:color w:val="000000"/>
          <w:sz w:val="22"/>
          <w:szCs w:val="22"/>
        </w:rPr>
        <w:t xml:space="preserve">Both morphs have long (about 1/6 body length), truncated-conical and strongly sculptured siphunculi, and thick and bluntly rounded at the apex cauda, with very long setae.</w:t>
      </w:r>
    </w:p>
    <w:p>
      <w:pPr>
        <w:widowControl w:val="on"/>
        <w:pBdr/>
        <w:spacing w:before="220" w:after="220" w:line="240" w:lineRule="auto"/>
        <w:ind w:left="0" w:right="0"/>
        <w:jc w:val="both"/>
      </w:pPr>
      <w:r>
        <w:rPr>
          <w:rFonts w:ascii="Calibri" w:hAnsi="Calibri" w:eastAsia="Calibri" w:cs="Calibri"/>
          <w:color w:val="000000"/>
          <w:sz w:val="22"/>
          <w:szCs w:val="22"/>
        </w:rPr>
        <w:t xml:space="preserve">A useful character to distinguish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citricidus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is that disturbed colonies of the latter produce a distinct scraping sound, audible from up to 45 cm from the leaf, whereas those of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citricidus </w:t>
      </w:r>
      <w:r>
        <w:rPr>
          <w:rFonts w:ascii="Calibri" w:hAnsi="Calibri" w:eastAsia="Calibri" w:cs="Calibri"/>
          <w:color w:val="000000"/>
          <w:sz w:val="22"/>
          <w:szCs w:val="22"/>
        </w:rPr>
        <w:t xml:space="preserve">do not. In addition, specimens of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citricidus </w:t>
      </w:r>
      <w:r>
        <w:rPr>
          <w:rFonts w:ascii="Calibri" w:hAnsi="Calibri" w:eastAsia="Calibri" w:cs="Calibri"/>
          <w:color w:val="000000"/>
          <w:sz w:val="22"/>
          <w:szCs w:val="22"/>
        </w:rPr>
        <w:t xml:space="preserve">in a small volume of alcohol turns the liquid deep red gradually, whereas specimens of other species of subgenus </w:t>
      </w:r>
      <w:r>
        <w:rPr>
          <w:rFonts w:ascii="Calibri" w:hAnsi="Calibri" w:eastAsia="Calibri" w:cs="Calibri"/>
          <w:i/>
          <w:iCs/>
          <w:color w:val="000000"/>
          <w:sz w:val="22"/>
          <w:szCs w:val="22"/>
        </w:rPr>
        <w:t xml:space="preserve">Toxoptera</w:t>
      </w:r>
      <w:r>
        <w:rPr>
          <w:rFonts w:ascii="Calibri" w:hAnsi="Calibri" w:eastAsia="Calibri" w:cs="Calibri"/>
          <w:color w:val="000000"/>
          <w:sz w:val="22"/>
          <w:szCs w:val="22"/>
        </w:rPr>
        <w:t xml:space="preserve"> do not.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citricidus </w:t>
      </w:r>
      <w:r>
        <w:rPr>
          <w:rFonts w:ascii="Calibri" w:hAnsi="Calibri" w:eastAsia="Calibri" w:cs="Calibri"/>
          <w:color w:val="000000"/>
          <w:sz w:val="22"/>
          <w:szCs w:val="22"/>
        </w:rPr>
        <w:t xml:space="preserve">occurs or may occur, citrus groves should be meticulously inspected when leaf and flower buds emerge and grow.</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yellow water traps (a yellow basin filled at 2/3 of its capacity with water and a few drops of a surfactant product) are very useful to detect alate viviparous females at the beginning of the vegetative development season of the crops. Many aphids can fall in them, but the identification of alata of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citricidus</w:t>
      </w:r>
      <w:r>
        <w:rPr>
          <w:rFonts w:ascii="Calibri" w:hAnsi="Calibri" w:eastAsia="Calibri" w:cs="Calibri"/>
          <w:color w:val="000000"/>
          <w:sz w:val="22"/>
          <w:szCs w:val="22"/>
        </w:rPr>
        <w:t xml:space="preserve"> is not particularly complicated.</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that are transported must be carefully checked whatever their stage of development. Foliage should also be examined for dead, parasitized aphids or mummies, which adhere to the leaves and can be used for identification in the absence of living specimens.</w:t>
      </w:r>
    </w:p>
    <w:p>
      <w:pPr>
        <w:widowControl w:val="on"/>
        <w:pBdr/>
        <w:spacing w:before="220" w:after="220" w:line="240" w:lineRule="auto"/>
        <w:ind w:left="0" w:right="0"/>
        <w:jc w:val="both"/>
      </w:pPr>
      <w:r>
        <w:rPr>
          <w:rFonts w:ascii="Calibri" w:hAnsi="Calibri" w:eastAsia="Calibri" w:cs="Calibri"/>
          <w:color w:val="000000"/>
          <w:sz w:val="22"/>
          <w:szCs w:val="22"/>
        </w:rPr>
        <w:t xml:space="preserve">If the aphid cannot be positively identified on the spot using a pocket lens, specimens should be preserved in ethanol. It is adequate to use 70% ethanol to transport the specimens to the laboratory and observe them with the stereomicroscope, to make microscopic preparations, to store them or send them to a specialist. For mitochondrial COII analysis, specimens must be preserved in 96-99% ethanol.</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on the morphological identification of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can be found in the EPPO diagnostic protocol (EPPO,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can spread locally by flight. Over long distances, the main pathway for introducing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into new areas is the movement of plants for planting (EFSA, 2018). It has been intercepted, but very infrequently, in mainland USA on citrus from Hawaii and the Philippines. It is more strongly attracted to yellow than many other aphids and it may therefore be transported on yellow packaging or aircraft parts.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citricidus</w:t>
      </w:r>
      <w:r>
        <w:rPr>
          <w:rFonts w:ascii="Calibri" w:hAnsi="Calibri" w:eastAsia="Calibri" w:cs="Calibri"/>
          <w:color w:val="000000"/>
          <w:sz w:val="22"/>
          <w:szCs w:val="22"/>
        </w:rPr>
        <w:t xml:space="preserve"> per se causes considerable damage to citrus trees by attacking shoots and flowers and sometimes young fruit. Even a few aphids on a young shoot will arrest blossom bud development and cause them to fall. Losses of up to 50% can result from feeding damage (Kranz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After petal fall, however, growing plant parts harden and this results in less damage, even at relatively high population levels. As is the case for other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species, sooty mold forms on the aphid honeydew, interfering with leaf photosynthesis and forming unsightly deposits on fruits, which reduces their market value.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tristeza virus (CTV) is transmitted by several species of aphids (e.g. </w:t>
      </w:r>
      <w:r>
        <w:rPr>
          <w:rFonts w:ascii="Calibri" w:hAnsi="Calibri" w:eastAsia="Calibri" w:cs="Calibri"/>
          <w:i/>
          <w:iCs/>
          <w:color w:val="000000"/>
          <w:sz w:val="22"/>
          <w:szCs w:val="22"/>
        </w:rPr>
        <w:t xml:space="preserve">Aphis gossypii, A. spiraecola, A. aurantii, A. craccivora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Myzus persicae</w:t>
      </w:r>
      <w:r>
        <w:rPr>
          <w:rFonts w:ascii="Calibri" w:hAnsi="Calibri" w:eastAsia="Calibri" w:cs="Calibri"/>
          <w:color w:val="000000"/>
          <w:sz w:val="22"/>
          <w:szCs w:val="22"/>
        </w:rPr>
        <w:t xml:space="preserve">) through a semi-persistent transmission mode, but certainly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the most efficient CTV vector. Therefore, most of the losses produced by this virus infection in the countries where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found are indirectly attributable to it. This aphid also transmits citrus vein-enation disease in South Africa.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are intended to prevent damage to young shoots and fruits, and especially to suppress the formation of alatae, which are liable to transmit viruses (Kranz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Applications of authorized insecticides on affected plants are recommended for treatment of recognized foci. Young trees can be treated preventively with systemic insecticides. Many natural enemies are known, some parasitoids (e.g. </w:t>
      </w:r>
      <w:r>
        <w:rPr>
          <w:rFonts w:ascii="Calibri" w:hAnsi="Calibri" w:eastAsia="Calibri" w:cs="Calibri"/>
          <w:i/>
          <w:iCs/>
          <w:color w:val="000000"/>
          <w:sz w:val="22"/>
          <w:szCs w:val="22"/>
        </w:rPr>
        <w:t xml:space="preserve">Lysiphlebus testaceipes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Lipolexis oregmae</w:t>
      </w:r>
      <w:r>
        <w:rPr>
          <w:rFonts w:ascii="Calibri" w:hAnsi="Calibri" w:eastAsia="Calibri" w:cs="Calibri"/>
          <w:color w:val="000000"/>
          <w:sz w:val="22"/>
          <w:szCs w:val="22"/>
        </w:rPr>
        <w:t xml:space="preserve">, both Hymenoptera: Braconidae) are being used in integrated control programs (Zamora Mejias, 2011). In Northern Spain,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cited a plethora of natural enemies that acted on populations of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5 species of Aphidiinae (Hymenoptera: Braconidae), 1 of Cecidomyidae, 1 of Chamaemyiidae and 6 of Syrphidae (Diptera), 2 of Chrysopidae (Neuroptera), 5 of Coccinellidae (Coleoptera), 1 of Anthocoridae (Hemiptera) and 1 of Trombidiidae (Acari: Trombidiformes).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has become established in several areas of the world with a Mediterranean climate, it probably has the potential to survive in most Mediterranean countries. The polyphagy of the species increases the risk that an aphid species can invade a territory, establish and spread there. The main risk for Mediterranean countries is the fact that it is a more efficient vector of citrus tristeza virus than the native aphid species or other introduced species, such as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already present in the Iberian Peninsula, but far from the extensive citrus cultivation areas. Its introduction into new areas would cause serious problems to citrus production, as well as for citrus certification schemes, by creating a much higher risk of reinfection of certified material by tristeza.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is prohibited or restricted in many EPPO countries to prevent introduction of important pests. If not prohibited, it can be recommended that plants for planting of citrus and other potential hosts should come from a pest-free area or a pest-free place of production. For citrus fruit, it is generally required that they should be free from peduncles and leaves and this should cover the risk of transporting the pest into new areas, as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does not feed on mature fruit.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Blackman RL &amp; Eastop VF (2021) Aphids on the World’s plants. An online identification and information guide. </w:t>
      </w:r>
      <w:hyperlink r:id="rId729669c01e64c5e0d" w:history="1">
        <w:r>
          <w:rPr>
            <w:rFonts w:ascii="Calibri" w:hAnsi="Calibri" w:eastAsia="Calibri" w:cs="Calibri"/>
            <w:color w:val="0000CC"/>
            <w:sz w:val="22"/>
            <w:szCs w:val="22"/>
            <w:u w:val="single"/>
          </w:rPr>
          <w:t xml:space="preserve">http://www.aphidsonworldsplants.info/</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(1998) Distribution Maps of Pests No. 132.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EPPO Standard. Diagnostics. PM 7/75(1)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451-456.</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Plant Health Panel. Scientific opinion on the pest categorisation of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5103, 22 pp. </w:t>
      </w:r>
      <w:hyperlink r:id="rId704969c01e64c5ef7" w:history="1">
        <w:r>
          <w:rPr>
            <w:rFonts w:ascii="Calibri" w:hAnsi="Calibri" w:eastAsia="Calibri" w:cs="Calibri"/>
            <w:color w:val="0000CC"/>
            <w:sz w:val="22"/>
            <w:szCs w:val="22"/>
            <w:u w:val="single"/>
          </w:rPr>
          <w:t xml:space="preserve">https://doi.org/10.2903/j.efsa.2018.5103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Galatoire I (1983) Vital statistics of </w:t>
      </w:r>
      <w:r>
        <w:rPr>
          <w:rFonts w:ascii="Calibri" w:hAnsi="Calibri" w:eastAsia="Calibri" w:cs="Calibri"/>
          <w:i/>
          <w:iCs/>
          <w:color w:val="000000"/>
          <w:sz w:val="22"/>
          <w:szCs w:val="22"/>
        </w:rPr>
        <w:t xml:space="preserve">Toxoptera citicidus</w:t>
      </w:r>
      <w:r>
        <w:rPr>
          <w:rFonts w:ascii="Calibri" w:hAnsi="Calibri" w:eastAsia="Calibri" w:cs="Calibri"/>
          <w:color w:val="000000"/>
          <w:sz w:val="22"/>
          <w:szCs w:val="22"/>
        </w:rPr>
        <w:t xml:space="preserve"> (Kirkaldy) (Homoptera Aphididae). </w:t>
      </w:r>
      <w:r>
        <w:rPr>
          <w:rFonts w:ascii="Calibri" w:hAnsi="Calibri" w:eastAsia="Calibri" w:cs="Calibri"/>
          <w:i/>
          <w:iCs/>
          <w:color w:val="000000"/>
          <w:sz w:val="22"/>
          <w:szCs w:val="22"/>
        </w:rPr>
        <w:t xml:space="preserve">Revista de la Sociedad Entomológica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353-368.</w:t>
      </w:r>
    </w:p>
    <w:p>
      <w:pPr>
        <w:widowControl w:val="on"/>
        <w:pBdr/>
        <w:spacing w:before="220" w:after="220" w:line="240" w:lineRule="auto"/>
        <w:ind w:left="0" w:right="0"/>
        <w:jc w:val="left"/>
      </w:pPr>
      <w:r>
        <w:rPr>
          <w:rFonts w:ascii="Calibri" w:hAnsi="Calibri" w:eastAsia="Calibri" w:cs="Calibri"/>
          <w:color w:val="000000"/>
          <w:sz w:val="22"/>
          <w:szCs w:val="22"/>
        </w:rPr>
        <w:t xml:space="preserve">Hermoso de Mendoza A, Álvarez A, Michelena JM, González P, Cambra M (2008) Dispersión, biología y enemigos naturales de </w:t>
      </w:r>
      <w:r>
        <w:rPr>
          <w:rFonts w:ascii="Calibri" w:hAnsi="Calibri" w:eastAsia="Calibri" w:cs="Calibri"/>
          <w:i/>
          <w:iCs/>
          <w:color w:val="000000"/>
          <w:sz w:val="22"/>
          <w:szCs w:val="22"/>
        </w:rPr>
        <w:t xml:space="preserve">Toxoptera citricida </w:t>
      </w:r>
      <w:r>
        <w:rPr>
          <w:rFonts w:ascii="Calibri" w:hAnsi="Calibri" w:eastAsia="Calibri" w:cs="Calibri"/>
          <w:color w:val="000000"/>
          <w:sz w:val="22"/>
          <w:szCs w:val="22"/>
        </w:rPr>
        <w:t xml:space="preserve">(Kirkaldy) (Hemiptera, Aphididae) en España. </w:t>
      </w:r>
      <w:r>
        <w:rPr>
          <w:rFonts w:ascii="Calibri" w:hAnsi="Calibri" w:eastAsia="Calibri" w:cs="Calibri"/>
          <w:i/>
          <w:iCs/>
          <w:color w:val="000000"/>
          <w:sz w:val="22"/>
          <w:szCs w:val="22"/>
        </w:rPr>
        <w:t xml:space="preserve">Boletín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77-87.</w:t>
      </w:r>
    </w:p>
    <w:p>
      <w:pPr>
        <w:widowControl w:val="on"/>
        <w:pBdr/>
        <w:spacing w:before="220" w:after="220" w:line="240" w:lineRule="auto"/>
        <w:ind w:left="0" w:right="0"/>
        <w:jc w:val="left"/>
      </w:pPr>
      <w:r>
        <w:rPr>
          <w:rFonts w:ascii="Calibri" w:hAnsi="Calibri" w:eastAsia="Calibri" w:cs="Calibri"/>
          <w:color w:val="000000"/>
          <w:sz w:val="22"/>
          <w:szCs w:val="22"/>
        </w:rPr>
        <w:t xml:space="preserve">lharco FA, Sousa-Silva CR, Álvarez Álvarez A (2005) First report on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in Spain and continental Portugal (Homoptera, Aphidoidea). </w:t>
      </w:r>
      <w:r>
        <w:rPr>
          <w:rFonts w:ascii="Calibri" w:hAnsi="Calibri" w:eastAsia="Calibri" w:cs="Calibri"/>
          <w:i/>
          <w:iCs/>
          <w:color w:val="000000"/>
          <w:sz w:val="22"/>
          <w:szCs w:val="22"/>
        </w:rPr>
        <w:t xml:space="preserve">Agronomia Lusitana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19-21.</w:t>
      </w:r>
    </w:p>
    <w:p>
      <w:pPr>
        <w:widowControl w:val="on"/>
        <w:pBdr/>
        <w:spacing w:before="220" w:after="220" w:line="240" w:lineRule="auto"/>
        <w:ind w:left="0" w:right="0"/>
        <w:jc w:val="left"/>
      </w:pPr>
      <w:r>
        <w:rPr>
          <w:rFonts w:ascii="Calibri" w:hAnsi="Calibri" w:eastAsia="Calibri" w:cs="Calibri"/>
          <w:color w:val="000000"/>
          <w:sz w:val="22"/>
          <w:szCs w:val="22"/>
        </w:rPr>
        <w:t xml:space="preserve">Komazaki S (1988) [Citrus aphid population studies].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220-227.</w:t>
      </w:r>
    </w:p>
    <w:p>
      <w:pPr>
        <w:widowControl w:val="on"/>
        <w:pBdr/>
        <w:spacing w:before="220" w:after="220" w:line="240" w:lineRule="auto"/>
        <w:ind w:left="0" w:right="0"/>
        <w:jc w:val="left"/>
      </w:pPr>
      <w:r>
        <w:rPr>
          <w:rFonts w:ascii="Calibri" w:hAnsi="Calibri" w:eastAsia="Calibri" w:cs="Calibri"/>
          <w:color w:val="000000"/>
          <w:sz w:val="22"/>
          <w:szCs w:val="22"/>
        </w:rPr>
        <w:t xml:space="preserve">Lagos DM, Voegtlin DJ, Coeur d’acier A, Giordano R (2014)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(Hemiptera: Aphididae) species groups found in the Midwestern United States and their contribution to the phylogenetic knowledge of the genus.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374–391. </w:t>
      </w:r>
      <w:hyperlink r:id="rId910069c01e64c60b0" w:history="1">
        <w:r>
          <w:rPr>
            <w:rFonts w:ascii="Calibri" w:hAnsi="Calibri" w:eastAsia="Calibri" w:cs="Calibri"/>
            <w:color w:val="0000CC"/>
            <w:sz w:val="22"/>
            <w:szCs w:val="22"/>
            <w:u w:val="single"/>
          </w:rPr>
          <w:t xml:space="preserve">https://doi.org/10.1111/1744-7917.12089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Michaud JP (1998) A review of the literature on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(Kirkaldy) (Homoptera: Aphididae).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(1), 37-61.</w:t>
      </w:r>
    </w:p>
    <w:p>
      <w:pPr>
        <w:widowControl w:val="on"/>
        <w:pBdr/>
        <w:spacing w:before="220" w:after="220" w:line="240" w:lineRule="auto"/>
        <w:ind w:left="0" w:right="0"/>
        <w:jc w:val="left"/>
      </w:pPr>
      <w:r>
        <w:rPr>
          <w:rFonts w:ascii="Calibri" w:hAnsi="Calibri" w:eastAsia="Calibri" w:cs="Calibri"/>
          <w:color w:val="000000"/>
          <w:sz w:val="22"/>
          <w:szCs w:val="22"/>
        </w:rPr>
        <w:t xml:space="preserve">Nieto Nafría JM, Alonso-Zarazaga MA, Pérez Hidalgo N (2011)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The validity of a specific name (Hemiptera, Aphididae, Aphidini). </w:t>
      </w:r>
      <w:r>
        <w:rPr>
          <w:rFonts w:ascii="Calibri" w:hAnsi="Calibri" w:eastAsia="Calibri" w:cs="Calibri"/>
          <w:i/>
          <w:iCs/>
          <w:color w:val="000000"/>
          <w:sz w:val="22"/>
          <w:szCs w:val="22"/>
        </w:rPr>
        <w:t xml:space="preserve">Graellsia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Shang F, Ding B-Y, Xiong Y, Dou W, Wei D, Jiang H-B., Wei D-D, Wang J-J (2016) Differential expression of genes in the alate and apterous morphs of the brown citrus aphis,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32099. </w:t>
      </w:r>
      <w:hyperlink r:id="rId914769c01e64c61db" w:history="1">
        <w:r>
          <w:rPr>
            <w:rFonts w:ascii="Calibri" w:hAnsi="Calibri" w:eastAsia="Calibri" w:cs="Calibri"/>
            <w:color w:val="0000CC"/>
            <w:sz w:val="22"/>
            <w:szCs w:val="22"/>
            <w:u w:val="single"/>
          </w:rPr>
          <w:t xml:space="preserve">https://doi.org/10.1038/srep32099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Takahashi (1989) The reproductive ability of apterous and alate viviparous morphs of the citrus brown aphid,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(Homoptera: Aphididae).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237-243.</w:t>
      </w:r>
    </w:p>
    <w:p>
      <w:pPr>
        <w:widowControl w:val="on"/>
        <w:pBdr/>
        <w:spacing w:before="220" w:after="220" w:line="240" w:lineRule="auto"/>
        <w:ind w:left="0" w:right="0"/>
        <w:jc w:val="left"/>
      </w:pPr>
      <w:r>
        <w:rPr>
          <w:rFonts w:ascii="Calibri" w:hAnsi="Calibri" w:eastAsia="Calibri" w:cs="Calibri"/>
          <w:color w:val="000000"/>
          <w:sz w:val="22"/>
          <w:szCs w:val="22"/>
        </w:rPr>
        <w:t xml:space="preserve">Zamora Mejias D, Hanson PE, Starý P (2011) Parasitoid (Hym., Braconidae, Aphidiinae) complex of the black citrus aphid,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(Hem., Aphididae) in Costa Rica and its relationships to nearby areas. </w:t>
      </w:r>
      <w:r>
        <w:rPr>
          <w:rFonts w:ascii="Calibri" w:hAnsi="Calibri" w:eastAsia="Calibri" w:cs="Calibri"/>
          <w:i/>
          <w:iCs/>
          <w:color w:val="000000"/>
          <w:sz w:val="22"/>
          <w:szCs w:val="22"/>
        </w:rPr>
        <w:t xml:space="preserve">Journal of Entomological Research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107-115.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J. M. Nieto Nafría (honorary emeritus professor of Zoology. </w:t>
      </w:r>
      <w:r>
        <w:rPr>
          <w:rFonts w:ascii="Calibri" w:hAnsi="Calibri" w:eastAsia="Calibri" w:cs="Calibri"/>
          <w:i/>
          <w:iCs/>
          <w:color w:val="000000"/>
          <w:sz w:val="22"/>
          <w:szCs w:val="22"/>
        </w:rPr>
        <w:t xml:space="preserve">Universidad de León</w:t>
      </w:r>
      <w:r>
        <w:rPr>
          <w:rFonts w:ascii="Calibri" w:hAnsi="Calibri" w:eastAsia="Calibri" w:cs="Calibri"/>
          <w:color w:val="000000"/>
          <w:sz w:val="22"/>
          <w:szCs w:val="22"/>
        </w:rPr>
        <w:t xml:space="preserve">, Leon (Spain).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Aphis citricidus</w:t>
      </w:r>
      <w:r>
        <w:rPr>
          <w:rFonts w:ascii="Calibri" w:hAnsi="Calibri" w:eastAsia="Calibri" w:cs="Calibri"/>
          <w:color w:val="000000"/>
          <w:sz w:val="22"/>
          <w:szCs w:val="22"/>
        </w:rPr>
        <w:t xml:space="preserve">. EPPO datasheets on pests recommended for regulation. Available online. </w:t>
      </w:r>
      <w:hyperlink r:id="rId505369c01e64c632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45, </w:t>
      </w:r>
      <w:r>
        <w:rPr>
          <w:rFonts w:ascii="Calibri" w:hAnsi="Calibri" w:eastAsia="Calibri" w:cs="Calibri"/>
          <w:i/>
          <w:iCs/>
          <w:color w:val="000000"/>
          <w:sz w:val="22"/>
          <w:szCs w:val="22"/>
        </w:rPr>
        <w:t xml:space="preserve">Toxoptera citricidus.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 pp. </w:t>
      </w:r>
      <w:hyperlink r:id="rId402969c01e64c6426" w:history="1">
        <w:r>
          <w:rPr>
            <w:rFonts w:ascii="Calibri" w:hAnsi="Calibri" w:eastAsia="Calibri" w:cs="Calibri"/>
            <w:color w:val="0000CC"/>
            <w:sz w:val="22"/>
            <w:szCs w:val="22"/>
            <w:u w:val="single"/>
          </w:rPr>
          <w:t xml:space="preserve">https://doi.org/10.1111/j.1365-2338.1980.tb02699.x</w:t>
        </w:r>
      </w:hyperlink>
    </w:p>
    <w:p>
      <w:r>
        <w:drawing>
          <wp:inline distT="0" distB="0" distL="0" distR="0">
            <wp:extent cx="1800000" cy="604800"/>
            <wp:docPr id="44899080" name="name413369c01e64c668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62669c01e64c667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194843">
    <w:multiLevelType w:val="hybridMultilevel"/>
    <w:lvl w:ilvl="0" w:tplc="15101888">
      <w:start w:val="1"/>
      <w:numFmt w:val="decimal"/>
      <w:lvlText w:val="%1."/>
      <w:lvlJc w:val="left"/>
      <w:pPr>
        <w:ind w:left="720" w:hanging="360"/>
      </w:pPr>
    </w:lvl>
    <w:lvl w:ilvl="1" w:tplc="15101888" w:tentative="1">
      <w:start w:val="1"/>
      <w:numFmt w:val="lowerLetter"/>
      <w:lvlText w:val="%2."/>
      <w:lvlJc w:val="left"/>
      <w:pPr>
        <w:ind w:left="1440" w:hanging="360"/>
      </w:pPr>
    </w:lvl>
    <w:lvl w:ilvl="2" w:tplc="15101888" w:tentative="1">
      <w:start w:val="1"/>
      <w:numFmt w:val="lowerRoman"/>
      <w:lvlText w:val="%3."/>
      <w:lvlJc w:val="right"/>
      <w:pPr>
        <w:ind w:left="2160" w:hanging="180"/>
      </w:pPr>
    </w:lvl>
    <w:lvl w:ilvl="3" w:tplc="15101888" w:tentative="1">
      <w:start w:val="1"/>
      <w:numFmt w:val="decimal"/>
      <w:lvlText w:val="%4."/>
      <w:lvlJc w:val="left"/>
      <w:pPr>
        <w:ind w:left="2880" w:hanging="360"/>
      </w:pPr>
    </w:lvl>
    <w:lvl w:ilvl="4" w:tplc="15101888" w:tentative="1">
      <w:start w:val="1"/>
      <w:numFmt w:val="lowerLetter"/>
      <w:lvlText w:val="%5."/>
      <w:lvlJc w:val="left"/>
      <w:pPr>
        <w:ind w:left="3600" w:hanging="360"/>
      </w:pPr>
    </w:lvl>
    <w:lvl w:ilvl="5" w:tplc="15101888" w:tentative="1">
      <w:start w:val="1"/>
      <w:numFmt w:val="lowerRoman"/>
      <w:lvlText w:val="%6."/>
      <w:lvlJc w:val="right"/>
      <w:pPr>
        <w:ind w:left="4320" w:hanging="180"/>
      </w:pPr>
    </w:lvl>
    <w:lvl w:ilvl="6" w:tplc="15101888" w:tentative="1">
      <w:start w:val="1"/>
      <w:numFmt w:val="decimal"/>
      <w:lvlText w:val="%7."/>
      <w:lvlJc w:val="left"/>
      <w:pPr>
        <w:ind w:left="5040" w:hanging="360"/>
      </w:pPr>
    </w:lvl>
    <w:lvl w:ilvl="7" w:tplc="15101888" w:tentative="1">
      <w:start w:val="1"/>
      <w:numFmt w:val="lowerLetter"/>
      <w:lvlText w:val="%8."/>
      <w:lvlJc w:val="left"/>
      <w:pPr>
        <w:ind w:left="5760" w:hanging="360"/>
      </w:pPr>
    </w:lvl>
    <w:lvl w:ilvl="8" w:tplc="15101888" w:tentative="1">
      <w:start w:val="1"/>
      <w:numFmt w:val="lowerRoman"/>
      <w:lvlText w:val="%9."/>
      <w:lvlJc w:val="right"/>
      <w:pPr>
        <w:ind w:left="6480" w:hanging="180"/>
      </w:pPr>
    </w:lvl>
  </w:abstractNum>
  <w:abstractNum w:abstractNumId="76194842">
    <w:multiLevelType w:val="hybridMultilevel"/>
    <w:lvl w:ilvl="0" w:tplc="740723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194842">
    <w:abstractNumId w:val="76194842"/>
  </w:num>
  <w:num w:numId="76194843">
    <w:abstractNumId w:val="7619484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9741844" Type="http://schemas.microsoft.com/office/2011/relationships/commentsExtended" Target="commentsExtended.xml"/><Relationship Id="rId345454311" Type="http://schemas.microsoft.com/office/2011/relationships/people" Target="people.xml"/><Relationship Id="rId377069c01e64c37ce" Type="http://schemas.openxmlformats.org/officeDocument/2006/relationships/hyperlink" Target="https://gd.eppo.int/taxon/TOXOCI/" TargetMode="External"/><Relationship Id="rId614169c01e64c3819" Type="http://schemas.openxmlformats.org/officeDocument/2006/relationships/hyperlink" Target="https://gd.eppo.int/taxon/TOXOCI/categorization" TargetMode="External"/><Relationship Id="rId945369c01e64c3e68" Type="http://schemas.openxmlformats.org/officeDocument/2006/relationships/hyperlink" Target="https://gd.eppo.int/taxon/TOXOCI/photos" TargetMode="External"/><Relationship Id="rId729669c01e64c5e0d" Type="http://schemas.openxmlformats.org/officeDocument/2006/relationships/hyperlink" Target="http://www.aphidsonworldsplants.info/" TargetMode="External"/><Relationship Id="rId704969c01e64c5ef7" Type="http://schemas.openxmlformats.org/officeDocument/2006/relationships/hyperlink" Target="https://doi.org/10.2903/j.efsa.2018.5103" TargetMode="External"/><Relationship Id="rId910069c01e64c60b0" Type="http://schemas.openxmlformats.org/officeDocument/2006/relationships/hyperlink" Target="https://doi.org/10.1111/1744-7917.12089" TargetMode="External"/><Relationship Id="rId914769c01e64c61db" Type="http://schemas.openxmlformats.org/officeDocument/2006/relationships/hyperlink" Target="https://doi.org/10.1038/srep32099" TargetMode="External"/><Relationship Id="rId505369c01e64c6322" Type="http://schemas.openxmlformats.org/officeDocument/2006/relationships/hyperlink" Target="https://gd.eppo.int" TargetMode="External"/><Relationship Id="rId402969c01e64c6426" Type="http://schemas.openxmlformats.org/officeDocument/2006/relationships/hyperlink" Target="https://doi.org/10.1111/j.1365-2338.1980.tb02699.x" TargetMode="External"/><Relationship Id="rId365569c01e64c3db4" Type="http://schemas.openxmlformats.org/officeDocument/2006/relationships/image" Target="media/imgrId365569c01e64c3db4.jpg"/><Relationship Id="rId321869c01e64c5571" Type="http://schemas.openxmlformats.org/officeDocument/2006/relationships/image" Target="media/imgrId321869c01e64c5571.jpg"/><Relationship Id="rId162669c01e64c667f" Type="http://schemas.openxmlformats.org/officeDocument/2006/relationships/image" Target="media/imgrId162669c01e64c667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