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solanumdelhiense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solanumdelhiense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BGYVV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Bitter gourd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ToLCNDV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virus</w:t>
            </w:r>
            <w:hyperlink r:id="rId27036a53468d00c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0886a53468d00d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TOLCND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641946" name="name46356a53468d012ea" descr="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6.jpg"/>
                          <pic:cNvPicPr/>
                        </pic:nvPicPr>
                        <pic:blipFill>
                          <a:blip r:embed="rId20126a53468d012e8" cstate="print"/>
                          <a:stretch>
                            <a:fillRect/>
                          </a:stretch>
                        </pic:blipFill>
                        <pic:spPr>
                          <a:xfrm>
                            <a:off x="0" y="0"/>
                            <a:ext cx="2160000" cy="1281600"/>
                          </a:xfrm>
                          <a:prstGeom prst="rect">
                            <a:avLst/>
                          </a:prstGeom>
                          <a:ln w="0">
                            <a:noFill/>
                          </a:ln>
                        </pic:spPr>
                      </pic:pic>
                    </a:graphicData>
                  </a:graphic>
                </wp:inline>
              </w:drawing>
            </w:r>
            <w:hyperlink r:id="rId76536a53468d013e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leaf curl New Delhi virus, ToLCNDV, is a virus species with a single-stranded DNA genome, in the genus </w:t>
      </w:r>
      <w:r>
        <w:rPr>
          <w:rFonts w:ascii="Calibri" w:hAnsi="Calibri" w:eastAsia="Calibri" w:cs="Calibri"/>
          <w:i/>
          <w:iCs/>
          <w:color w:val="000000"/>
          <w:sz w:val="22"/>
          <w:szCs w:val="22"/>
        </w:rPr>
        <w:t xml:space="preserve">Begomovirus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Isolates of this virus can be grouped into several strains based on the molecular diversity of their DNA-A genome components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isolates reported from Europe comprise the strain ToLCNDV-ES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is genetically stable and distinct from other ToLCNDV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a broad host range encompassing Solanaceae, Cucurbitaceae, Fabaceae and Malvaceae species many of which are important crops and ornamental plants as well as wild species (weeds). The main crop hosts of ToLCNDV are tomato and cucurbits in particular zucchini, cucumber and melon. Wild plant hosts may not show conspicuous symptoms but can serve as virus reservoirs. Because of the broad host range and the polyphagous nature of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range of susceptible plant species may be larger than reported.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range of susceptible host plants and those found to be infected in nature may not correspond. Thus, the virus strain ToLCNDV-ES present in Europe is predominantly found on Cucurbitaceae plants and while the virus strain infects tomato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appears to be poorly adapted to this host and is better adapted to cucurbits which are efficiently infected by ToLCNDV-ES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was first described from India (Padidam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it is mainly present in Asia where many host plants and various virus isolates (strains) are described. The occurrence of the virus coincides with the presence of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whitefly vector and the availability of suitable host plants. ToLCNDV occurs in the Mediterranean regions,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ToLCNDV findings outside the climate suitable for the insect vector are linked with the horticulture pathway and plants produced under protected cultivation (glasshouses).</w:t>
      </w:r>
    </w:p>
    <w:p>
      <w:r>
        <w:drawing>
          <wp:inline distT="0" distB="0" distL="0" distR="0">
            <wp:extent cx="6120000" cy="3067200"/>
            <wp:docPr id="17491129" name="name64466a53468d02f1a" descr="TOLCN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CND_distribution_map.jpg"/>
                    <pic:cNvPicPr/>
                  </pic:nvPicPr>
                  <pic:blipFill>
                    <a:blip r:embed="rId53916a53468d02f1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(mainland), Italy (mainland, Sardegna, Sicilia), Morocco, Portugal (mainland, Azores), Slovakia,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Seychelles,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Guangdong, Jiangsu, Jiangxi, Shandong, Shanghai, Zhejiang), India (Andhra Pradesh, Assam, Bihar, Chhattisgarh, Delhi, Gujarat, Haryana, Himachal Pradesh, Jammu &amp; Kashmir, Jharkand, Karnataka, Kerala, Madhya Pradesh, Maharashtra, Manipur, Odisha, Punjab, Rajasthan, Tamil Nadu, Telangana, Uttarakhand, Uttar Pradesh, West Bengal), Indonesia (Java, Sumatra), Iran, Islamic Republic of, Nepal, Pakistan, Philippines, Sri Lanka, Taiwan,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and persists in the vector insect. Adult insects acquire the virus by sucking on phloem sap, and once ingested the virus circulates in the insect body. The insect can further transmit the virus to another plant when feeding. The virus does not replicate in the insect and transmission efficiency decreases with age but the vector remains viruliferous throughout its life span. Even in the temporary absence of host plants suitable for ToLCNDV,  the virus can persist in the vector and when hosts are again present then virus transmission by sap sucking is generally very effective and even a few insects can cause disease outbreaks. The broad host range of the virus and the polyphagous nature of the whitefly vector, in particular the invasive MEAM1 (Middle East-Asia Minor) and MED (Mediterranean) species present in Southern Europe and the Mediterranean Basin, assure virus establishment in the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infection arising from germinating seeds of ToLCNDV-infected zucchini fruits was reported (Kil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It is likely that this happened by wounding of the germinating seeds and mechanical transmission of the virus present on the seed coat. While rare cases of mechanical virus infection through wounding exist, insect transmission is the primary mode of ToLCNDV spread and virus incidence is  closely linked to the geographical distribution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determined by climate variables, temperature and humidity (EFSA, 2013;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short acquisition and inoculation access periods (&lt; 30 min) for efficient virus transmission and virus spread and disease incidence is linked to the density of whitefly populations.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become apparent on plants infected with ToLCNDV approximately 10 to 14 days after vector feeding. ToLCNDV causes systemic infections in its hosts and early symptoms become visible in youngest uppermost plant parts showing leaf curling, distortion, and blistering. In cucurbit hosts this is associated with discoloration, chlorotic mottling and vein banding followed by upward rolling and general chlorosis of older leaves. In tomato, leaf curling of the apical portions of the plant are the first signs of a developing begomovirus infection, somewhat similar to symptoms caused by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and other begomoviruses. In later infections, chlorotic spots and mottling can be observed on older leaves. Early infections with ToLCNDV interferes with flowering and fruit development resulting in reduced flower setting and low numbers of fruits. Fruits are small with unappealing discoloration, indents or blisters and lacking in taste, and may prematurely drop, which can eventually result in complete crop failure (EFSA, 2020a, b).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can occur in mixed infection with other viruses, in particular other begomoviruses, and with alpha- and betasatellites. Mixed infections can result in synergism and more severe symptoms than ToLCNDV infections alone.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pronounced symptoms in infected plants and while uncertainty exists on symptoms on wild hosts, virus-infected crops are generally recognised.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distinctive virus particles composed of two incomplete icosahedra fused to form a paired (geminate) particle of 18x30 nm. The virus particles are unique and characteristic for geminiviruses only.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obvious symptoms in most infected hosts however, these symptoms are not adequate to identify the virus because they are similar to those caused by other begomoviruses and because of other viruses present in mixed infections. Thus, for unambiguous virus detection and identification, laboratory methods are required. Inspection and tracing of symptomatic plants guide sampling with leaves of apical portions of plants being used for virus testing. Even when symptoms are mild or absent, ToLCNDV can be detected. ToLCNDV can be reliably detected using commercial ELISA tests (DAS-ELISA) which can be used for surveillance to trace infections (Juarez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Subsequent identification of ELISA positive samples can be done using molecular tests to identify ToLCNDV (Figas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identification of virus strains and in particular to identify the European strain ToLCNDV-ES, sequence analysis of the complete DNA-A genome component ToLCNDV is required. This is achieved by combining DNA amplification (Rolling circle amplification RCA or PCR) with sequencing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Testing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for the presence of ToLCNDV and other circulative, persistent plant viruses is critical to detect and intercept viruliferous insects which may, for example, be carried along with imported plant materials. Virus detection and identification in vectors is achieved by molecular methods including real-time PCR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Luigi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Begomoviruses in under development and will cover detection and identification of ToLCNDV. As surveys should be carried out in all the EU member countries, a pest survey card was prepared by the European Food Safety Authority (EFSA, 2020b) to assist EU Member States in planning their annual survey activities for ToLCNDV.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spread is predominantly with viruliferous whiteflies thus virus distribution coincides with the geographic distribution of its vector and is limited by the spread capacity of the insect. The insect carrying the virus can transmit it throughout its lifetime thus passive transport of viruliferous adults through wind, or infesting host or non-host plants and other materials (cut flowers and fresh herbs) traded internationally constitute means of virus long-distance movement and virus introduction into new areas. Import of many host plants of ToLCNDV and other commodities are regulated in the EU and in many EPPO countries and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However, the number of whiteflies intercepted at points of entry indicate a putative pathway for ToLCNDV to enter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where ToLCNDV occurs, the virus presents a threat to solanaceous and cucurbit plants including economically important crops, such as tomato, eggplant, pepper, potato, zucchini, cucumber and melon. In addition, the virus also causes serious economic losses in vegetable and fibre crops grown in Asia, potato (Jeevalatha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2017a,2017b; Usharani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cotton and okra (Venkataravanappa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2018; Zaidi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many other food crops. It is assumed that ToLCNDV causes serious economic losses wherever it occurs and has severe impacts on quality and yield of the vegetable harvest. These products are important sources of healthy diets and income security. Plant protection products used for vector control may have negative impacts on the environment and biodiversity if they are not used appropriately.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control of ToLCNDV rely on the control of the insect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nature and open fields, control should both exclude the insect (physical barriers, protected cultivation) and reduce whitefly populations using IPM practices combining biological and chemical control strategies (Crespo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to suppress virus spread. Eliminating virus-infected plants or groups of plants is only relevant in the absence of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this is the case for example when outbreaks occur in protected cultivation and temporary whitefly populations can be eradicated. Managing ToLCNDV and whitefly-transmitted viruses in general is challenging in open-field crops. Thus, in open-field horticulture, the control of whitefly transmitted viruses relies on insecticides to reduce vector populations and host plant resistance to the virus combined with selected IPM strategies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 rotation and planting outside of periods with high vector populations may contribute to reduce impact from virus diseases.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the most promising strategy for ToLCNDV control and resistance provided by Ty-2 and Ty-3 genes conferring resistance against TYLCV can provide a level of protection against ToLCNDV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cucurbits,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lines that had little or no symptoms of ToLCNDV infections may be potential sources of ToLCNDV resistance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2017,2016). Resistance has been reported in sponge gourd (Islam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five accessions of melon (Romay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Breeding ToLCNDV resistant crops may be a long-term solution but currently no ToLCNDV resistant crops are cultivated.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present in several countries of the EPPO region, in Southern European and neighbouring countries bordering the Mediterranean Sea,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insect vector, is established. Virus dissemination and spread is bound to the geographic range distribution of the vector and this is limited by suitable eco-climatic conditions (EFSA, 2020, 2013). In open fields, adequate pest management often is not possible and adaption of whiteflies to less favourable conditions and range expansion triggered by climate change and intensified agriculture aggravates ToLCNDV damage (Bertin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Outside the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endemic, the virus may spread if the vector expands its range due to adaptation to less favourable conditions or climate change. In climates less suitable for the vector and where crop production is under protected conditions, ToLCNDV infections can occur but are transient because vector populations only occurs during part of the year and cannot establish.</w:t>
      </w:r>
    </w:p>
    <w:p>
      <w:pPr>
        <w:widowControl w:val="on"/>
        <w:pBdr/>
        <w:spacing w:before="220" w:after="220" w:line="240" w:lineRule="auto"/>
        <w:ind w:left="0" w:right="0"/>
        <w:jc w:val="both"/>
      </w:pPr>
      <w:r>
        <w:rPr>
          <w:rFonts w:ascii="Calibri" w:hAnsi="Calibri" w:eastAsia="Calibri" w:cs="Calibri"/>
          <w:color w:val="000000"/>
          <w:sz w:val="22"/>
          <w:szCs w:val="22"/>
        </w:rPr>
        <w:t xml:space="preserve"> In Europe, all ToLCNDV isolates described so far belong to one strain, ToLCNDV-ES, which is genetically homogenous and probably derived from a single introduction. This ToLCNDV strain comprises virus isolates that are adapted to cucurbit hosts (cucumber, melon, and zucchini), and which circulate mainly in cucurbits whereas tomato and other solanaceous crops are less important host plants. An increased risk to crop production in the EPPO region would arise from additional virus diversity introduced from Asia where various isolates of the virus are reported and in addition the virus is associated with other viruses and satellite molecules. In this case additional host plants, such as tomato, potato could be strongly affected and current crop management strategies may be jeopardized.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for planting (e.g. Solanaceae) is prohibited in many EPPO countries. Other 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 screenhouses, trapping) and no symptoms of the virus are observed during the cycle of vegetation. Surveillance (visual inspection followed by laboratory testing) contributes to early detection of ToLCNDV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Akhtar KP, Akram A, Ullah N, Saleem MY, Saeed M (2019) Evaluation of Solanum species for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using chip grafting assay.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Luigi M, Parrella G, Giorgini M, Davino S, Tomassoli L (2018) Survey of the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Lazio region (Central Italy): a threat for the northward expansion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(Begomovirus: Geminiviridae) infection.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Tomato leaf curl New Delhi virus (Tomato New Delhi virus). Available online </w:t>
      </w:r>
      <w:hyperlink r:id="rId13306a53468d03b8d" w:history="1">
        <w:r>
          <w:rPr>
            <w:rFonts w:ascii="Calibri" w:hAnsi="Calibri" w:eastAsia="Calibri" w:cs="Calibri"/>
            <w:color w:val="0000CC"/>
            <w:sz w:val="22"/>
            <w:szCs w:val="22"/>
            <w:u w:val="single"/>
          </w:rPr>
          <w:t xml:space="preserve">https://www.cabi.org/isc/datasheet/118179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Crespo O, Robles C, Ruiz L, Janssen D (2019) Antagonism of Cucumber green mottle mosaic virus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and cucumber.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24976a53468d03c83"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(2020a), Bragard C, Dehnen-Schmutz K, Di Serio F, Gonthier P, Jacques MA, Jaques Miret JA, Justesen AF, MacLeod A, Magnusson CS, Milonas P, Navas-Cortes JA, Parnell S, Potting R, Reignault PL, Thulke HH, Van der Werf W, Vicent Civera A, Yuen J, Zappala L, Candresse T, Chatzivassiliou E, Winter S, Bottex B (2020) Pest categorisation of tomato leaf curl New Delhi virus. EFSA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7), 6179, 36 pp. </w:t>
      </w:r>
      <w:hyperlink r:id="rId96016a53468d03cfd" w:history="1">
        <w:r>
          <w:rPr>
            <w:rFonts w:ascii="Calibri" w:hAnsi="Calibri" w:eastAsia="Calibri" w:cs="Calibri"/>
            <w:color w:val="0000CC"/>
            <w:sz w:val="22"/>
            <w:szCs w:val="22"/>
            <w:u w:val="single"/>
          </w:rPr>
          <w:t xml:space="preserve">https://doi.org/10.2903/j.efsa.2020.6179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(2020b), van Gemert J, Schenk M, Candresse T, Bottex B, Delbianco A, Vos S. Pest survey card on tomato leaf curl New Delhi virus. EFSA supporting publication EN-1904. 26 pp. </w:t>
      </w:r>
      <w:hyperlink r:id="rId83066a53468d03d30" w:history="1">
        <w:r>
          <w:rPr>
            <w:rFonts w:ascii="Calibri" w:hAnsi="Calibri" w:eastAsia="Calibri" w:cs="Calibri"/>
            <w:color w:val="0000CC"/>
            <w:sz w:val="22"/>
            <w:szCs w:val="22"/>
            <w:u w:val="single"/>
          </w:rPr>
          <w:t xml:space="preserve">https://doi.org/10.2903/sp.efsa.2020.EN-1904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Figas MR, Alfaro-Fernandez A, Font MI, Borras D, Casanova C, Hurtado M, Plazas M, Prohens J &amp; Soler S (2017) Inoculation of cucumber, melon and zucchini varieties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and evaluation of infection using different detection methods.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405-414.</w:t>
      </w:r>
    </w:p>
    <w:p>
      <w:pPr>
        <w:widowControl w:val="on"/>
        <w:pBdr/>
        <w:spacing w:before="220" w:after="220" w:line="240" w:lineRule="auto"/>
        <w:ind w:left="0" w:right="0"/>
        <w:jc w:val="left"/>
      </w:pPr>
      <w:r>
        <w:rPr>
          <w:rFonts w:ascii="Calibri" w:hAnsi="Calibri" w:eastAsia="Calibri" w:cs="Calibri"/>
          <w:color w:val="000000"/>
          <w:sz w:val="22"/>
          <w:szCs w:val="22"/>
        </w:rPr>
        <w:t xml:space="preserve">Fortes IM, Sanchez-Campos S, Fiallo-Olive E, Diaz-Pendon JA, Navas-Castillo J, Moriones E (2016) A novel strain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has spread to the Mediterranean Basin.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Parisi S, Winter S (2014) Modelling the potential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Europe in light of the climate change scenario.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1611-1623.</w:t>
      </w:r>
    </w:p>
    <w:p>
      <w:pPr>
        <w:widowControl w:val="on"/>
        <w:pBdr/>
        <w:spacing w:before="220" w:after="220" w:line="240" w:lineRule="auto"/>
        <w:ind w:left="0" w:right="0"/>
        <w:jc w:val="left"/>
      </w:pPr>
      <w:r>
        <w:rPr>
          <w:rFonts w:ascii="Calibri" w:hAnsi="Calibri" w:eastAsia="Calibri" w:cs="Calibri"/>
          <w:color w:val="000000"/>
          <w:sz w:val="22"/>
          <w:szCs w:val="22"/>
        </w:rPr>
        <w:t xml:space="preserve">Islam S, Munshi AD, Mandal B, Kumar R, Behera TK (2010) Genetics of resistance in </w:t>
      </w:r>
      <w:r>
        <w:rPr>
          <w:rFonts w:ascii="Calibri" w:hAnsi="Calibri" w:eastAsia="Calibri" w:cs="Calibri"/>
          <w:i/>
          <w:iCs/>
          <w:color w:val="000000"/>
          <w:sz w:val="22"/>
          <w:szCs w:val="22"/>
        </w:rPr>
        <w:t xml:space="preserve">Luffa cylindrica</w:t>
      </w:r>
      <w:r>
        <w:rPr>
          <w:rFonts w:ascii="Calibri" w:hAnsi="Calibri" w:eastAsia="Calibri" w:cs="Calibri"/>
          <w:color w:val="000000"/>
          <w:sz w:val="22"/>
          <w:szCs w:val="22"/>
        </w:rPr>
        <w:t xml:space="preserve"> Roem.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Simon A, Crespo O, Ruiz L (2017) Genetic population structure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Spain associated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 Short Communication.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25-31.</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Chakrabarti SK, Sharma S, Sagar V, Malik K, Raigond B, Singh BP (2017) Diversity analysis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-[potato], causing apical leaf curl disease of potato in India.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Siddappa S, Kumar A, Kaundal P, Guleria A, Sharma S, Nagesh M, Singh BP (2017) An insight into differentially regulated genes in resistant and susceptible genotypes of potato in response to tomato leaf curl New Delhi virus-[potato] infection.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Legua P, Mengual CM, Kassem MA, Sempere RN, Gomez P, Truniger V, Aranda MA (2013) Relative incidence, spatial distribution and genetic diversity of cucurbit viruses in eastern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362-370.</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Rabadan MP, Martinez LD, Tayahi M, Grande-Perez A, Gomez P (2019) Natural hosts and genetic diversity of the emerging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10, 140. </w:t>
      </w:r>
      <w:hyperlink r:id="rId43306a53468d041a6" w:history="1">
        <w:r>
          <w:rPr>
            <w:rFonts w:ascii="Calibri" w:hAnsi="Calibri" w:eastAsia="Calibri" w:cs="Calibri"/>
            <w:color w:val="0000CC"/>
            <w:sz w:val="22"/>
            <w:szCs w:val="22"/>
            <w:u w:val="single"/>
          </w:rPr>
          <w:t xml:space="preserve">https://doi.org/10.3389/fmicb.2019.00140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Kil E-J, Vo TTB, Fadhila C, Ho PT, Lal A, Troiano E, Parrella G, Lee S (2020) Seed Transmission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from Zucchini Squash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9(5), 563. </w:t>
      </w:r>
      <w:hyperlink r:id="rId48476a53468d04217" w:history="1">
        <w:r>
          <w:rPr>
            <w:rFonts w:ascii="Calibri" w:hAnsi="Calibri" w:eastAsia="Calibri" w:cs="Calibri"/>
            <w:color w:val="0000CC"/>
            <w:sz w:val="22"/>
            <w:szCs w:val="22"/>
            <w:u w:val="single"/>
          </w:rPr>
          <w:t xml:space="preserve">https://doi.org/10.3390/plants9050563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Legg JP, Wintermantel WM, Polston JE (2014) Management of whitefly-transmitted viruses in open-field production systems. </w:t>
      </w:r>
      <w:r>
        <w:rPr>
          <w:rFonts w:ascii="Calibri" w:hAnsi="Calibri" w:eastAsia="Calibri" w:cs="Calibri"/>
          <w:i/>
          <w:iCs/>
          <w:color w:val="000000"/>
          <w:sz w:val="22"/>
          <w:szCs w:val="22"/>
        </w:rPr>
        <w:t xml:space="preserve">Plant Virus Epidemiology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147-206. </w:t>
      </w:r>
      <w:hyperlink r:id="rId78746a53468d04295" w:history="1">
        <w:r>
          <w:rPr>
            <w:rFonts w:ascii="Calibri" w:hAnsi="Calibri" w:eastAsia="Calibri" w:cs="Calibri"/>
            <w:color w:val="0000CC"/>
            <w:sz w:val="22"/>
            <w:szCs w:val="22"/>
            <w:u w:val="single"/>
          </w:rPr>
          <w:t xml:space="preserve">https://doi.org/10.1016/B978-0-12-801246-8.00003-2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Lata S, Hussain Z, Mangal M, Yadav RK, Vinutha T, Jat GS, Gosavi G, Kumar P, Perveen S, Tomar BS (2019) qPCR analysis of Ty-2 and Ty-3 gene pyramided lines of tomato for resistance to tomato leaf curl New Delhi virus (ToLCNDV).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1719-1722. </w:t>
      </w:r>
      <w:hyperlink r:id="rId35006a53468d04307" w:history="1">
        <w:r>
          <w:rPr>
            <w:rFonts w:ascii="Calibri" w:hAnsi="Calibri" w:eastAsia="Calibri" w:cs="Calibri"/>
            <w:color w:val="0000CC"/>
            <w:sz w:val="22"/>
            <w:szCs w:val="22"/>
            <w:u w:val="single"/>
          </w:rPr>
          <w:t xml:space="preserve">https://doi.org/10.1111/ppa.12267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Luigi M, Manglli A, Bertin S, Donati L, Tomassoli L, Ferretti L &amp; Faggioli F (2020) Development and validation of a specific real-time PCR protocol for the detection of tomato leaf curl New Delhi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969-974 </w:t>
      </w:r>
      <w:hyperlink r:id="rId74276a53468d04379" w:history="1">
        <w:r>
          <w:rPr>
            <w:rFonts w:ascii="Calibri" w:hAnsi="Calibri" w:eastAsia="Calibri" w:cs="Calibri"/>
            <w:color w:val="0000CC"/>
            <w:sz w:val="22"/>
            <w:szCs w:val="22"/>
            <w:u w:val="single"/>
          </w:rPr>
          <w:t xml:space="preserve">https://doi.org/10.1007/s10658-020-02038-1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Moriones E, Praveen S, Chakraborty S (2017)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 emerging virus complex threatening vegetable and fiber crops.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264. </w:t>
      </w:r>
      <w:hyperlink r:id="rId77666a53468d04406" w:history="1">
        <w:r>
          <w:rPr>
            <w:rFonts w:ascii="Calibri" w:hAnsi="Calibri" w:eastAsia="Calibri" w:cs="Calibri"/>
            <w:color w:val="0000CC"/>
            <w:sz w:val="22"/>
            <w:szCs w:val="22"/>
            <w:u w:val="single"/>
          </w:rPr>
          <w:t xml:space="preserve">https://doi.org/10.3390/v9100264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Padidam M, Beachy RN, Fauquet CM (1995) Tomato leaf curl geminivirus from India has a bipartite genome and coat protein is not essential for infectivity.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25-35. </w:t>
      </w:r>
      <w:hyperlink r:id="rId15896a53468d04482" w:history="1">
        <w:r>
          <w:rPr>
            <w:rFonts w:ascii="Calibri" w:hAnsi="Calibri" w:eastAsia="Calibri" w:cs="Calibri"/>
            <w:color w:val="0000CC"/>
            <w:sz w:val="22"/>
            <w:szCs w:val="22"/>
            <w:u w:val="single"/>
          </w:rPr>
          <w:t xml:space="preserve">https://doi.org/10.1099/0022-1317-76-1-25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Troiano E, Luigi M, Manglli A, Vatrano T, Iacono G, Marchione S, Bertin S, Tomassoli L, Parrella G, Davino S (2019) Emergence of tomato leaf curl New Delhi virus in Italy: estimation of incidence and genetic diversity.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601-608. </w:t>
      </w:r>
      <w:hyperlink r:id="rId13246a53468d044f2" w:history="1">
        <w:r>
          <w:rPr>
            <w:rFonts w:ascii="Calibri" w:hAnsi="Calibri" w:eastAsia="Calibri" w:cs="Calibri"/>
            <w:color w:val="0000CC"/>
            <w:sz w:val="22"/>
            <w:szCs w:val="22"/>
            <w:u w:val="single"/>
          </w:rPr>
          <w:t xml:space="preserve">https://doi.org/10.1111/ppa.12978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Parrella G, Troiano E, Formisano G, Accotto GP, Giorgini M (2018)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associated with severe mosaic of pumpkin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HC, Sinha DP, Rai GK, Krishna R, Kashyap SP, Singh NK, Singh M, Malathi VG (2015) PyramidingTy-2andTy-3genes for resistance to monopartite and bipartite tomato leaf curl viruses of India.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256-264.</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Tellez MM, Janssen D (2019) Whitefly control strategies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greenhouse zucchini.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(15), 2673. </w:t>
      </w:r>
      <w:hyperlink r:id="rId48336a53468d04661" w:history="1">
        <w:r>
          <w:rPr>
            <w:rFonts w:ascii="Calibri" w:hAnsi="Calibri" w:eastAsia="Calibri" w:cs="Calibri"/>
            <w:color w:val="0000CC"/>
            <w:sz w:val="22"/>
            <w:szCs w:val="22"/>
            <w:u w:val="single"/>
          </w:rPr>
          <w:t xml:space="preserve">https://doi.org/10.3390/ijerph16152673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Romay G, Pitrat M, Lecoq H, Wipf-Scheibel C, Millot P, Girardot G, Desbiez C (2019) Resistance against </w:t>
      </w:r>
      <w:r>
        <w:rPr>
          <w:rFonts w:ascii="Calibri" w:hAnsi="Calibri" w:eastAsia="Calibri" w:cs="Calibri"/>
          <w:i/>
          <w:iCs/>
          <w:color w:val="000000"/>
          <w:sz w:val="22"/>
          <w:szCs w:val="22"/>
        </w:rPr>
        <w:t xml:space="preserve">Melon Chlorotic Mosaic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2913-2919. </w:t>
      </w:r>
      <w:hyperlink r:id="rId13466a53468d04710" w:history="1">
        <w:r>
          <w:rPr>
            <w:rFonts w:ascii="Calibri" w:hAnsi="Calibri" w:eastAsia="Calibri" w:cs="Calibri"/>
            <w:color w:val="0000CC"/>
            <w:sz w:val="22"/>
            <w:szCs w:val="22"/>
            <w:u w:val="single"/>
          </w:rPr>
          <w:t xml:space="preserve">https://doi.org/10.1094/PDIS-02-19-0298-RE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Ruiz L, Simon A, Velasco L, Janssen D (2017) Biological characterization </w:t>
      </w:r>
      <w:r>
        <w:rPr>
          <w:rFonts w:ascii="Calibri" w:hAnsi="Calibri" w:eastAsia="Calibri" w:cs="Calibri"/>
          <w:i/>
          <w:iCs/>
          <w:color w:val="000000"/>
          <w:sz w:val="22"/>
          <w:szCs w:val="22"/>
        </w:rPr>
        <w:t xml:space="preserve">of Tomato leaf curl New Delhi virus</w:t>
      </w:r>
      <w:r>
        <w:rPr>
          <w:rFonts w:ascii="Calibri" w:hAnsi="Calibri" w:eastAsia="Calibri" w:cs="Calibri"/>
          <w:color w:val="000000"/>
          <w:sz w:val="22"/>
          <w:szCs w:val="22"/>
        </w:rPr>
        <w:t xml:space="preserve"> from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376-382.</w:t>
      </w:r>
    </w:p>
    <w:p>
      <w:pPr>
        <w:widowControl w:val="on"/>
        <w:pBdr/>
        <w:spacing w:before="220" w:after="220" w:line="240" w:lineRule="auto"/>
        <w:ind w:left="0" w:right="0"/>
        <w:jc w:val="left"/>
      </w:pPr>
      <w:r>
        <w:rPr>
          <w:rFonts w:ascii="Calibri" w:hAnsi="Calibri" w:eastAsia="Calibri" w:cs="Calibri"/>
          <w:color w:val="000000"/>
          <w:sz w:val="22"/>
          <w:szCs w:val="22"/>
        </w:rPr>
        <w:t xml:space="preserve">Ruiz ML, Simon A, Velasco L, Garcia MC, Janssen D (2015)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infecting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894-894.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Esteras C, Martinez C, Ferriol M, Dhillon NPS, Lopez C &amp; Pico B (2017) Resistance to tomato leaf curl New Delhi virus in melon is controlled by a major QTL located in chromosome 11.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1571-1584.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Martinez C, Ferriol M, Manzano S, Velasco L, Jamilena M, Lopez C &amp; Pico B (2016)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Cucurbita spp.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MD, Simon A, Rodriguez E,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Usharani KS, Surendranath B, Paul-Khurana SM, Garg ID, Malathi VG (2004) Potato leaf curl - a new disease of potato in northern India caused by a strain of Tomato leaf curl New Delhi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235-235.</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Jalali S &amp; Reddy MK (2015) Association of tomato leaf curl New Delhi virus DNA-B with bhendi yellow vein mosaic virus in okra showing yellow vein mosaic disease symptoms.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125-139.</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Saha S &amp; Reddy MK (2018) Recombinant</w:t>
      </w:r>
      <w:r>
        <w:rPr>
          <w:rFonts w:ascii="Calibri" w:hAnsi="Calibri" w:eastAsia="Calibri" w:cs="Calibri"/>
          <w:i/>
          <w:iCs/>
          <w:color w:val="000000"/>
          <w:sz w:val="22"/>
          <w:szCs w:val="22"/>
        </w:rPr>
        <w:t xml:space="preserve"> Tomato leaf curl New Delhi virus</w:t>
      </w:r>
      <w:r>
        <w:rPr>
          <w:rFonts w:ascii="Calibri" w:hAnsi="Calibri" w:eastAsia="Calibri" w:cs="Calibri"/>
          <w:color w:val="000000"/>
          <w:sz w:val="22"/>
          <w:szCs w:val="22"/>
        </w:rPr>
        <w:t xml:space="preserve"> is associated with yellow vein mosaic disease of okra in India.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108-118.</w:t>
      </w:r>
    </w:p>
    <w:p>
      <w:pPr>
        <w:widowControl w:val="on"/>
        <w:pBdr/>
        <w:spacing w:before="220" w:after="220" w:line="240" w:lineRule="auto"/>
        <w:ind w:left="0" w:right="0"/>
        <w:jc w:val="left"/>
      </w:pPr>
      <w:r>
        <w:rPr>
          <w:rFonts w:ascii="Calibri" w:hAnsi="Calibri" w:eastAsia="Calibri" w:cs="Calibri"/>
          <w:color w:val="000000"/>
          <w:sz w:val="22"/>
          <w:szCs w:val="22"/>
        </w:rPr>
        <w:t xml:space="preserve">Zaidi SSEA, Shafiq M, Amin I, Scheffler BE, Scheffler JA, Briddon RW &amp; Mansoor S (2016) Frequent occurrence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Cotton Leaf Curl Disease affected cotton in Pakistan.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w:t>
      </w:r>
      <w:hyperlink r:id="rId32376a53468d04b18" w:history="1">
        <w:r>
          <w:rPr>
            <w:rFonts w:ascii="Calibri" w:hAnsi="Calibri" w:eastAsia="Calibri" w:cs="Calibri"/>
            <w:color w:val="0000CC"/>
            <w:sz w:val="22"/>
            <w:szCs w:val="22"/>
            <w:u w:val="single"/>
          </w:rPr>
          <w:t xml:space="preserve">https://doi.org/10.1371/journal.pone.0155520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Stephan Winter, Plant Virus Department, Leibniz Institute- German Collection of Microorganisms and Cell Cultures, DSMZ,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solanumdelhiense</w:t>
      </w:r>
      <w:r>
        <w:rPr>
          <w:rFonts w:ascii="Calibri" w:hAnsi="Calibri" w:eastAsia="Calibri" w:cs="Calibri"/>
          <w:color w:val="000000"/>
          <w:sz w:val="22"/>
          <w:szCs w:val="22"/>
        </w:rPr>
        <w:t xml:space="preserve">. EPPO datasheets on pests recommended for regulation. Available online. </w:t>
      </w:r>
      <w:hyperlink r:id="rId10246a53468d04bc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5388830" name="name25026a53468d04c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096a53468d04c7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367217">
    <w:multiLevelType w:val="hybridMultilevel"/>
    <w:lvl w:ilvl="0" w:tplc="39181784">
      <w:start w:val="1"/>
      <w:numFmt w:val="decimal"/>
      <w:lvlText w:val="%1."/>
      <w:lvlJc w:val="left"/>
      <w:pPr>
        <w:ind w:left="720" w:hanging="360"/>
      </w:pPr>
    </w:lvl>
    <w:lvl w:ilvl="1" w:tplc="39181784" w:tentative="1">
      <w:start w:val="1"/>
      <w:numFmt w:val="lowerLetter"/>
      <w:lvlText w:val="%2."/>
      <w:lvlJc w:val="left"/>
      <w:pPr>
        <w:ind w:left="1440" w:hanging="360"/>
      </w:pPr>
    </w:lvl>
    <w:lvl w:ilvl="2" w:tplc="39181784" w:tentative="1">
      <w:start w:val="1"/>
      <w:numFmt w:val="lowerRoman"/>
      <w:lvlText w:val="%3."/>
      <w:lvlJc w:val="right"/>
      <w:pPr>
        <w:ind w:left="2160" w:hanging="180"/>
      </w:pPr>
    </w:lvl>
    <w:lvl w:ilvl="3" w:tplc="39181784" w:tentative="1">
      <w:start w:val="1"/>
      <w:numFmt w:val="decimal"/>
      <w:lvlText w:val="%4."/>
      <w:lvlJc w:val="left"/>
      <w:pPr>
        <w:ind w:left="2880" w:hanging="360"/>
      </w:pPr>
    </w:lvl>
    <w:lvl w:ilvl="4" w:tplc="39181784" w:tentative="1">
      <w:start w:val="1"/>
      <w:numFmt w:val="lowerLetter"/>
      <w:lvlText w:val="%5."/>
      <w:lvlJc w:val="left"/>
      <w:pPr>
        <w:ind w:left="3600" w:hanging="360"/>
      </w:pPr>
    </w:lvl>
    <w:lvl w:ilvl="5" w:tplc="39181784" w:tentative="1">
      <w:start w:val="1"/>
      <w:numFmt w:val="lowerRoman"/>
      <w:lvlText w:val="%6."/>
      <w:lvlJc w:val="right"/>
      <w:pPr>
        <w:ind w:left="4320" w:hanging="180"/>
      </w:pPr>
    </w:lvl>
    <w:lvl w:ilvl="6" w:tplc="39181784" w:tentative="1">
      <w:start w:val="1"/>
      <w:numFmt w:val="decimal"/>
      <w:lvlText w:val="%7."/>
      <w:lvlJc w:val="left"/>
      <w:pPr>
        <w:ind w:left="5040" w:hanging="360"/>
      </w:pPr>
    </w:lvl>
    <w:lvl w:ilvl="7" w:tplc="39181784" w:tentative="1">
      <w:start w:val="1"/>
      <w:numFmt w:val="lowerLetter"/>
      <w:lvlText w:val="%8."/>
      <w:lvlJc w:val="left"/>
      <w:pPr>
        <w:ind w:left="5760" w:hanging="360"/>
      </w:pPr>
    </w:lvl>
    <w:lvl w:ilvl="8" w:tplc="39181784" w:tentative="1">
      <w:start w:val="1"/>
      <w:numFmt w:val="lowerRoman"/>
      <w:lvlText w:val="%9."/>
      <w:lvlJc w:val="right"/>
      <w:pPr>
        <w:ind w:left="6480" w:hanging="180"/>
      </w:pPr>
    </w:lvl>
  </w:abstractNum>
  <w:abstractNum w:abstractNumId="82367216">
    <w:multiLevelType w:val="hybridMultilevel"/>
    <w:lvl w:ilvl="0" w:tplc="675108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367216">
    <w:abstractNumId w:val="82367216"/>
  </w:num>
  <w:num w:numId="82367217">
    <w:abstractNumId w:val="823672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1045727" Type="http://schemas.microsoft.com/office/2011/relationships/commentsExtended" Target="commentsExtended.xml"/><Relationship Id="rId697957544" Type="http://schemas.microsoft.com/office/2011/relationships/people" Target="people.xml"/><Relationship Id="rId27036a53468d00cf3" Type="http://schemas.openxmlformats.org/officeDocument/2006/relationships/hyperlink" Target="https://gd.eppo.int/taxon/TOLCND/" TargetMode="External"/><Relationship Id="rId60886a53468d00d5d" Type="http://schemas.openxmlformats.org/officeDocument/2006/relationships/hyperlink" Target="https://gd.eppo.int/taxon/TOLCND/categorization" TargetMode="External"/><Relationship Id="rId76536a53468d013eb" Type="http://schemas.openxmlformats.org/officeDocument/2006/relationships/hyperlink" Target="https://gd.eppo.int/taxon/TOLCND/photos" TargetMode="External"/><Relationship Id="rId13306a53468d03b8d" Type="http://schemas.openxmlformats.org/officeDocument/2006/relationships/hyperlink" Target="https://www.cabi.org/isc/datasheet/118179" TargetMode="External"/><Relationship Id="rId24976a53468d03c83" Type="http://schemas.openxmlformats.org/officeDocument/2006/relationships/hyperlink" Target="https://doi.org/10.2903/j.efsa.2013.3162" TargetMode="External"/><Relationship Id="rId96016a53468d03cfd" Type="http://schemas.openxmlformats.org/officeDocument/2006/relationships/hyperlink" Target="https://doi.org/10.2903/j.efsa.2020.6179" TargetMode="External"/><Relationship Id="rId83066a53468d03d30" Type="http://schemas.openxmlformats.org/officeDocument/2006/relationships/hyperlink" Target="https://doi.org/10.2903/sp.efsa.2020.EN-1904" TargetMode="External"/><Relationship Id="rId43306a53468d041a6" Type="http://schemas.openxmlformats.org/officeDocument/2006/relationships/hyperlink" Target="https://doi.org/10.3389/fmicb.2019.00140" TargetMode="External"/><Relationship Id="rId48476a53468d04217" Type="http://schemas.openxmlformats.org/officeDocument/2006/relationships/hyperlink" Target="https://doi.org/10.3390/plants9050563" TargetMode="External"/><Relationship Id="rId78746a53468d04295" Type="http://schemas.openxmlformats.org/officeDocument/2006/relationships/hyperlink" Target="https://doi.org/10.1016/B978-0-12-801246-8.00003-2" TargetMode="External"/><Relationship Id="rId35006a53468d04307" Type="http://schemas.openxmlformats.org/officeDocument/2006/relationships/hyperlink" Target="https://doi.org/10.1111/ppa.12267" TargetMode="External"/><Relationship Id="rId74276a53468d04379" Type="http://schemas.openxmlformats.org/officeDocument/2006/relationships/hyperlink" Target="https://doi.org/10.1007/s10658-020-02038-1" TargetMode="External"/><Relationship Id="rId77666a53468d04406" Type="http://schemas.openxmlformats.org/officeDocument/2006/relationships/hyperlink" Target="https://doi.org/10.3390/v9100264" TargetMode="External"/><Relationship Id="rId15896a53468d04482" Type="http://schemas.openxmlformats.org/officeDocument/2006/relationships/hyperlink" Target="https://doi.org/10.1099/0022-1317-76-1-25" TargetMode="External"/><Relationship Id="rId13246a53468d044f2" Type="http://schemas.openxmlformats.org/officeDocument/2006/relationships/hyperlink" Target="https://doi.org/10.1111/ppa.12978" TargetMode="External"/><Relationship Id="rId48336a53468d04661" Type="http://schemas.openxmlformats.org/officeDocument/2006/relationships/hyperlink" Target="https://doi.org/10.3390/ijerph16152673" TargetMode="External"/><Relationship Id="rId13466a53468d04710" Type="http://schemas.openxmlformats.org/officeDocument/2006/relationships/hyperlink" Target="https://doi.org/10.1094/PDIS-02-19-0298-RE" TargetMode="External"/><Relationship Id="rId32376a53468d04b18" Type="http://schemas.openxmlformats.org/officeDocument/2006/relationships/hyperlink" Target="https://doi.org/10.1371/journal.pone.0155520" TargetMode="External"/><Relationship Id="rId10246a53468d04bce" Type="http://schemas.openxmlformats.org/officeDocument/2006/relationships/hyperlink" Target="https://gd.eppo.int" TargetMode="External"/><Relationship Id="rId20126a53468d012e8" Type="http://schemas.openxmlformats.org/officeDocument/2006/relationships/image" Target="media/imgrId20126a53468d012e8.jpg"/><Relationship Id="rId53916a53468d02f16" Type="http://schemas.openxmlformats.org/officeDocument/2006/relationships/image" Target="media/imgrId53916a53468d02f16.jpg"/><Relationship Id="rId12096a53468d04c75" Type="http://schemas.openxmlformats.org/officeDocument/2006/relationships/image" Target="media/imgrId12096a53468d04c7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