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Crinivirus contagichlorosis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2022-01-14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Crinivirus contagichlorosis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Kitrinoviricota: Alsuviricetes: Martellivirales: Closteroviridae: Crinivirus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TICV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infectious chlorosis closterovirus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infectious chlorosis crinivirus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infectious chlorosis virus</w:t>
            </w:r>
            <w:hyperlink r:id="rId62956aafedfb1866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56436aafedfb186a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TICV00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1613736" name="name43246aafedfb18dff" descr="14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121.jpg"/>
                          <pic:cNvPicPr/>
                        </pic:nvPicPr>
                        <pic:blipFill>
                          <a:blip r:embed="rId38946aafedfb18dfd" cstate="print"/>
                          <a:stretch>
                            <a:fillRect/>
                          </a:stretch>
                        </pic:blipFill>
                        <pic:spPr>
                          <a:xfrm>
                            <a:off x="0" y="0"/>
                            <a:ext cx="2160000" cy="1281600"/>
                          </a:xfrm>
                          <a:prstGeom prst="rect">
                            <a:avLst/>
                          </a:prstGeom>
                          <a:ln w="0">
                            <a:noFill/>
                          </a:ln>
                        </pic:spPr>
                      </pic:pic>
                    </a:graphicData>
                  </a:graphic>
                </wp:inline>
              </w:drawing>
            </w:r>
            <w:hyperlink r:id="rId70446aafedfb18f42"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host range of </w:t>
      </w:r>
      <w:r>
        <w:rPr>
          <w:rFonts w:ascii="Calibri" w:hAnsi="Calibri" w:eastAsia="Calibri" w:cs="Calibri"/>
          <w:i/>
          <w:iCs/>
          <w:color w:val="000000"/>
          <w:sz w:val="22"/>
          <w:szCs w:val="22"/>
        </w:rPr>
        <w:t xml:space="preserve">Tomato infectious chlorosis virus</w:t>
      </w:r>
      <w:r>
        <w:rPr>
          <w:rFonts w:ascii="Calibri" w:hAnsi="Calibri" w:eastAsia="Calibri" w:cs="Calibri"/>
          <w:color w:val="000000"/>
          <w:sz w:val="22"/>
          <w:szCs w:val="22"/>
        </w:rPr>
        <w:t xml:space="preserve"> (TICV) includes several important agronomic crops.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(tomato), </w:t>
      </w:r>
      <w:r>
        <w:rPr>
          <w:rFonts w:ascii="Calibri" w:hAnsi="Calibri" w:eastAsia="Calibri" w:cs="Calibri"/>
          <w:i/>
          <w:iCs/>
          <w:color w:val="000000"/>
          <w:sz w:val="22"/>
          <w:szCs w:val="22"/>
        </w:rPr>
        <w:t xml:space="preserve">Lactuca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sativa</w:t>
      </w:r>
      <w:r>
        <w:rPr>
          <w:rFonts w:ascii="Calibri" w:hAnsi="Calibri" w:eastAsia="Calibri" w:cs="Calibri"/>
          <w:color w:val="000000"/>
          <w:sz w:val="22"/>
          <w:szCs w:val="22"/>
        </w:rPr>
        <w:t xml:space="preserve"> (lettuce), </w:t>
      </w:r>
      <w:r>
        <w:rPr>
          <w:rFonts w:ascii="Calibri" w:hAnsi="Calibri" w:eastAsia="Calibri" w:cs="Calibri"/>
          <w:i/>
          <w:iCs/>
          <w:color w:val="000000"/>
          <w:sz w:val="22"/>
          <w:szCs w:val="22"/>
        </w:rPr>
        <w:t xml:space="preserve">Physalis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ixocarpa</w:t>
      </w:r>
      <w:r>
        <w:rPr>
          <w:rFonts w:ascii="Calibri" w:hAnsi="Calibri" w:eastAsia="Calibri" w:cs="Calibri"/>
          <w:color w:val="000000"/>
          <w:sz w:val="22"/>
          <w:szCs w:val="22"/>
        </w:rPr>
        <w:t xml:space="preserve"> (physalis), </w:t>
      </w:r>
      <w:r>
        <w:rPr>
          <w:rFonts w:ascii="Calibri" w:hAnsi="Calibri" w:eastAsia="Calibri" w:cs="Calibri"/>
          <w:i/>
          <w:iCs/>
          <w:color w:val="000000"/>
          <w:sz w:val="22"/>
          <w:szCs w:val="22"/>
        </w:rPr>
        <w:t xml:space="preserve">Cynara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scolymus</w:t>
      </w:r>
      <w:r>
        <w:rPr>
          <w:rFonts w:ascii="Calibri" w:hAnsi="Calibri" w:eastAsia="Calibri" w:cs="Calibri"/>
          <w:color w:val="000000"/>
          <w:sz w:val="22"/>
          <w:szCs w:val="22"/>
        </w:rPr>
        <w:t xml:space="preserve"> (artichoke) (Anfoka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are the main economically important hosts of tomato infectious chlorosis virus (TICV) among vegetable crops. TICV also infects ornamental crops: </w:t>
      </w:r>
      <w:r>
        <w:rPr>
          <w:rFonts w:ascii="Calibri" w:hAnsi="Calibri" w:eastAsia="Calibri" w:cs="Calibri"/>
          <w:i/>
          <w:iCs/>
          <w:color w:val="000000"/>
          <w:sz w:val="22"/>
          <w:szCs w:val="22"/>
        </w:rPr>
        <w:t xml:space="preserve">Petunia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hybrida</w:t>
      </w:r>
      <w:r>
        <w:rPr>
          <w:rFonts w:ascii="Calibri" w:hAnsi="Calibri" w:eastAsia="Calibri" w:cs="Calibri"/>
          <w:color w:val="000000"/>
          <w:sz w:val="22"/>
          <w:szCs w:val="22"/>
        </w:rPr>
        <w:t xml:space="preserve"> (petunia), </w:t>
      </w:r>
      <w:r>
        <w:rPr>
          <w:rFonts w:ascii="Calibri" w:hAnsi="Calibri" w:eastAsia="Calibri" w:cs="Calibri"/>
          <w:i/>
          <w:iCs/>
          <w:color w:val="000000"/>
          <w:sz w:val="22"/>
          <w:szCs w:val="22"/>
        </w:rPr>
        <w:t xml:space="preserve">Ranunculus</w:t>
      </w:r>
      <w:r>
        <w:rPr>
          <w:rFonts w:ascii="Calibri" w:hAnsi="Calibri" w:eastAsia="Calibri" w:cs="Calibri"/>
          <w:color w:val="000000"/>
          <w:sz w:val="22"/>
          <w:szCs w:val="22"/>
        </w:rPr>
        <w:t xml:space="preserve"> sp. (ranunculus), </w:t>
      </w:r>
      <w:r>
        <w:rPr>
          <w:rFonts w:ascii="Calibri" w:hAnsi="Calibri" w:eastAsia="Calibri" w:cs="Calibri"/>
          <w:i/>
          <w:iCs/>
          <w:color w:val="000000"/>
          <w:sz w:val="22"/>
          <w:szCs w:val="22"/>
        </w:rPr>
        <w:t xml:space="preserve">Callistephus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chinensis</w:t>
      </w:r>
      <w:r>
        <w:rPr>
          <w:rFonts w:ascii="Calibri" w:hAnsi="Calibri" w:eastAsia="Calibri" w:cs="Calibri"/>
          <w:color w:val="000000"/>
          <w:sz w:val="22"/>
          <w:szCs w:val="22"/>
        </w:rPr>
        <w:t xml:space="preserve"> (China aster) and Zinnia </w:t>
      </w:r>
      <w:r>
        <w:rPr>
          <w:rFonts w:ascii="Calibri" w:hAnsi="Calibri" w:eastAsia="Calibri" w:cs="Calibri"/>
          <w:i/>
          <w:iCs/>
          <w:color w:val="000000"/>
          <w:sz w:val="22"/>
          <w:szCs w:val="22"/>
        </w:rPr>
        <w:t xml:space="preserve">elegans</w:t>
      </w:r>
      <w:r>
        <w:rPr>
          <w:rFonts w:ascii="Calibri" w:hAnsi="Calibri" w:eastAsia="Calibri" w:cs="Calibri"/>
          <w:color w:val="000000"/>
          <w:sz w:val="22"/>
          <w:szCs w:val="22"/>
        </w:rPr>
        <w:t xml:space="preserve"> (zinnia) (Tsai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In different countries, as host weeds of the virus have been identified </w:t>
      </w:r>
      <w:r>
        <w:rPr>
          <w:rFonts w:ascii="Calibri" w:hAnsi="Calibri" w:eastAsia="Calibri" w:cs="Calibri"/>
          <w:i/>
          <w:iCs/>
          <w:color w:val="000000"/>
          <w:sz w:val="22"/>
          <w:szCs w:val="22"/>
        </w:rPr>
        <w:t xml:space="preserve">Picris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echioides</w:t>
      </w:r>
      <w:r>
        <w:rPr>
          <w:rFonts w:ascii="Calibri" w:hAnsi="Calibri" w:eastAsia="Calibri" w:cs="Calibri"/>
          <w:color w:val="000000"/>
          <w:sz w:val="22"/>
          <w:szCs w:val="22"/>
        </w:rPr>
        <w:t xml:space="preserve"> (bristly oxtongue), </w:t>
      </w:r>
      <w:r>
        <w:rPr>
          <w:rFonts w:ascii="Calibri" w:hAnsi="Calibri" w:eastAsia="Calibri" w:cs="Calibri"/>
          <w:i/>
          <w:iCs/>
          <w:color w:val="000000"/>
          <w:sz w:val="22"/>
          <w:szCs w:val="22"/>
        </w:rPr>
        <w:t xml:space="preserve">Nicotiana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glauca</w:t>
      </w:r>
      <w:r>
        <w:rPr>
          <w:rFonts w:ascii="Calibri" w:hAnsi="Calibri" w:eastAsia="Calibri" w:cs="Calibri"/>
          <w:color w:val="000000"/>
          <w:sz w:val="22"/>
          <w:szCs w:val="22"/>
        </w:rPr>
        <w:t xml:space="preserve"> (tree tobacco), </w:t>
      </w:r>
      <w:r>
        <w:rPr>
          <w:rFonts w:ascii="Calibri" w:hAnsi="Calibri" w:eastAsia="Calibri" w:cs="Calibri"/>
          <w:i/>
          <w:iCs/>
          <w:color w:val="000000"/>
          <w:sz w:val="22"/>
          <w:szCs w:val="22"/>
        </w:rPr>
        <w:t xml:space="preserve">Cynara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cardunculus</w:t>
      </w:r>
      <w:r>
        <w:rPr>
          <w:rFonts w:ascii="Calibri" w:hAnsi="Calibri" w:eastAsia="Calibri" w:cs="Calibri"/>
          <w:color w:val="000000"/>
          <w:sz w:val="22"/>
          <w:szCs w:val="22"/>
        </w:rPr>
        <w:t xml:space="preserve"> (wild artichoke)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w:t>
      </w:r>
      <w:r>
        <w:rPr>
          <w:rFonts w:ascii="Calibri" w:hAnsi="Calibri" w:eastAsia="Calibri" w:cs="Calibri"/>
          <w:i/>
          <w:iCs/>
          <w:color w:val="000000"/>
          <w:sz w:val="22"/>
          <w:szCs w:val="22"/>
        </w:rPr>
        <w:t xml:space="preserve">Chenopodium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album</w:t>
      </w:r>
      <w:r>
        <w:rPr>
          <w:rFonts w:ascii="Calibri" w:hAnsi="Calibri" w:eastAsia="Calibri" w:cs="Calibri"/>
          <w:color w:val="000000"/>
          <w:sz w:val="22"/>
          <w:szCs w:val="22"/>
        </w:rPr>
        <w:t xml:space="preserve"> (fat-hen) and </w:t>
      </w:r>
      <w:r>
        <w:rPr>
          <w:rFonts w:ascii="Calibri" w:hAnsi="Calibri" w:eastAsia="Calibri" w:cs="Calibri"/>
          <w:i/>
          <w:iCs/>
          <w:color w:val="000000"/>
          <w:sz w:val="22"/>
          <w:szCs w:val="22"/>
        </w:rPr>
        <w:t xml:space="preserve">Chenopodium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murale</w:t>
      </w:r>
      <w:r>
        <w:rPr>
          <w:rFonts w:ascii="Calibri" w:hAnsi="Calibri" w:eastAsia="Calibri" w:cs="Calibri"/>
          <w:color w:val="000000"/>
          <w:sz w:val="22"/>
          <w:szCs w:val="22"/>
        </w:rPr>
        <w:t xml:space="preserve"> (sowbane) (Font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(potato) is one of a number of experimental hosts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conducted research on artificial infection of a number of plants with TICV. A list of experimental host plants was prepared based on the result of these studies: </w:t>
      </w:r>
      <w:r>
        <w:rPr>
          <w:rFonts w:ascii="Calibri" w:hAnsi="Calibri" w:eastAsia="Calibri" w:cs="Calibri"/>
          <w:i/>
          <w:iCs/>
          <w:color w:val="000000"/>
          <w:sz w:val="22"/>
          <w:szCs w:val="22"/>
        </w:rPr>
        <w:t xml:space="preserve">Chenopodium capitatum</w:t>
      </w:r>
      <w:r>
        <w:rPr>
          <w:rFonts w:ascii="Calibri" w:hAnsi="Calibri" w:eastAsia="Calibri" w:cs="Calibri"/>
          <w:color w:val="000000"/>
          <w:sz w:val="22"/>
          <w:szCs w:val="22"/>
        </w:rPr>
        <w:t xml:space="preserve"> (Chenopodiaceae), </w:t>
      </w:r>
      <w:r>
        <w:rPr>
          <w:rFonts w:ascii="Calibri" w:hAnsi="Calibri" w:eastAsia="Calibri" w:cs="Calibri"/>
          <w:i/>
          <w:iCs/>
          <w:color w:val="000000"/>
          <w:sz w:val="22"/>
          <w:szCs w:val="22"/>
        </w:rPr>
        <w:t xml:space="preserve">Cynara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cardunculus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oleraceus</w:t>
      </w:r>
      <w:r>
        <w:rPr>
          <w:rFonts w:ascii="Calibri" w:hAnsi="Calibri" w:eastAsia="Calibri" w:cs="Calibri"/>
          <w:color w:val="000000"/>
          <w:sz w:val="22"/>
          <w:szCs w:val="22"/>
        </w:rPr>
        <w:t xml:space="preserve"> (Asteraceae), </w:t>
      </w:r>
      <w:r>
        <w:rPr>
          <w:rFonts w:ascii="Calibri" w:hAnsi="Calibri" w:eastAsia="Calibri" w:cs="Calibri"/>
          <w:i/>
          <w:iCs/>
          <w:color w:val="000000"/>
          <w:sz w:val="22"/>
          <w:szCs w:val="22"/>
        </w:rPr>
        <w:t xml:space="preserve">Capsella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bursa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pastoris</w:t>
      </w:r>
      <w:r>
        <w:rPr>
          <w:rFonts w:ascii="Calibri" w:hAnsi="Calibri" w:eastAsia="Calibri" w:cs="Calibri"/>
          <w:color w:val="000000"/>
          <w:sz w:val="22"/>
          <w:szCs w:val="22"/>
        </w:rPr>
        <w:t xml:space="preserve"> (Brassicaceae), </w:t>
      </w:r>
      <w:r>
        <w:rPr>
          <w:rFonts w:ascii="Calibri" w:hAnsi="Calibri" w:eastAsia="Calibri" w:cs="Calibri"/>
          <w:i/>
          <w:iCs/>
          <w:color w:val="000000"/>
          <w:sz w:val="22"/>
          <w:szCs w:val="22"/>
        </w:rPr>
        <w:t xml:space="preserve">Erodium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cicutarium, Geranium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dissectum</w:t>
      </w:r>
      <w:r>
        <w:rPr>
          <w:rFonts w:ascii="Calibri" w:hAnsi="Calibri" w:eastAsia="Calibri" w:cs="Calibri"/>
          <w:color w:val="000000"/>
          <w:sz w:val="22"/>
          <w:szCs w:val="22"/>
        </w:rPr>
        <w:t xml:space="preserve"> (Geraniaceae),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subterraneum</w:t>
      </w:r>
      <w:r>
        <w:rPr>
          <w:rFonts w:ascii="Calibri" w:hAnsi="Calibri" w:eastAsia="Calibri" w:cs="Calibri"/>
          <w:color w:val="000000"/>
          <w:sz w:val="22"/>
          <w:szCs w:val="22"/>
        </w:rPr>
        <w:t xml:space="preserve"> (Fabaceae), </w:t>
      </w:r>
      <w:r>
        <w:rPr>
          <w:rFonts w:ascii="Calibri" w:hAnsi="Calibri" w:eastAsia="Calibri" w:cs="Calibri"/>
          <w:i/>
          <w:iCs/>
          <w:color w:val="000000"/>
          <w:sz w:val="22"/>
          <w:szCs w:val="22"/>
        </w:rPr>
        <w:t xml:space="preserve">Anoda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cristata</w:t>
      </w:r>
      <w:r>
        <w:rPr>
          <w:rFonts w:ascii="Calibri" w:hAnsi="Calibri" w:eastAsia="Calibri" w:cs="Calibri"/>
          <w:color w:val="000000"/>
          <w:sz w:val="22"/>
          <w:szCs w:val="22"/>
        </w:rPr>
        <w:t xml:space="preserve"> (Malvaceae), </w:t>
      </w:r>
      <w:r>
        <w:rPr>
          <w:rFonts w:ascii="Calibri" w:hAnsi="Calibri" w:eastAsia="Calibri" w:cs="Calibri"/>
          <w:i/>
          <w:iCs/>
          <w:color w:val="000000"/>
          <w:sz w:val="22"/>
          <w:szCs w:val="22"/>
        </w:rPr>
        <w:t xml:space="preserve">Nicotiana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benthamiana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 clevelandii, N. glauca, Physalis alkekengi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floridana, P. wrightii</w:t>
      </w:r>
      <w:r>
        <w:rPr>
          <w:rFonts w:ascii="Calibri" w:hAnsi="Calibri" w:eastAsia="Calibri" w:cs="Calibri"/>
          <w:color w:val="000000"/>
          <w:sz w:val="22"/>
          <w:szCs w:val="22"/>
        </w:rPr>
        <w:t xml:space="preserve">, (Solanaceae), </w:t>
      </w:r>
      <w:r>
        <w:rPr>
          <w:rFonts w:ascii="Calibri" w:hAnsi="Calibri" w:eastAsia="Calibri" w:cs="Calibri"/>
          <w:i/>
          <w:iCs/>
          <w:color w:val="000000"/>
          <w:sz w:val="22"/>
          <w:szCs w:val="22"/>
        </w:rPr>
        <w:t xml:space="preserve">Conium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maculatum</w:t>
      </w:r>
      <w:r>
        <w:rPr>
          <w:rFonts w:ascii="Calibri" w:hAnsi="Calibri" w:eastAsia="Calibri" w:cs="Calibri"/>
          <w:color w:val="000000"/>
          <w:sz w:val="22"/>
          <w:szCs w:val="22"/>
        </w:rPr>
        <w:t xml:space="preserve"> (Apiaceae)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Callistephus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cardunculus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scolymus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Dittrichia viscosa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dissectum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Helminthotheca echioides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ixocarpa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asiaticus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elegans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TICV was first identified in California in tomato fields, and in the USA it has been found primarily in commercial greenhouse-grown tomato in California and North Carolina (Parella, 2008).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TICV was initially reported in the early 2000s in Italy, Spain, Greece (Vaira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Font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Dovas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and then found in several other countries around/close to the Mediterranean Basin. </w:t>
      </w:r>
    </w:p>
    <w:p>
      <w:pPr>
        <w:widowControl w:val="on"/>
        <w:pBdr/>
        <w:spacing w:before="220" w:after="220" w:line="240" w:lineRule="auto"/>
        <w:ind w:left="0" w:right="0"/>
        <w:jc w:val="both"/>
      </w:pPr>
      <w:r>
        <w:rPr>
          <w:rFonts w:ascii="Calibri" w:hAnsi="Calibri" w:eastAsia="Calibri" w:cs="Calibri"/>
          <w:color w:val="000000"/>
          <w:sz w:val="22"/>
          <w:szCs w:val="22"/>
        </w:rPr>
        <w:t xml:space="preserve">In Asia TICV has been detected in protected and in field-grown tomato crops in Indonesia and Japan (Parella, 2008).</w:t>
      </w:r>
    </w:p>
    <w:p>
      <w:r>
        <w:drawing>
          <wp:inline distT="0" distB="0" distL="0" distR="0">
            <wp:extent cx="6120000" cy="3067200"/>
            <wp:docPr id="84143128" name="name10696aafedfb1ae80" descr="TIC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V00_distribution_map.jpg"/>
                    <pic:cNvPicPr/>
                  </pic:nvPicPr>
                  <pic:blipFill>
                    <a:blip r:embed="rId17386aafedfb1ae7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Bulgaria, France (mainland), Greece (mainland, Kriti), Italy (mainland, Sardegna, Sicilia), Jordan, Tunisia</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Indonesia, Japan (Honshu), Jordan,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(California, North Carolina)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TICV is a crinivirus that is transmitted locally by whiteflies in a semi-persistent manner. Research by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has shown that </w:t>
      </w:r>
      <w:r>
        <w:rPr>
          <w:rFonts w:ascii="Calibri" w:hAnsi="Calibri" w:eastAsia="Calibri" w:cs="Calibri"/>
          <w:i/>
          <w:iCs/>
          <w:color w:val="000000"/>
          <w:sz w:val="22"/>
          <w:szCs w:val="22"/>
        </w:rPr>
        <w:t xml:space="preserve">Trialeurodes vaporariorum</w:t>
      </w:r>
      <w:r>
        <w:rPr>
          <w:rFonts w:ascii="Calibri" w:hAnsi="Calibri" w:eastAsia="Calibri" w:cs="Calibri"/>
          <w:color w:val="000000"/>
          <w:sz w:val="22"/>
          <w:szCs w:val="22"/>
        </w:rPr>
        <w:t xml:space="preserve"> (Hemiptera: Aleyrodidae) is a vector of TICV in indoor and outdoor conditions. Minimum acquisition access period by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for TICV was after feeding for 1 h, but TICV was transmitted with greater efficiency after longer feeding periods. TICV was not found to be transmitted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Trialeurodes abutiloneus</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Myzus persicae</w:t>
      </w:r>
      <w:r>
        <w:rPr>
          <w:rFonts w:ascii="Calibri" w:hAnsi="Calibri" w:eastAsia="Calibri" w:cs="Calibri"/>
          <w:color w:val="000000"/>
          <w:sz w:val="22"/>
          <w:szCs w:val="22"/>
        </w:rPr>
        <w:t xml:space="preserve">. As a rule, the virus was detectable in the insects during the first 24-h feeding period, but there were cases where insects were able to retain TICV for 4 days.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TICV induced severe yellowing and/or reddening symptoms, stunting, rolling, and brittleness of affected leaves in a wide range of weed and crop species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plants affected by the yellowing disease show interveinal chlorosis symptoms that begin on lower leaves and gradually progress to the upper ones. As symptoms develop, interveinal areas of leaves eventually become bright yellow except for the veins, which remain green. Interveinal chlorosis usually appears 6 – 8 weeks after inoculation by whiteflies. Other symptoms include leaf rolling and necrotic flecks on the older leaves, as well as chlorotic spots on the new leaves (Hartono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Tomato plants appear less vigorous, and in some cases, fruits show delayed ripening (Anfoka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Generally, symptoms induced in tomato by TICV and by another tomato-infecting crinivirus, tomato chlorosis virus (ToCV), are very similar and often misidentified as nutritional deficiency (Vaira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in lettuce consist of interveinal yellowing, mainly of the oldest leaves, resembling those caused by nutrient deficiency. Symptomatic older leaves sometimes show necrosis of the margins and are moderately thicker and more brittle than younger leaves (Parella, 2008).</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criniviruses, such as TICV, have also been found to infect a large number of weed species that frequently appear in tomato crops. The majority of TICV infections in weeds are symptomless or associated with mild abnormalities such as interveinal chlorosis of leaves (Maliogka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However,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Chenopodium murale</w:t>
      </w:r>
      <w:r>
        <w:rPr>
          <w:rFonts w:ascii="Calibri" w:hAnsi="Calibri" w:eastAsia="Calibri" w:cs="Calibri"/>
          <w:color w:val="000000"/>
          <w:sz w:val="22"/>
          <w:szCs w:val="22"/>
        </w:rPr>
        <w:t xml:space="preserve"> showing chlorotic spots and blotches have been observed in many tomato fields (Anfoka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TICV possesses segmented genomes that are separately encapsidated in long, filamentous particles (Maliogka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These, flexuous, rod-shaped, particles typically measure about 850–900 × 12 nm (Anfoka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However, the longest particles found were in the 1550-1600 nm range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220" w:after="220" w:line="240" w:lineRule="auto"/>
        <w:ind w:left="0" w:right="0"/>
        <w:jc w:val="both"/>
      </w:pPr>
      <w:r>
        <w:rPr>
          <w:rFonts w:ascii="Calibri" w:hAnsi="Calibri" w:eastAsia="Calibri" w:cs="Calibri"/>
          <w:color w:val="000000"/>
          <w:sz w:val="22"/>
          <w:szCs w:val="22"/>
        </w:rPr>
        <w:t xml:space="preserve">TICV has a bipartite, positive sense single-stranded RNA genome which is capped at its 5′ end, and the length of its genomic RNA 1 and RNA 2 strands are 7.8 and 7.4 kb, respectively.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Disease diagnosis in crinivirus-infected plants is difficult as similar symptoms may be induced by different virus species (e.g. TICV and ToCV in tomato) or by abiotic factors (e.g. nutritional disorders). Therefore, it is necessary to apply laboratory techniques for the accurate and reliable determination that symptoms are caused by a crinivirus, and for determining which species is associated with the disease (Maliogka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220" w:after="220" w:line="240" w:lineRule="auto"/>
        <w:ind w:left="0" w:right="0"/>
        <w:jc w:val="both"/>
      </w:pPr>
      <w:r>
        <w:rPr>
          <w:rFonts w:ascii="Calibri" w:hAnsi="Calibri" w:eastAsia="Calibri" w:cs="Calibri"/>
          <w:color w:val="000000"/>
          <w:sz w:val="22"/>
          <w:szCs w:val="22"/>
        </w:rPr>
        <w:t xml:space="preserve">The highest concentrations of TICV in infected plants were found to be in the young tomato leaves just before the onset of yellowing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w:t>
      </w:r>
    </w:p>
    <w:p>
      <w:pPr>
        <w:widowControl w:val="on"/>
        <w:pBdr/>
        <w:spacing w:before="220" w:after="220" w:line="240" w:lineRule="auto"/>
        <w:ind w:left="0" w:right="0"/>
        <w:jc w:val="both"/>
      </w:pPr>
      <w:r>
        <w:rPr>
          <w:rFonts w:ascii="Calibri" w:hAnsi="Calibri" w:eastAsia="Calibri" w:cs="Calibri"/>
          <w:color w:val="000000"/>
          <w:sz w:val="22"/>
          <w:szCs w:val="22"/>
        </w:rPr>
        <w:t xml:space="preserve">TICV, as is the case for other criniviruses, is phloem restricted and accumulates at low concentrations within infected host plants. Therefore, crinivirus virions are difficult to purify in large quantities for production of antibodies and ELISA methods are usually not reliable for their detection (Maliogka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Polyclonal antibodies have been produced against TICV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Jacquemond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but only for research purposes. No cross-reactions were observed, however, false-negative ELISA results were found regularly in samples which were close to the detection limit (Jacquemond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t>
      </w:r>
    </w:p>
    <w:p>
      <w:pPr>
        <w:widowControl w:val="on"/>
        <w:pBdr/>
        <w:spacing w:before="220" w:after="220" w:line="240" w:lineRule="auto"/>
        <w:ind w:left="0" w:right="0"/>
        <w:jc w:val="both"/>
      </w:pPr>
      <w:r>
        <w:rPr>
          <w:rFonts w:ascii="Calibri" w:hAnsi="Calibri" w:eastAsia="Calibri" w:cs="Calibri"/>
          <w:color w:val="000000"/>
          <w:sz w:val="22"/>
          <w:szCs w:val="22"/>
        </w:rPr>
        <w:t xml:space="preserve">Conventional RT-PCR and real-time RT-PCR can be used for both detection and identification. In addition, sequence analysis of amplicons can be used for identification (EPPO, 2013) The specific primers have been derived from the heat shock protein (HSP70) homologue gene and CP region located on RNA2 of TICV (Vaira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Hartono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These primers showed the highest relative analytical sensitivity, the best analytical specificity, and good repeatability in detecting TICV in replicated tests (EPPO, 2013).</w:t>
      </w:r>
    </w:p>
    <w:p>
      <w:pPr>
        <w:widowControl w:val="on"/>
        <w:pBdr/>
        <w:spacing w:before="220" w:after="220" w:line="240" w:lineRule="auto"/>
        <w:ind w:left="0" w:right="0"/>
        <w:jc w:val="both"/>
      </w:pPr>
      <w:r>
        <w:rPr>
          <w:rFonts w:ascii="Calibri" w:hAnsi="Calibri" w:eastAsia="Calibri" w:cs="Calibri"/>
          <w:color w:val="000000"/>
          <w:sz w:val="22"/>
          <w:szCs w:val="22"/>
        </w:rPr>
        <w:t xml:space="preserve">Real time RT-PCR tests have become widely used recently for quick, reliable and sensitive virus detection, as well as for quantification of plant viruses in their hosts and arthropod vectors (Maliogka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During the preparation of the EPPO diagnostic protocol, various primers and probes to TICV were evaluated and the best ones were selected. The primers and probe, were validated in a test performance study involving five laboratories. </w:t>
      </w:r>
    </w:p>
    <w:p>
      <w:pPr>
        <w:widowControl w:val="on"/>
        <w:pBdr/>
        <w:spacing w:before="220" w:after="220" w:line="240" w:lineRule="auto"/>
        <w:ind w:left="0" w:right="0"/>
        <w:jc w:val="both"/>
      </w:pPr>
      <w:r>
        <w:rPr>
          <w:rFonts w:ascii="Calibri" w:hAnsi="Calibri" w:eastAsia="Calibri" w:cs="Calibri"/>
          <w:color w:val="000000"/>
          <w:sz w:val="22"/>
          <w:szCs w:val="22"/>
        </w:rPr>
        <w:t xml:space="preserve">Dot blot analysis (with digoxigenin-labelled complementary RNA synthesized by an in vitro transcription reaction or with dsDNA probes) is not commonly used, and for routine diagnosis it can be replaced by RT-PCR tests (EPPO; 2013).</w:t>
      </w:r>
    </w:p>
    <w:p>
      <w:pPr>
        <w:widowControl w:val="on"/>
        <w:pBdr/>
        <w:spacing w:before="220" w:after="220" w:line="240" w:lineRule="auto"/>
        <w:ind w:left="0" w:right="0"/>
        <w:jc w:val="both"/>
      </w:pPr>
      <w:r>
        <w:rPr>
          <w:rFonts w:ascii="Calibri" w:hAnsi="Calibri" w:eastAsia="Calibri" w:cs="Calibri"/>
          <w:color w:val="000000"/>
          <w:sz w:val="22"/>
          <w:szCs w:val="22"/>
        </w:rPr>
        <w:t xml:space="preserve">TICV can also be detected by vector transmission to indicator plants but is not transmitted mechanically. It can be distinguished from ToCV by symptoms on the indicator plants </w:t>
      </w:r>
      <w:r>
        <w:rPr>
          <w:rFonts w:ascii="Calibri" w:hAnsi="Calibri" w:eastAsia="Calibri" w:cs="Calibri"/>
          <w:i/>
          <w:iCs/>
          <w:color w:val="000000"/>
          <w:sz w:val="22"/>
          <w:szCs w:val="22"/>
        </w:rPr>
        <w:t xml:space="preserve">N. benthamiana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 clevelandii</w:t>
      </w:r>
      <w:r>
        <w:rPr>
          <w:rFonts w:ascii="Calibri" w:hAnsi="Calibri" w:eastAsia="Calibri" w:cs="Calibri"/>
          <w:color w:val="000000"/>
          <w:sz w:val="22"/>
          <w:szCs w:val="22"/>
        </w:rPr>
        <w:t xml:space="preserve">. Whereas both species show interveinal yellowing when infected with either virus, only TICV causes necrotic flecking in these hosts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TICV may be carried by infected plants for planting, mainly infected tomato plants (EPPO, 2007). Over short distances, TICV can be carried by its vector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The high number of natural plant hosts and ready transmission by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which has a wide distribution outdoors and on protected crops have contributed to the spread of TICV. As is the case for almost all viruses in the </w:t>
      </w:r>
      <w:r>
        <w:rPr>
          <w:rFonts w:ascii="Calibri" w:hAnsi="Calibri" w:eastAsia="Calibri" w:cs="Calibri"/>
          <w:i/>
          <w:iCs/>
          <w:color w:val="000000"/>
          <w:sz w:val="22"/>
          <w:szCs w:val="22"/>
        </w:rPr>
        <w:t xml:space="preserve">Closteroviridae</w:t>
      </w:r>
      <w:r>
        <w:rPr>
          <w:rFonts w:ascii="Calibri" w:hAnsi="Calibri" w:eastAsia="Calibri" w:cs="Calibri"/>
          <w:color w:val="000000"/>
          <w:sz w:val="22"/>
          <w:szCs w:val="22"/>
        </w:rPr>
        <w:t xml:space="preserve"> family, TICV is unlikely to be seed-borne. No transmission was detected by mechanical transmission tests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220" w:after="220" w:line="240" w:lineRule="auto"/>
        <w:ind w:left="0" w:right="0"/>
        <w:jc w:val="both"/>
      </w:pPr>
      <w:r>
        <w:rPr>
          <w:rFonts w:ascii="Calibri" w:hAnsi="Calibri" w:eastAsia="Calibri" w:cs="Calibri"/>
          <w:color w:val="000000"/>
          <w:sz w:val="22"/>
          <w:szCs w:val="22"/>
        </w:rPr>
        <w:t xml:space="preserve">Whitefly vectors would not be expected to spread the virus quickly to a new area under natural conditions. However, viruliferous whiteflies could be moved on plants and plant produce moving in international trade (CSL,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Criniviruses emerged as a major problem for world agriculture at the end of the twentieth century with the establishment of some of their whitefly vectors in temperate climate zones (Fiallo-Olivé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 whitefly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distributed throughout the world, and TICV, represent a severe threat to tomato crops in Europe and worldwide (Vaira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220" w:after="220" w:line="240" w:lineRule="auto"/>
        <w:ind w:left="0" w:right="0"/>
        <w:jc w:val="both"/>
      </w:pPr>
      <w:r>
        <w:rPr>
          <w:rFonts w:ascii="Calibri" w:hAnsi="Calibri" w:eastAsia="Calibri" w:cs="Calibri"/>
          <w:color w:val="000000"/>
          <w:sz w:val="22"/>
          <w:szCs w:val="22"/>
        </w:rPr>
        <w:t xml:space="preserve">High losses in tomato crops caused by TICV have been reported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Vaira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CSL, 2005, Anfoka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Parella, 2008). In the Irvine area of Orange County, California (US) in 1993, symptoms of the virus were found on almost 100% of the plants in all tomato fields. The disease induced severe crop loss and was associated with the occurrence of high populations of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In that season, economic losses for tomato growers were estimated as approximately 2 million USD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In 1995 and 1997, TICV was found in Italy in tomato fields, but the level of damage was not very high. In Greece, 80–100% infection incidence was reported in some glasshouse tomato crops (Dovas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220" w:after="220" w:line="240" w:lineRule="auto"/>
        <w:ind w:left="0" w:right="0"/>
        <w:jc w:val="both"/>
      </w:pPr>
      <w:r>
        <w:rPr>
          <w:rFonts w:ascii="Calibri" w:hAnsi="Calibri" w:eastAsia="Calibri" w:cs="Calibri"/>
          <w:color w:val="000000"/>
          <w:sz w:val="22"/>
          <w:szCs w:val="22"/>
        </w:rPr>
        <w:t xml:space="preserve">TICV and ToCV have been found together in tomato, indicating that infection by one crinivirus species does not prevent infection by a second (Wintermantel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As with other virus diseases, once a plant is infected there is no cure, and measures should be taken to eradicate sources of inoculum and eliminate the presence of vectors to minimise the risk of further transmission therefore, control of whitefly vectors and weeds as reservoirs of infection are key control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Whitefly management is generally based on the application of foliar insecticides when pest levels are low. Once population levels are high, management is very difficult (Alibakhshi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Control of the whitefly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is difficult and has had varying success rates over the years. The use of synthetic insecticides is the primary mode of control; however, indiscriminate and injudicious use of pesticides may lead to the development of insecticide resistance both in greenhouses and fields.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has developed resistance to pyrethroids, carbamates and organophosphates such as dimethoate. However, chemical control is still a key component of integrated pest management systems (Alibakhshi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The biocontrol agent </w:t>
      </w:r>
      <w:r>
        <w:rPr>
          <w:rFonts w:ascii="Calibri" w:hAnsi="Calibri" w:eastAsia="Calibri" w:cs="Calibri"/>
          <w:i/>
          <w:iCs/>
          <w:color w:val="000000"/>
          <w:sz w:val="22"/>
          <w:szCs w:val="22"/>
        </w:rPr>
        <w:t xml:space="preserve">Encarsia formosa</w:t>
      </w:r>
      <w:r>
        <w:rPr>
          <w:rFonts w:ascii="Calibri" w:hAnsi="Calibri" w:eastAsia="Calibri" w:cs="Calibri"/>
          <w:color w:val="000000"/>
          <w:sz w:val="22"/>
          <w:szCs w:val="22"/>
        </w:rPr>
        <w:t xml:space="preserve"> (Hymenoptera: Aphelinidae) is used to control </w:t>
      </w:r>
      <w:r>
        <w:rPr>
          <w:rFonts w:ascii="Calibri" w:hAnsi="Calibri" w:eastAsia="Calibri" w:cs="Calibri"/>
          <w:i/>
          <w:iCs/>
          <w:color w:val="000000"/>
          <w:sz w:val="22"/>
          <w:szCs w:val="22"/>
        </w:rPr>
        <w:t xml:space="preserve">T. vaporariorum </w:t>
      </w:r>
      <w:r>
        <w:rPr>
          <w:rFonts w:ascii="Calibri" w:hAnsi="Calibri" w:eastAsia="Calibri" w:cs="Calibri"/>
          <w:color w:val="000000"/>
          <w:sz w:val="22"/>
          <w:szCs w:val="22"/>
        </w:rPr>
        <w:t xml:space="preserve">(CABI, 2021).</w:t>
      </w:r>
    </w:p>
    <w:p>
      <w:pPr>
        <w:widowControl w:val="on"/>
        <w:pBdr/>
        <w:spacing w:before="220" w:after="220" w:line="240" w:lineRule="auto"/>
        <w:ind w:left="0" w:right="0"/>
        <w:jc w:val="both"/>
      </w:pPr>
      <w:r>
        <w:rPr>
          <w:rFonts w:ascii="Calibri" w:hAnsi="Calibri" w:eastAsia="Calibri" w:cs="Calibri"/>
          <w:color w:val="000000"/>
          <w:sz w:val="22"/>
          <w:szCs w:val="22"/>
        </w:rPr>
        <w:t xml:space="preserve">Using containment structures, for example adding nets to the greenhouse ventilation windows limiting the access of the whitefly vectors to the plants, results in an efficient protection of the crop from infection (Fiallo-Olivé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commercial tomato hybrids showing resistance to TICV (Maliogka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countries where TICV has been recorded, the virus has caused serious economic losses to tomato growers. Tomato is one of the most important vegetable crops worldwide, and in the EPPO region where it is grown in and out of doors in the south, and in glasshouses in the north. The vector of TICV,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is a very widespread pest of glasshouse crops in the EPPO region and also occurs on field crops during summer months. To date, TICV has been identified in some countries of the EPPO region, the Americas and Asia. Further spread of TICV through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or contaminated planting material could cause significant damage to the production of tomatoes and other major host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It is also worth noting that no significant loss of yield or quality of host plants caused by TICV has been reported recently.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TICV was added in 2007 to the EPPO A2 List, and endangered EPPO member countries are thus recommended to regulate it as a quarantine pest. Phytosanitary measures should require that young tomato plants for planting are produced in a place of production free from the pest, under conditions which exclude the vector (EPPO, 2007). Eradication of isolated outbreaks in glasshouse-grown tomatoes could be achieved by destruction of affected hosts and of the vector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Alibakhshi Z, Seddigh S &amp; Tafaghodinia B (2020) Chemical control optimization of </w:t>
      </w:r>
      <w:r>
        <w:rPr>
          <w:rFonts w:ascii="Calibri" w:hAnsi="Calibri" w:eastAsia="Calibri" w:cs="Calibri"/>
          <w:i/>
          <w:iCs/>
          <w:color w:val="000000"/>
          <w:sz w:val="22"/>
          <w:szCs w:val="22"/>
        </w:rPr>
        <w:t xml:space="preserve">Trialeurodes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vaporariorum</w:t>
      </w:r>
      <w:r>
        <w:rPr>
          <w:rFonts w:ascii="Calibri" w:hAnsi="Calibri" w:eastAsia="Calibri" w:cs="Calibri"/>
          <w:color w:val="000000"/>
          <w:sz w:val="22"/>
          <w:szCs w:val="22"/>
        </w:rPr>
        <w:t xml:space="preserve"> (Homoptera: Aleyrodidae) in gerbera commercial greenhouses. </w:t>
      </w:r>
      <w:r>
        <w:rPr>
          <w:rFonts w:ascii="Calibri" w:hAnsi="Calibri" w:eastAsia="Calibri" w:cs="Calibri"/>
          <w:i/>
          <w:iCs/>
          <w:color w:val="000000"/>
          <w:sz w:val="22"/>
          <w:szCs w:val="22"/>
        </w:rPr>
        <w:t xml:space="preserve">Journal of 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(3), 421-437.</w:t>
      </w:r>
    </w:p>
    <w:p>
      <w:pPr>
        <w:widowControl w:val="on"/>
        <w:pBdr/>
        <w:spacing w:before="220" w:after="220" w:line="240" w:lineRule="auto"/>
        <w:ind w:left="0" w:right="0"/>
        <w:jc w:val="left"/>
      </w:pPr>
      <w:r>
        <w:rPr>
          <w:rFonts w:ascii="Calibri" w:hAnsi="Calibri" w:eastAsia="Calibri" w:cs="Calibri"/>
          <w:color w:val="000000"/>
          <w:sz w:val="22"/>
          <w:szCs w:val="22"/>
        </w:rPr>
        <w:t xml:space="preserve">Anfoka GH &amp; Abhary MK (2007) Occurrence of </w:t>
      </w:r>
      <w:r>
        <w:rPr>
          <w:rFonts w:ascii="Calibri" w:hAnsi="Calibri" w:eastAsia="Calibri" w:cs="Calibri"/>
          <w:i/>
          <w:iCs/>
          <w:color w:val="000000"/>
          <w:sz w:val="22"/>
          <w:szCs w:val="22"/>
        </w:rPr>
        <w:t xml:space="preserve">Tomato infectious chlorosis virus</w:t>
      </w:r>
      <w:r>
        <w:rPr>
          <w:rFonts w:ascii="Calibri" w:hAnsi="Calibri" w:eastAsia="Calibri" w:cs="Calibri"/>
          <w:color w:val="000000"/>
          <w:sz w:val="22"/>
          <w:szCs w:val="22"/>
        </w:rPr>
        <w:t xml:space="preserve"> (TICV) in Jordan.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186–190.</w:t>
      </w:r>
    </w:p>
    <w:p>
      <w:pPr>
        <w:widowControl w:val="on"/>
        <w:pBdr/>
        <w:spacing w:before="220" w:after="220" w:line="240" w:lineRule="auto"/>
        <w:ind w:left="0" w:right="0"/>
        <w:jc w:val="left"/>
      </w:pPr>
      <w:r>
        <w:rPr>
          <w:rFonts w:ascii="Calibri" w:hAnsi="Calibri" w:eastAsia="Calibri" w:cs="Calibri"/>
          <w:color w:val="000000"/>
          <w:sz w:val="22"/>
          <w:szCs w:val="22"/>
        </w:rPr>
        <w:t xml:space="preserve">CSL (2005) Pest Risk Analysis for Tomato infectious chlorosis virus. </w:t>
      </w:r>
      <w:hyperlink r:id="rId77046aafedfb1bef9" w:history="1">
        <w:r>
          <w:rPr>
            <w:rFonts w:ascii="Calibri" w:hAnsi="Calibri" w:eastAsia="Calibri" w:cs="Calibri"/>
            <w:color w:val="0000CC"/>
            <w:sz w:val="22"/>
            <w:szCs w:val="22"/>
            <w:u w:val="single"/>
          </w:rPr>
          <w:t xml:space="preserve">https://secure.fera.defra.gov.uk/phiw/riskRegister/downloadExternalPra.cfm?id=3925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Dalmon A, Boyer S, Cailly M, Girard M, Lecoq H, Desbiez C &amp; Jacquemond M (2005) First report of </w:t>
      </w:r>
      <w:r>
        <w:rPr>
          <w:rFonts w:ascii="Calibri" w:hAnsi="Calibri" w:eastAsia="Calibri" w:cs="Calibri"/>
          <w:i/>
          <w:iCs/>
          <w:color w:val="000000"/>
          <w:sz w:val="22"/>
          <w:szCs w:val="22"/>
        </w:rPr>
        <w:t xml:space="preserve">Tomato chlorosis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Tomato infectious chlorosis virus</w:t>
      </w:r>
      <w:r>
        <w:rPr>
          <w:rFonts w:ascii="Calibri" w:hAnsi="Calibri" w:eastAsia="Calibri" w:cs="Calibri"/>
          <w:color w:val="000000"/>
          <w:sz w:val="22"/>
          <w:szCs w:val="22"/>
        </w:rPr>
        <w:t xml:space="preserve"> in tomato crops in France.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1242.</w:t>
      </w:r>
    </w:p>
    <w:p>
      <w:pPr>
        <w:widowControl w:val="on"/>
        <w:pBdr/>
        <w:spacing w:before="220" w:after="220" w:line="240" w:lineRule="auto"/>
        <w:ind w:left="0" w:right="0"/>
        <w:jc w:val="left"/>
      </w:pPr>
      <w:r>
        <w:rPr>
          <w:rFonts w:ascii="Calibri" w:hAnsi="Calibri" w:eastAsia="Calibri" w:cs="Calibri"/>
          <w:color w:val="000000"/>
          <w:sz w:val="22"/>
          <w:szCs w:val="22"/>
        </w:rPr>
        <w:t xml:space="preserve">Dovas CI, Katis NI &amp; Avgelis AD (2002) Multiplex detection of criniviruses associated with epidemics of a yellowing disease of tomato in Greece.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1345–1349.</w:t>
      </w:r>
    </w:p>
    <w:p>
      <w:pPr>
        <w:widowControl w:val="on"/>
        <w:pBdr/>
        <w:spacing w:before="220" w:after="220" w:line="240" w:lineRule="auto"/>
        <w:ind w:left="0" w:right="0"/>
        <w:jc w:val="left"/>
      </w:pPr>
      <w:r>
        <w:rPr>
          <w:rFonts w:ascii="Calibri" w:hAnsi="Calibri" w:eastAsia="Calibri" w:cs="Calibri"/>
          <w:color w:val="000000"/>
          <w:sz w:val="22"/>
          <w:szCs w:val="22"/>
        </w:rPr>
        <w:t xml:space="preserve">Duffus JE, Liu HY &amp; Wisler GC (1996) Tomato infectious chlorosis virus – a new clostero-like virus transmitted by </w:t>
      </w:r>
      <w:r>
        <w:rPr>
          <w:rFonts w:ascii="Calibri" w:hAnsi="Calibri" w:eastAsia="Calibri" w:cs="Calibri"/>
          <w:i/>
          <w:iCs/>
          <w:color w:val="000000"/>
          <w:sz w:val="22"/>
          <w:szCs w:val="22"/>
        </w:rPr>
        <w:t xml:space="preserve">Trialeurodes vaporariorum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219–226.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PM 7/118 (1) Tomato chlorosis virus and Tomato infectious chlorosis 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462–470.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PRA for Tomato infectious chlorosis virus. Available from the EPPO Platform on PRAs. </w:t>
      </w:r>
      <w:hyperlink r:id="rId83996aafedfb1c149" w:history="1">
        <w:r>
          <w:rPr>
            <w:rFonts w:ascii="Calibri" w:hAnsi="Calibri" w:eastAsia="Calibri" w:cs="Calibri"/>
            <w:color w:val="0000CC"/>
            <w:sz w:val="22"/>
            <w:szCs w:val="22"/>
            <w:u w:val="single"/>
          </w:rPr>
          <w:t xml:space="preserve">https://pra.eppo.int/pra/510b867e-ec9f-4928-bf23-bad1cea8ee57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Fiallo-Olivé E, Navas-Castillo J (2019) Tomato chlorosis virus, an emergent plant virus still expanding its geographical and host ranges. </w:t>
      </w:r>
      <w:r>
        <w:rPr>
          <w:rFonts w:ascii="Calibri" w:hAnsi="Calibri" w:eastAsia="Calibri" w:cs="Calibri"/>
          <w:i/>
          <w:iCs/>
          <w:color w:val="000000"/>
          <w:sz w:val="22"/>
          <w:szCs w:val="22"/>
        </w:rPr>
        <w:t xml:space="preserve">Molecular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20(9), 1307-1320. </w:t>
      </w:r>
      <w:hyperlink r:id="rId96416aafedfb1c1c0" w:history="1">
        <w:r>
          <w:rPr>
            <w:rFonts w:ascii="Calibri" w:hAnsi="Calibri" w:eastAsia="Calibri" w:cs="Calibri"/>
            <w:color w:val="0000CC"/>
            <w:sz w:val="22"/>
            <w:szCs w:val="22"/>
            <w:u w:val="single"/>
          </w:rPr>
          <w:t xml:space="preserve">https://doi.org/10.1111/mpp.12847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Font MI, Juárez M, Martínez O &amp; Jordá C (2004) Current status and newly discovered natural hosts of </w:t>
      </w:r>
      <w:r>
        <w:rPr>
          <w:rFonts w:ascii="Calibri" w:hAnsi="Calibri" w:eastAsia="Calibri" w:cs="Calibri"/>
          <w:i/>
          <w:iCs/>
          <w:color w:val="000000"/>
          <w:sz w:val="22"/>
          <w:szCs w:val="22"/>
        </w:rPr>
        <w:t xml:space="preserve">Tomato infectious chlorosis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Tomato chlorosis virus</w:t>
      </w:r>
      <w:r>
        <w:rPr>
          <w:rFonts w:ascii="Calibri" w:hAnsi="Calibri" w:eastAsia="Calibri" w:cs="Calibri"/>
          <w:color w:val="000000"/>
          <w:sz w:val="22"/>
          <w:szCs w:val="22"/>
        </w:rPr>
        <w:t xml:space="preserve"> in Spain.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82.</w:t>
      </w:r>
    </w:p>
    <w:p>
      <w:pPr>
        <w:widowControl w:val="on"/>
        <w:pBdr/>
        <w:spacing w:before="220" w:after="220" w:line="240" w:lineRule="auto"/>
        <w:ind w:left="0" w:right="0"/>
        <w:jc w:val="left"/>
      </w:pPr>
      <w:r>
        <w:rPr>
          <w:rFonts w:ascii="Calibri" w:hAnsi="Calibri" w:eastAsia="Calibri" w:cs="Calibri"/>
          <w:color w:val="000000"/>
          <w:sz w:val="22"/>
          <w:szCs w:val="22"/>
        </w:rPr>
        <w:t xml:space="preserve">Font MI, Martínez-Culebras P, Jordá MC, Louro D, Vaira AM &amp; Accotto GP (2002) First report of </w:t>
      </w:r>
      <w:r>
        <w:rPr>
          <w:rFonts w:ascii="Calibri" w:hAnsi="Calibri" w:eastAsia="Calibri" w:cs="Calibri"/>
          <w:i/>
          <w:iCs/>
          <w:color w:val="000000"/>
          <w:sz w:val="22"/>
          <w:szCs w:val="22"/>
        </w:rPr>
        <w:t xml:space="preserve">Tomato infectious chlorosis virus</w:t>
      </w:r>
      <w:r>
        <w:rPr>
          <w:rFonts w:ascii="Calibri" w:hAnsi="Calibri" w:eastAsia="Calibri" w:cs="Calibri"/>
          <w:color w:val="000000"/>
          <w:sz w:val="22"/>
          <w:szCs w:val="22"/>
        </w:rPr>
        <w:t xml:space="preserve"> in Spain.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696.</w:t>
      </w:r>
    </w:p>
    <w:p>
      <w:pPr>
        <w:widowControl w:val="on"/>
        <w:pBdr/>
        <w:spacing w:before="220" w:after="220" w:line="240" w:lineRule="auto"/>
        <w:ind w:left="0" w:right="0"/>
        <w:jc w:val="left"/>
      </w:pPr>
      <w:r>
        <w:rPr>
          <w:rFonts w:ascii="Calibri" w:hAnsi="Calibri" w:eastAsia="Calibri" w:cs="Calibri"/>
          <w:color w:val="000000"/>
          <w:sz w:val="22"/>
          <w:szCs w:val="22"/>
        </w:rPr>
        <w:t xml:space="preserve">Hartono S, Natsuki T, Sayama H, Atarashi H &amp; Okuda S (2003) Yellowing disease of tomatoes caused by </w:t>
      </w:r>
      <w:r>
        <w:rPr>
          <w:rFonts w:ascii="Calibri" w:hAnsi="Calibri" w:eastAsia="Calibri" w:cs="Calibri"/>
          <w:i/>
          <w:iCs/>
          <w:color w:val="000000"/>
          <w:sz w:val="22"/>
          <w:szCs w:val="22"/>
        </w:rPr>
        <w:t xml:space="preserve">Tomato infectious chlorosis virus</w:t>
      </w:r>
      <w:r>
        <w:rPr>
          <w:rFonts w:ascii="Calibri" w:hAnsi="Calibri" w:eastAsia="Calibri" w:cs="Calibri"/>
          <w:color w:val="000000"/>
          <w:sz w:val="22"/>
          <w:szCs w:val="22"/>
        </w:rPr>
        <w:t xml:space="preserve"> newly recognized in Japan. </w:t>
      </w:r>
      <w:r>
        <w:rPr>
          <w:rFonts w:ascii="Calibri" w:hAnsi="Calibri" w:eastAsia="Calibri" w:cs="Calibri"/>
          <w:i/>
          <w:iCs/>
          <w:color w:val="000000"/>
          <w:sz w:val="22"/>
          <w:szCs w:val="22"/>
        </w:rPr>
        <w:t xml:space="preserve">Journal of General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61–64.</w:t>
      </w:r>
    </w:p>
    <w:p>
      <w:pPr>
        <w:widowControl w:val="on"/>
        <w:pBdr/>
        <w:spacing w:before="220" w:after="220" w:line="240" w:lineRule="auto"/>
        <w:ind w:left="0" w:right="0"/>
        <w:jc w:val="left"/>
      </w:pPr>
      <w:r>
        <w:rPr>
          <w:rFonts w:ascii="Calibri" w:hAnsi="Calibri" w:eastAsia="Calibri" w:cs="Calibri"/>
          <w:color w:val="000000"/>
          <w:sz w:val="22"/>
          <w:szCs w:val="22"/>
        </w:rPr>
        <w:t xml:space="preserve">Jacquemond M, Verdin E, Dalmon A, Guilbaud L, Gognalons P (2009) Serological and molecular detection of </w:t>
      </w:r>
      <w:r>
        <w:rPr>
          <w:rFonts w:ascii="Calibri" w:hAnsi="Calibri" w:eastAsia="Calibri" w:cs="Calibri"/>
          <w:i/>
          <w:iCs/>
          <w:color w:val="000000"/>
          <w:sz w:val="22"/>
          <w:szCs w:val="22"/>
        </w:rPr>
        <w:t xml:space="preserve">Tomato chlorosis virus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Tomato infectious chlorosis virus</w:t>
      </w:r>
      <w:r>
        <w:rPr>
          <w:rFonts w:ascii="Calibri" w:hAnsi="Calibri" w:eastAsia="Calibri" w:cs="Calibri"/>
          <w:color w:val="000000"/>
          <w:sz w:val="22"/>
          <w:szCs w:val="22"/>
        </w:rPr>
        <w:t xml:space="preserve"> in tomato.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210–220.</w:t>
      </w:r>
    </w:p>
    <w:p>
      <w:pPr>
        <w:widowControl w:val="on"/>
        <w:pBdr/>
        <w:spacing w:before="220" w:after="220" w:line="240" w:lineRule="auto"/>
        <w:ind w:left="0" w:right="0"/>
        <w:jc w:val="left"/>
      </w:pPr>
      <w:r>
        <w:rPr>
          <w:rFonts w:ascii="Calibri" w:hAnsi="Calibri" w:eastAsia="Calibri" w:cs="Calibri"/>
          <w:color w:val="000000"/>
          <w:sz w:val="22"/>
          <w:szCs w:val="22"/>
        </w:rPr>
        <w:t xml:space="preserve">Li RH, Wisler GC, Liu HY &amp; Duffus JE (1998) Comparison of diagnostic techniques for detecting </w:t>
      </w:r>
      <w:r>
        <w:rPr>
          <w:rFonts w:ascii="Calibri" w:hAnsi="Calibri" w:eastAsia="Calibri" w:cs="Calibri"/>
          <w:i/>
          <w:iCs/>
          <w:color w:val="000000"/>
          <w:sz w:val="22"/>
          <w:szCs w:val="22"/>
        </w:rPr>
        <w:t xml:space="preserve">Tomato infectious chlorosis virus. 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84–88.</w:t>
      </w:r>
    </w:p>
    <w:p>
      <w:pPr>
        <w:widowControl w:val="on"/>
        <w:pBdr/>
        <w:spacing w:before="220" w:after="220" w:line="240" w:lineRule="auto"/>
        <w:ind w:left="0" w:right="0"/>
        <w:jc w:val="left"/>
      </w:pPr>
      <w:r>
        <w:rPr>
          <w:rFonts w:ascii="Calibri" w:hAnsi="Calibri" w:eastAsia="Calibri" w:cs="Calibri"/>
          <w:color w:val="000000"/>
          <w:sz w:val="22"/>
          <w:szCs w:val="22"/>
        </w:rPr>
        <w:t xml:space="preserve">Maliogka VI, Wintermantel WM, Orfanidou CG, Katis NI (2020) Criniviruses infecting vegetable crops. In </w:t>
      </w:r>
      <w:r>
        <w:rPr>
          <w:rFonts w:ascii="Calibri" w:hAnsi="Calibri" w:eastAsia="Calibri" w:cs="Calibri"/>
          <w:i/>
          <w:iCs/>
          <w:color w:val="000000"/>
          <w:sz w:val="22"/>
          <w:szCs w:val="22"/>
        </w:rPr>
        <w:t xml:space="preserve">Applied Plant</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Biotechnology for Improving Resistance to Biotic Stress</w:t>
      </w:r>
      <w:r>
        <w:rPr>
          <w:rFonts w:ascii="Calibri" w:hAnsi="Calibri" w:eastAsia="Calibri" w:cs="Calibri"/>
          <w:color w:val="000000"/>
          <w:sz w:val="22"/>
          <w:szCs w:val="22"/>
        </w:rPr>
        <w:t xml:space="preserve">. Elsevier, Amsterdam, The Netherlands, pp. 251–289.</w:t>
      </w:r>
    </w:p>
    <w:p>
      <w:pPr>
        <w:widowControl w:val="on"/>
        <w:pBdr/>
        <w:spacing w:before="220" w:after="220" w:line="240" w:lineRule="auto"/>
        <w:ind w:left="0" w:right="0"/>
        <w:jc w:val="left"/>
      </w:pPr>
      <w:r>
        <w:rPr>
          <w:rFonts w:ascii="Calibri" w:hAnsi="Calibri" w:eastAsia="Calibri" w:cs="Calibri"/>
          <w:color w:val="000000"/>
          <w:sz w:val="22"/>
          <w:szCs w:val="22"/>
        </w:rPr>
        <w:t xml:space="preserve">Parrella G, Scassillo L (2006) [First report of </w:t>
      </w:r>
      <w:r>
        <w:rPr>
          <w:rFonts w:ascii="Calibri" w:hAnsi="Calibri" w:eastAsia="Calibri" w:cs="Calibri"/>
          <w:i/>
          <w:iCs/>
          <w:color w:val="000000"/>
          <w:sz w:val="22"/>
          <w:szCs w:val="22"/>
        </w:rPr>
        <w:t xml:space="preserve">Tomato chlorosis virus</w:t>
      </w:r>
      <w:r>
        <w:rPr>
          <w:rFonts w:ascii="Calibri" w:hAnsi="Calibri" w:eastAsia="Calibri" w:cs="Calibri"/>
          <w:color w:val="000000"/>
          <w:sz w:val="22"/>
          <w:szCs w:val="22"/>
        </w:rPr>
        <w:t xml:space="preserve"> (ToCV) in Campania and of </w:t>
      </w:r>
      <w:r>
        <w:rPr>
          <w:rFonts w:ascii="Calibri" w:hAnsi="Calibri" w:eastAsia="Calibri" w:cs="Calibri"/>
          <w:i/>
          <w:iCs/>
          <w:color w:val="000000"/>
          <w:sz w:val="22"/>
          <w:szCs w:val="22"/>
        </w:rPr>
        <w:t xml:space="preserve">Tomato infectious chlorosis virus</w:t>
      </w:r>
      <w:r>
        <w:rPr>
          <w:rFonts w:ascii="Calibri" w:hAnsi="Calibri" w:eastAsia="Calibri" w:cs="Calibri"/>
          <w:color w:val="000000"/>
          <w:sz w:val="22"/>
          <w:szCs w:val="22"/>
        </w:rPr>
        <w:t xml:space="preserve"> (TICV) in Calabria (Southern Italy)]. </w:t>
      </w:r>
      <w:r>
        <w:rPr>
          <w:rFonts w:ascii="Calibri" w:hAnsi="Calibri" w:eastAsia="Calibri" w:cs="Calibri"/>
          <w:i/>
          <w:iCs/>
          <w:color w:val="000000"/>
          <w:sz w:val="22"/>
          <w:szCs w:val="22"/>
        </w:rPr>
        <w:t xml:space="preserve">Informatore Fitopatologico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33–34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Parrella G (2008), Interveinal yellowing caused by </w:t>
      </w:r>
      <w:r>
        <w:rPr>
          <w:rFonts w:ascii="Calibri" w:hAnsi="Calibri" w:eastAsia="Calibri" w:cs="Calibri"/>
          <w:i/>
          <w:iCs/>
          <w:color w:val="000000"/>
          <w:sz w:val="22"/>
          <w:szCs w:val="22"/>
        </w:rPr>
        <w:t xml:space="preserve">Tomato infectious chlorosis virus</w:t>
      </w:r>
      <w:r>
        <w:rPr>
          <w:rFonts w:ascii="Calibri" w:hAnsi="Calibri" w:eastAsia="Calibri" w:cs="Calibri"/>
          <w:color w:val="000000"/>
          <w:sz w:val="22"/>
          <w:szCs w:val="22"/>
        </w:rPr>
        <w:t xml:space="preserve"> in lettuce and escarole in Southern Italy</w:t>
      </w:r>
      <w:r>
        <w:rPr>
          <w:rFonts w:ascii="Calibri" w:hAnsi="Calibri" w:eastAsia="Calibri" w:cs="Calibri"/>
          <w:i/>
          <w:iCs/>
          <w:color w:val="000000"/>
          <w:sz w:val="22"/>
          <w:szCs w:val="22"/>
        </w:rPr>
        <w:t xml:space="preserve">. 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156</w:t>
      </w:r>
      <w:r>
        <w:rPr>
          <w:rFonts w:ascii="Calibri" w:hAnsi="Calibri" w:eastAsia="Calibri" w:cs="Calibri"/>
          <w:color w:val="000000"/>
          <w:sz w:val="22"/>
          <w:szCs w:val="22"/>
        </w:rPr>
        <w:t xml:space="preserve">, 190-192. </w:t>
      </w:r>
    </w:p>
    <w:p>
      <w:pPr>
        <w:widowControl w:val="on"/>
        <w:pBdr/>
        <w:spacing w:before="220" w:after="220" w:line="240" w:lineRule="auto"/>
        <w:ind w:left="0" w:right="0"/>
        <w:jc w:val="left"/>
      </w:pPr>
      <w:r>
        <w:rPr>
          <w:rFonts w:ascii="Calibri" w:hAnsi="Calibri" w:eastAsia="Calibri" w:cs="Calibri"/>
          <w:color w:val="000000"/>
          <w:sz w:val="22"/>
          <w:szCs w:val="22"/>
        </w:rPr>
        <w:t xml:space="preserve">Tsai WS, Shih SL, Green SK &amp; Hanson P (2004) First report of the occurrence of </w:t>
      </w:r>
      <w:r>
        <w:rPr>
          <w:rFonts w:ascii="Calibri" w:hAnsi="Calibri" w:eastAsia="Calibri" w:cs="Calibri"/>
          <w:i/>
          <w:iCs/>
          <w:color w:val="000000"/>
          <w:sz w:val="22"/>
          <w:szCs w:val="22"/>
        </w:rPr>
        <w:t xml:space="preserve">Tomato infectious chlorosis virus</w:t>
      </w:r>
      <w:r>
        <w:rPr>
          <w:rFonts w:ascii="Calibri" w:hAnsi="Calibri" w:eastAsia="Calibri" w:cs="Calibri"/>
          <w:color w:val="000000"/>
          <w:sz w:val="22"/>
          <w:szCs w:val="22"/>
        </w:rPr>
        <w:t xml:space="preserve"> in Taiwan.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311. </w:t>
      </w:r>
    </w:p>
    <w:p>
      <w:pPr>
        <w:widowControl w:val="on"/>
        <w:pBdr/>
        <w:spacing w:before="220" w:after="220" w:line="240" w:lineRule="auto"/>
        <w:ind w:left="0" w:right="0"/>
        <w:jc w:val="left"/>
      </w:pPr>
      <w:r>
        <w:rPr>
          <w:rFonts w:ascii="Calibri" w:hAnsi="Calibri" w:eastAsia="Calibri" w:cs="Calibri"/>
          <w:color w:val="000000"/>
          <w:sz w:val="22"/>
          <w:szCs w:val="22"/>
        </w:rPr>
        <w:t xml:space="preserve">Vaira AM, Accotto GP, Vecchiati M &amp; Bragaloni M (2002) Tomato infectious chlorosis virus causes leaf yellowing and reddening of tomato in Italy.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290 –294.</w:t>
      </w:r>
    </w:p>
    <w:p>
      <w:pPr>
        <w:widowControl w:val="on"/>
        <w:pBdr/>
        <w:spacing w:before="220" w:after="220" w:line="240" w:lineRule="auto"/>
        <w:ind w:left="0" w:right="0"/>
        <w:jc w:val="left"/>
      </w:pPr>
      <w:r>
        <w:rPr>
          <w:rFonts w:ascii="Calibri" w:hAnsi="Calibri" w:eastAsia="Calibri" w:cs="Calibri"/>
          <w:color w:val="000000"/>
          <w:sz w:val="22"/>
          <w:szCs w:val="22"/>
        </w:rPr>
        <w:t xml:space="preserve">Wintermantel WM, Cortez AA, Anchieta AG, Gulati-Sakhuja A &amp; Hladky LL (2008) Co-infection by two criniviruses alters accumulation of each virus in a host-specific manner and influences efficiency of virus transmission.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1340–1345.</w:t>
      </w:r>
    </w:p>
    <w:p>
      <w:pPr>
        <w:widowControl w:val="on"/>
        <w:pBdr/>
        <w:spacing w:before="220" w:after="220" w:line="240" w:lineRule="auto"/>
        <w:ind w:left="0" w:right="0"/>
        <w:jc w:val="left"/>
      </w:pPr>
      <w:r>
        <w:rPr>
          <w:rFonts w:ascii="Calibri" w:hAnsi="Calibri" w:eastAsia="Calibri" w:cs="Calibri"/>
          <w:color w:val="000000"/>
          <w:sz w:val="22"/>
          <w:szCs w:val="22"/>
        </w:rPr>
        <w:t xml:space="preserve">Wisler GC, Duffus JE, Liu HY &amp; Li RH (1998) Ecology and epidemiology of whitefly-transmitted closteroviruses.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270–280.</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Encarsia formosa. </w:t>
      </w:r>
      <w:hyperlink r:id="rId86746aafedfb1c833" w:history="1">
        <w:r>
          <w:rPr>
            <w:rFonts w:ascii="Calibri" w:hAnsi="Calibri" w:eastAsia="Calibri" w:cs="Calibri"/>
            <w:color w:val="0000CC"/>
            <w:sz w:val="22"/>
            <w:szCs w:val="22"/>
            <w:u w:val="single"/>
          </w:rPr>
          <w:t xml:space="preserve">https://www.cabi.org/cpc/datasheet/20973</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Elena Karimova and Yuri Shneyder from All-Russian Plant Quarantine Center.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Crinivirus contagichlorosis</w:t>
      </w:r>
      <w:r>
        <w:rPr>
          <w:rFonts w:ascii="Calibri" w:hAnsi="Calibri" w:eastAsia="Calibri" w:cs="Calibri"/>
          <w:color w:val="000000"/>
          <w:sz w:val="22"/>
          <w:szCs w:val="22"/>
        </w:rPr>
        <w:t xml:space="preserve">. EPPO datasheets on pests recommended for regulation. Available online. </w:t>
      </w:r>
      <w:hyperlink r:id="rId21426aafedfb1c8f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2009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w:t>
      </w:r>
      <w:r>
        <w:rPr>
          <w:rFonts w:ascii="Calibri" w:hAnsi="Calibri" w:eastAsia="Calibri" w:cs="Calibri"/>
          <w:i/>
          <w:iCs/>
          <w:color w:val="000000"/>
          <w:sz w:val="22"/>
          <w:szCs w:val="22"/>
        </w:rPr>
        <w:t xml:space="preserve">Tomato infectious chlorosis virus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 62-64. </w:t>
      </w:r>
      <w:hyperlink r:id="rId31466aafedfb1c9e3" w:history="1">
        <w:r>
          <w:rPr>
            <w:rFonts w:ascii="Calibri" w:hAnsi="Calibri" w:eastAsia="Calibri" w:cs="Calibri"/>
            <w:color w:val="0000CC"/>
            <w:sz w:val="22"/>
            <w:szCs w:val="22"/>
            <w:u w:val="single"/>
          </w:rPr>
          <w:t xml:space="preserve">https://doi.org/10.1111/j.1365-2338.2009.02239.x</w:t>
        </w:r>
      </w:hyperlink>
    </w:p>
    <w:p>
      <w:r>
        <w:drawing>
          <wp:inline distT="0" distB="0" distL="0" distR="0">
            <wp:extent cx="1800000" cy="604800"/>
            <wp:docPr id="48405571" name="name96516aafedfb1ca4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8896aafedfb1ca4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704531">
    <w:multiLevelType w:val="hybridMultilevel"/>
    <w:lvl w:ilvl="0" w:tplc="67884569">
      <w:start w:val="1"/>
      <w:numFmt w:val="decimal"/>
      <w:lvlText w:val="%1."/>
      <w:lvlJc w:val="left"/>
      <w:pPr>
        <w:ind w:left="720" w:hanging="360"/>
      </w:pPr>
    </w:lvl>
    <w:lvl w:ilvl="1" w:tplc="67884569" w:tentative="1">
      <w:start w:val="1"/>
      <w:numFmt w:val="lowerLetter"/>
      <w:lvlText w:val="%2."/>
      <w:lvlJc w:val="left"/>
      <w:pPr>
        <w:ind w:left="1440" w:hanging="360"/>
      </w:pPr>
    </w:lvl>
    <w:lvl w:ilvl="2" w:tplc="67884569" w:tentative="1">
      <w:start w:val="1"/>
      <w:numFmt w:val="lowerRoman"/>
      <w:lvlText w:val="%3."/>
      <w:lvlJc w:val="right"/>
      <w:pPr>
        <w:ind w:left="2160" w:hanging="180"/>
      </w:pPr>
    </w:lvl>
    <w:lvl w:ilvl="3" w:tplc="67884569" w:tentative="1">
      <w:start w:val="1"/>
      <w:numFmt w:val="decimal"/>
      <w:lvlText w:val="%4."/>
      <w:lvlJc w:val="left"/>
      <w:pPr>
        <w:ind w:left="2880" w:hanging="360"/>
      </w:pPr>
    </w:lvl>
    <w:lvl w:ilvl="4" w:tplc="67884569" w:tentative="1">
      <w:start w:val="1"/>
      <w:numFmt w:val="lowerLetter"/>
      <w:lvlText w:val="%5."/>
      <w:lvlJc w:val="left"/>
      <w:pPr>
        <w:ind w:left="3600" w:hanging="360"/>
      </w:pPr>
    </w:lvl>
    <w:lvl w:ilvl="5" w:tplc="67884569" w:tentative="1">
      <w:start w:val="1"/>
      <w:numFmt w:val="lowerRoman"/>
      <w:lvlText w:val="%6."/>
      <w:lvlJc w:val="right"/>
      <w:pPr>
        <w:ind w:left="4320" w:hanging="180"/>
      </w:pPr>
    </w:lvl>
    <w:lvl w:ilvl="6" w:tplc="67884569" w:tentative="1">
      <w:start w:val="1"/>
      <w:numFmt w:val="decimal"/>
      <w:lvlText w:val="%7."/>
      <w:lvlJc w:val="left"/>
      <w:pPr>
        <w:ind w:left="5040" w:hanging="360"/>
      </w:pPr>
    </w:lvl>
    <w:lvl w:ilvl="7" w:tplc="67884569" w:tentative="1">
      <w:start w:val="1"/>
      <w:numFmt w:val="lowerLetter"/>
      <w:lvlText w:val="%8."/>
      <w:lvlJc w:val="left"/>
      <w:pPr>
        <w:ind w:left="5760" w:hanging="360"/>
      </w:pPr>
    </w:lvl>
    <w:lvl w:ilvl="8" w:tplc="67884569" w:tentative="1">
      <w:start w:val="1"/>
      <w:numFmt w:val="lowerRoman"/>
      <w:lvlText w:val="%9."/>
      <w:lvlJc w:val="right"/>
      <w:pPr>
        <w:ind w:left="6480" w:hanging="180"/>
      </w:pPr>
    </w:lvl>
  </w:abstractNum>
  <w:abstractNum w:abstractNumId="22704530">
    <w:multiLevelType w:val="hybridMultilevel"/>
    <w:lvl w:ilvl="0" w:tplc="842955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704530">
    <w:abstractNumId w:val="22704530"/>
  </w:num>
  <w:num w:numId="22704531">
    <w:abstractNumId w:val="2270453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9888452" Type="http://schemas.microsoft.com/office/2011/relationships/commentsExtended" Target="commentsExtended.xml"/><Relationship Id="rId770720723" Type="http://schemas.microsoft.com/office/2011/relationships/people" Target="people.xml"/><Relationship Id="rId62956aafedfb18666" Type="http://schemas.openxmlformats.org/officeDocument/2006/relationships/hyperlink" Target="https://gd.eppo.int/taxon/TICV00/" TargetMode="External"/><Relationship Id="rId56436aafedfb186af" Type="http://schemas.openxmlformats.org/officeDocument/2006/relationships/hyperlink" Target="https://gd.eppo.int/taxon/TICV00/categorization" TargetMode="External"/><Relationship Id="rId70446aafedfb18f42" Type="http://schemas.openxmlformats.org/officeDocument/2006/relationships/hyperlink" Target="https://gd.eppo.int/taxon/TICV00/photos" TargetMode="External"/><Relationship Id="rId77046aafedfb1bef9" Type="http://schemas.openxmlformats.org/officeDocument/2006/relationships/hyperlink" Target="https://secure.fera.defra.gov.uk/phiw/riskRegister/downloadExternalPra.cfm?id=3925" TargetMode="External"/><Relationship Id="rId83996aafedfb1c149" Type="http://schemas.openxmlformats.org/officeDocument/2006/relationships/hyperlink" Target="https://pra.eppo.int/pra/510b867e-ec9f-4928-bf23-bad1cea8ee57" TargetMode="External"/><Relationship Id="rId96416aafedfb1c1c0" Type="http://schemas.openxmlformats.org/officeDocument/2006/relationships/hyperlink" Target="https://doi.org/10.1111/mpp.12847" TargetMode="External"/><Relationship Id="rId86746aafedfb1c833" Type="http://schemas.openxmlformats.org/officeDocument/2006/relationships/hyperlink" Target="https://www.cabi.org/cpc/datasheet/20973" TargetMode="External"/><Relationship Id="rId21426aafedfb1c8f1" Type="http://schemas.openxmlformats.org/officeDocument/2006/relationships/hyperlink" Target="https://gd.eppo.int" TargetMode="External"/><Relationship Id="rId31466aafedfb1c9e3" Type="http://schemas.openxmlformats.org/officeDocument/2006/relationships/hyperlink" Target="https://doi.org/10.1111/j.1365-2338.2009.02239.x" TargetMode="External"/><Relationship Id="rId38946aafedfb18dfd" Type="http://schemas.openxmlformats.org/officeDocument/2006/relationships/image" Target="media/imgrId38946aafedfb18dfd.jpg"/><Relationship Id="rId17386aafedfb1ae7d" Type="http://schemas.openxmlformats.org/officeDocument/2006/relationships/image" Target="media/imgrId17386aafedfb1ae7d.jpg"/><Relationship Id="rId58896aafedfb1ca43" Type="http://schemas.openxmlformats.org/officeDocument/2006/relationships/image" Target="media/imgrId58896aafedfb1ca4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