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processionea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processionea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processionea</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processionary caterpillar, oak processionary moth</w:t>
            </w:r>
            <w:hyperlink r:id="rId658269f1bd0abc75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95869f1bd0abc7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096422" name="name369869f1bd0abcf4e" descr="8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66.jpg"/>
                          <pic:cNvPicPr/>
                        </pic:nvPicPr>
                        <pic:blipFill>
                          <a:blip r:embed="rId137069f1bd0abcf4b" cstate="print"/>
                          <a:stretch>
                            <a:fillRect/>
                          </a:stretch>
                        </pic:blipFill>
                        <pic:spPr>
                          <a:xfrm>
                            <a:off x="0" y="0"/>
                            <a:ext cx="2160000" cy="1281600"/>
                          </a:xfrm>
                          <a:prstGeom prst="rect">
                            <a:avLst/>
                          </a:prstGeom>
                          <a:ln w="0">
                            <a:noFill/>
                          </a:ln>
                        </pic:spPr>
                      </pic:pic>
                    </a:graphicData>
                  </a:graphic>
                </wp:inline>
              </w:drawing>
            </w:r>
            <w:hyperlink r:id="rId254469f1bd0abd0c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comes from the Greek words “θαύμα” (=miracle) and “ποιώ” (=do), quite likely due to some remarkable biological traits such as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refers to the typical behaviour of the larvae that build up a procession (</w:t>
      </w:r>
      <w:r>
        <w:rPr>
          <w:rFonts w:ascii="Calibri" w:hAnsi="Calibri" w:eastAsia="Calibri" w:cs="Calibri"/>
          <w:i/>
          <w:iCs/>
          <w:color w:val="000000"/>
          <w:sz w:val="22"/>
          <w:szCs w:val="22"/>
        </w:rPr>
        <w:t xml:space="preserve">processionea) </w:t>
      </w:r>
      <w:r>
        <w:rPr>
          <w:rFonts w:ascii="Calibri" w:hAnsi="Calibri" w:eastAsia="Calibri" w:cs="Calibri"/>
          <w:color w:val="000000"/>
          <w:sz w:val="22"/>
          <w:szCs w:val="22"/>
        </w:rPr>
        <w:t xml:space="preserve">when searching for a place to pupate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(oak processionary moth) feeds on the different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that can be found across Europe and the Near East. In general, preferred hosts are </w:t>
      </w:r>
      <w:r>
        <w:rPr>
          <w:rFonts w:ascii="Calibri" w:hAnsi="Calibri" w:eastAsia="Calibri" w:cs="Calibri"/>
          <w:i/>
          <w:iCs/>
          <w:color w:val="000000"/>
          <w:sz w:val="22"/>
          <w:szCs w:val="22"/>
        </w:rPr>
        <w:t xml:space="preserve">Quercus cerris, Q. ilex, Q. pubescens, Q. petraea, Q. pyrenaica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(Dissescu &amp; Ceianu, 1968; Pascual, 1988; Moraal, 1996;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Tomiczek &amp; Krehan, 2003;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the near East, it can also attack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veneris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calliprinos</w:t>
      </w:r>
      <w:r>
        <w:rPr>
          <w:rFonts w:ascii="Calibri" w:hAnsi="Calibri" w:eastAsia="Calibri" w:cs="Calibri"/>
          <w:color w:val="000000"/>
          <w:sz w:val="22"/>
          <w:szCs w:val="22"/>
        </w:rPr>
        <w:t xml:space="preserve"> (Démolin &amp; Nemer, 1999; Halperin &amp; Sauter, 1999). Based on observations at the Royal Botanical Gardens (Kew, GB), North American and Asian species can also be infested by the oak processionary moth (Townsend,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population outbreaks, other species belonging to genera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Pistacia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or even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affected; nevertheless, this pest can complete its development only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(Nicosia, 1923; Kiriukhin, 1946; Bay, 1961; Carter, 1984;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Evans 2007).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 subsp. 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almost all European countries and also in parts of the Middle East, including Israel, Lebanon and Jordan (Maksymov, 1978; Bogenschütz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Stigter &amp; Romejin, 1992; Roskams, 1995;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Roversi, 2008; Groenen, 2010; Groenen &amp; Meurisse, 2012).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all countries located on the northern shore of the Mediterranean Sea, in Anatolia (Turkey), and in the mountains surrounding the Dead Sea (Groenen &amp; Meurisse, 2012). In the north of Europe, this species is present in the Netherlands, Germany and Ukraine while recently it has been rediscovered in Poland after a long period of absence (Groenen &amp; Meurisse, 2012). Males of this species have also been caught in Denmark and Sweden (Skule &amp; Vilhelmsem, 1997; Lövgren &amp; Dalsved, 2005). Finally, this species was caught in the United Kingdom for the first time in 2006, which was considered quite likely to be due to the international plant trade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Mindlin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3565559" name="name241869f1bd0abea7f" descr="THAU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R_distribution_map.jpg"/>
                    <pic:cNvPicPr/>
                  </pic:nvPicPr>
                  <pic:blipFill>
                    <a:blip r:embed="rId986369f1bd0abea7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Czechia, Denmark, France (mainland), Germany, Greece (mainland), Hungary, Ireland, Israel, Italy (mainland), Jersey, Jordan, Moldova, Republic of, Montenegro, Netherlands, North Macedonia, Poland, Portugal (mainland), Romania, Russian Federation, Slovakia, Slovenia, Spain (mainland), Sweden, Switzerland, Türkiye,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univoltine, with the eggs hatching in spring (April to May) depending closely on the temperatures of the preceding period (Pascual, 1988; Custers, 2003, Wagenhoff and Delb, 2011;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highly synchronized with oak bud flushing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Wagenhoff &amp; Veit, 2011;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go through six instars and may feed until the end of June or the start of July, depending on ambient temperatures as higher temperatures favour a more rapid development (Dissescu &amp; Ceianu, 1968). Larvae live in groups, with younger ones moving and feeding during daytime, and older ones feeding during the night as they spend the daytime in a silk tent (Schmidt, 1974;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onwards,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larvae develop urticating setae on the dorsal parts of the abdomen, which are actively released once larvae are disturbed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silk tent is located on the lower part of the trunk, and is constructed during the fifth or sixth instars using silk, hairs, faeces and old larval skins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Under very warm conditions, tents can be even partially on the ground (Dissescu &amp; Ceianu, 1968).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fluctuations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largely considered unpredictable, and thus there is still a great debate as to whether their epidemics are cyclic or eruptive (Pascual, 1988; Krehan, 1993; Tomiczek &amp; Krehan, 1996; Wagenhoff &amp; Veit, 2011). However, recently it has been shown that fluctuations are mostly determined by aridity in May-July (Klapwijk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Csóka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the changing climate appears to be linked to the increase in frequency and intensity of the observed outbreaks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Jans &amp; Franssen, 2008; Moraal &amp; Jagers op Akerhuis, 2011; Groenen &amp; Meurisse,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signs of occurrence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an oak forest are the following:</w:t>
      </w:r>
    </w:p>
    <w:p>
      <w:pPr>
        <w:widowControl w:val="on"/>
        <w:pBdr/>
        <w:spacing w:before="220" w:after="220" w:line="240" w:lineRule="auto"/>
        <w:ind w:left="0" w:right="0"/>
        <w:jc w:val="left"/>
      </w:pPr>
      <w:r>
        <w:rPr>
          <w:rFonts w:ascii="Calibri" w:hAnsi="Calibri" w:eastAsia="Calibri" w:cs="Calibri"/>
          <w:color w:val="000000"/>
          <w:sz w:val="22"/>
          <w:szCs w:val="22"/>
        </w:rPr>
        <w:t xml:space="preserve">- Skeletonized remains of leaves.</w:t>
      </w:r>
      <w:r>
        <w:rPr>
          <w:rFonts w:ascii="Calibri" w:hAnsi="Calibri" w:eastAsia="Calibri" w:cs="Calibri"/>
          <w:color w:val="000000"/>
          <w:sz w:val="22"/>
          <w:szCs w:val="22"/>
        </w:rPr>
        <w:br/>
        <w:t xml:space="preserve">- White silken nests at the base of lower branches, on the trunk or at the base of the trunk. Later on, these nests become less bright white due to the shed skins that larvae change during instars.</w:t>
      </w:r>
      <w:r>
        <w:rPr>
          <w:rFonts w:ascii="Calibri" w:hAnsi="Calibri" w:eastAsia="Calibri" w:cs="Calibri"/>
          <w:color w:val="000000"/>
          <w:sz w:val="22"/>
          <w:szCs w:val="22"/>
        </w:rPr>
        <w:br/>
        <w:t xml:space="preserve">- Nose-to-tail processions of the caterpillars on the branches of oak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by females in batches of 50-200 eggs which are covered by scales. Predominantly these egg batches are laid in rows along the terminal branches of oak trees, most commonly on one- or two-year-old twigs (Dissescu &amp; Ceianu, 1968; Maksymov, 1978; Bin &amp; Tiberi, 1983; Pascual, 1988;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go through six larval stages that differ in size and colour, with the newly emerged larvae being brown, and the later instars becoming grey.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instars overwinter within the eggs, and hatch in mid- or late April, just before bud burst.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which are disturbed produce barbed, urticating setae from the eleventh dorsal segment, that contain thaumetopoein, an allergenic protein. The next larval stages produce urticating setae in other segments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they are produced in both the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11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 while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setae are produced in all abdominal segments).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build the silken nests.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nests, with the larvae spinning cocoons during mid-summer (late June, early July).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grey forewings, with white and grey marking, and a wingspan that can be up to approximately 30 mm. </w:t>
      </w:r>
    </w:p>
    <w:p>
      <w:pPr>
        <w:widowControl w:val="on"/>
        <w:pBdr/>
        <w:spacing w:before="220" w:after="220" w:line="240" w:lineRule="auto"/>
        <w:ind w:left="0" w:right="0"/>
        <w:jc w:val="both"/>
      </w:pPr>
      <w:r>
        <w:rPr>
          <w:rFonts w:ascii="Calibri" w:hAnsi="Calibri" w:eastAsia="Calibri" w:cs="Calibri"/>
          <w:color w:val="000000"/>
          <w:sz w:val="22"/>
          <w:szCs w:val="22"/>
        </w:rPr>
        <w:t xml:space="preserve">Some diagnostic features for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included in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egg and nest counting, visual assessment of the level of tree defoliation (Moller, 2006) or on the use of pheromone traps to assess population dynamics (Bogenschütz 1998b; Breuer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pathways that oak processionary moth employs when expanding to new territories include both natural spread and human-mediated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generally considered strong flyers (up to 100 km per year), as in some cases they have been found in light traps far away from places where nests have been reported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Lövgren &amp; Dalsved, 2005). On the contrary, females fly much shorter distances, reaching only up to 20 km per year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major pathways that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follows when expanding are human-mediated. Plants-for-planting can be a source of egg masses, larvae or pupae (pupae may be present in nests from April to July). The presence of nests can easily escape attention, as at low population densities, nests are not larger than the size of a tennis ball, something that makes it more difficult to be detected particularly in the case of larger trees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Additionally, transported oak roundwood with bark from infested trees may have small nests that contain viable larvae and/or pupae (from April to late July). Nevertheless, it should be noted that, given the fact that oak trees are normally felled during winter, the probability to already have nests with living larvae and pupae is low. Finally,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may expand its distribution through the trade of cut branches of host trees, though this pathway is of much lesser importance compared to the above-mentioned 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tree health remains relatively unknown, repeated defoliation in spring increases tree susceptibility to drought and secondary pests and reduces earlywood width (Blank, 1997; Chauvel, 2000; McManus &amp; Csóka, 2007; Nageleisen, 2008; Roversi, 2008; Hirka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Moreover, the infestation by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has been hypothesized to be associated with oak decline which has repeatedly emerged during the past centuries and particularly in the most recent decades. This syndrome of oak decline has been attributed to single or combined effects of abiotic and biotic factors, among which defoliating insects seem to play a significant role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 exact impact of these biotic factor still needs to be further evaluated.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effect on forest health,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have an even greater impact on health due to the urticating setae the larvae produce after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larval stage that cause ocular and respiratory problems in animals and humans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Gottschling &amp; Meyer, 2006; Jans &amp; Franssen, 2008; Green 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different natural enemies have been described to regulate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natural stands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range from egg-, larvae- and pupae-specific parasitoids (Stratan, 1971; Tschorsnig, 1993;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Zwakhals, 2005) to generalist insect predators (Maksymov, 1978; Dajoz, 2000) and birds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these, late instar larvae and pupae have been found to be infected by microsporidia (Hoch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nuclear polyhedrosis baculovirus (Murphy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Nevertheless, it should be noted that the influence of these natural enemies on the populations oak processionary moth has been investigated only at a qualitative and not quantitative perspective and thus, none of these approaches has been evaluated in their efficacy to control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method that is currently used to control the population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(B.t.k.) agents (Bogenschütz, 1988; Bogenschütz 1998a; Bub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insect growth regulators (Pascual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These approaches are primarily implemented in highly frequented public places in order to avoid the impact of urticating setae, and secondarily to protect infested oak stands from repeated defoliation. In addition, the physical removal of nests can be effective, in areas where the level of infestation is limited.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the health of oak stands and its contribution to the general syndrome of oak decline is still under investigation, the effects on human and animal health have been clearly shown.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natural dispersal ability of the species in concert with its broad distribution in Europe, it is highly unlikely that any phytosanitary measures could effectively prevent the natural dispersal of the oak processionary moth. However, measures aimed at plants-for-planting could reduce the probability of introduction in areas where it is currently absent or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phytosanitary measures for</w:t>
      </w:r>
      <w:r>
        <w:rPr>
          <w:rFonts w:ascii="Calibri" w:hAnsi="Calibri" w:eastAsia="Calibri" w:cs="Calibri"/>
          <w:i/>
          <w:iCs/>
          <w:color w:val="000000"/>
          <w:sz w:val="22"/>
          <w:szCs w:val="22"/>
        </w:rPr>
        <w:t xml:space="preserve"> T. processionea</w:t>
      </w:r>
      <w:r>
        <w:rPr>
          <w:rFonts w:ascii="Calibri" w:hAnsi="Calibri" w:eastAsia="Calibri" w:cs="Calibri"/>
          <w:color w:val="000000"/>
          <w:sz w:val="22"/>
          <w:szCs w:val="22"/>
        </w:rPr>
        <w:t xml:space="preserve"> have been applied in the European Union (EU, 2019) where protected zones have been identified (i.e. Ireland and some areas of the United Kingdom). For these areas, oak trees that are used as plants-for-planting of a girth of at least 8 cm measured at 1.2 m height from the root collar should be examined. In addition oak trees should have a certificate that these plants have been grown throughout their life a) in places of production where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not known to occur, b) in an area free from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established by the NPPO in accordance with ISPM 4 (2017) and c) in a site with complete physical protection against the introduction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and have been inspected at appropriate times and found to be free from this pest</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Caffier D, Choiseul JW, De Clercq P, Dormannnsné-Simon E, Gerowitt B, Karadjova OE, Lövei G, Lansink AO, Makowski D, Manceau C, Manici L, Perdikis D, Puglia AP, Schans J, Schrader G, Steffek R, Strömberg A, Tiilikkala K, van Lenteren JC, Vloutoglou I (2009) Scientific opinion of the Panel of Plant Health on a pest risk analysis on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the oak processionary moth, prepared by the UK and extension of its scope to the EU territory. </w:t>
      </w:r>
      <w:r>
        <w:rPr>
          <w:rFonts w:ascii="Calibri" w:hAnsi="Calibri" w:eastAsia="Calibri" w:cs="Calibri"/>
          <w:i/>
          <w:iCs/>
          <w:color w:val="000000"/>
          <w:sz w:val="22"/>
          <w:szCs w:val="22"/>
        </w:rPr>
        <w:t xml:space="preserve">The EFSA Journal </w:t>
      </w:r>
      <w:r>
        <w:rPr>
          <w:rFonts w:ascii="Calibri" w:hAnsi="Calibri" w:eastAsia="Calibri" w:cs="Calibri"/>
          <w:b/>
          <w:bCs/>
          <w:color w:val="000000"/>
          <w:sz w:val="22"/>
          <w:szCs w:val="22"/>
        </w:rPr>
        <w:t xml:space="preserve">491</w:t>
      </w:r>
      <w:r>
        <w:rPr>
          <w:rFonts w:ascii="Calibri" w:hAnsi="Calibri" w:eastAsia="Calibri" w:cs="Calibri"/>
          <w:color w:val="000000"/>
          <w:sz w:val="22"/>
          <w:szCs w:val="22"/>
        </w:rPr>
        <w:t xml:space="preserve">, 1-63.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w:t>
      </w:r>
      <w:r>
        <w:rPr>
          <w:rFonts w:ascii="Calibri" w:hAnsi="Calibri" w:eastAsia="Calibri" w:cs="Calibri"/>
          <w:i/>
          <w:iCs/>
          <w:color w:val="000000"/>
          <w:sz w:val="22"/>
          <w:szCs w:val="22"/>
        </w:rPr>
        <w:t xml:space="preserve">Annual Review in Entomology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 </w:t>
      </w:r>
    </w:p>
    <w:p>
      <w:pPr>
        <w:widowControl w:val="on"/>
        <w:pBdr/>
        <w:spacing w:before="220" w:after="220" w:line="240" w:lineRule="auto"/>
        <w:ind w:left="0" w:right="0"/>
        <w:jc w:val="left"/>
      </w:pPr>
      <w:r>
        <w:rPr>
          <w:rFonts w:ascii="Calibri" w:hAnsi="Calibri" w:eastAsia="Calibri" w:cs="Calibri"/>
          <w:color w:val="000000"/>
          <w:sz w:val="22"/>
          <w:szCs w:val="22"/>
        </w:rPr>
        <w:t xml:space="preserve">Bay E (1961) The distribution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the province of Bolzano [Sul pino silvestre in provincia di Bolzano] </w:t>
      </w:r>
      <w:r>
        <w:rPr>
          <w:rFonts w:ascii="Calibri" w:hAnsi="Calibri" w:eastAsia="Calibri" w:cs="Calibri"/>
          <w:i/>
          <w:iCs/>
          <w:color w:val="000000"/>
          <w:sz w:val="22"/>
          <w:szCs w:val="22"/>
        </w:rPr>
        <w:t xml:space="preserve">Monti e Boschi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27-30. </w:t>
      </w:r>
    </w:p>
    <w:p>
      <w:pPr>
        <w:widowControl w:val="on"/>
        <w:pBdr/>
        <w:spacing w:before="220" w:after="220" w:line="240" w:lineRule="auto"/>
        <w:ind w:left="0" w:right="0"/>
        <w:jc w:val="left"/>
      </w:pPr>
      <w:r>
        <w:rPr>
          <w:rFonts w:ascii="Calibri" w:hAnsi="Calibri" w:eastAsia="Calibri" w:cs="Calibri"/>
          <w:color w:val="000000"/>
          <w:sz w:val="22"/>
          <w:szCs w:val="22"/>
        </w:rPr>
        <w:t xml:space="preserve">Bin F, Tiberi R (1983) Notizie preliminari sui parassitoidi oofagi di Thaumetopoea processionea L. in Italia centrale (Hym., Chalcidoidea: Lep., Thaumetopoeidae). </w:t>
      </w:r>
      <w:r>
        <w:rPr>
          <w:rFonts w:ascii="Calibri" w:hAnsi="Calibri" w:eastAsia="Calibri" w:cs="Calibri"/>
          <w:i/>
          <w:iCs/>
          <w:color w:val="000000"/>
          <w:sz w:val="22"/>
          <w:szCs w:val="22"/>
        </w:rPr>
        <w:t xml:space="preserve">Redia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Blank R (1997) Ring-porous wood structure and frequent insect defoliation as specific risk factors in oaks. </w:t>
      </w:r>
      <w:r>
        <w:rPr>
          <w:rFonts w:ascii="Calibri" w:hAnsi="Calibri" w:eastAsia="Calibri" w:cs="Calibri"/>
          <w:i/>
          <w:iCs/>
          <w:color w:val="000000"/>
          <w:sz w:val="22"/>
          <w:szCs w:val="22"/>
        </w:rPr>
        <w:t xml:space="preserve">Forst und Holz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235-242.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Schwartz G, Limberger S (1988) Auftreten und Bekämpfung des Eichenprozessionsspinners,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 üdwestdeutschland 1986 bis 1988. </w:t>
      </w:r>
      <w:r>
        <w:rPr>
          <w:rFonts w:ascii="Calibri" w:hAnsi="Calibri" w:eastAsia="Calibri" w:cs="Calibri"/>
          <w:i/>
          <w:iCs/>
          <w:color w:val="000000"/>
          <w:sz w:val="22"/>
          <w:szCs w:val="22"/>
        </w:rPr>
        <w:t xml:space="preserve">Mitteilungen aus der Biologischen Bundesanstalt für Land- und Forstwirtschaft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427–428.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(1998a): Erfahrungen mit dem Eichenprozessionsspinner in Baden-Württemberg. </w:t>
      </w:r>
      <w:r>
        <w:rPr>
          <w:rFonts w:ascii="Calibri" w:hAnsi="Calibri" w:eastAsia="Calibri" w:cs="Calibri"/>
          <w:i/>
          <w:iCs/>
          <w:color w:val="000000"/>
          <w:sz w:val="22"/>
          <w:szCs w:val="22"/>
        </w:rPr>
        <w:t xml:space="preserve">Mitteilugen der Deutschen Phytomedizinischen Gesselschaft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46-47.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(1998b) Sexuallockstoffe zur Überwachung von forstschädlichen Schmetterlingen.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438–442. </w:t>
      </w:r>
    </w:p>
    <w:p>
      <w:pPr>
        <w:widowControl w:val="on"/>
        <w:pBdr/>
        <w:spacing w:before="220" w:after="220" w:line="240" w:lineRule="auto"/>
        <w:ind w:left="0" w:right="0"/>
        <w:jc w:val="left"/>
      </w:pPr>
      <w:r>
        <w:rPr>
          <w:rFonts w:ascii="Calibri" w:hAnsi="Calibri" w:eastAsia="Calibri" w:cs="Calibri"/>
          <w:color w:val="000000"/>
          <w:sz w:val="22"/>
          <w:szCs w:val="22"/>
        </w:rPr>
        <w:t xml:space="preserve">Breuer M, Kontzog HG, Guerrero A, Camps F, Loof A de (2003) Field trials with the synthetic sex pheromone of the oak processionary moth Thaumetopoea processionea.</w:t>
      </w:r>
      <w:r>
        <w:rPr>
          <w:rFonts w:ascii="Calibri" w:hAnsi="Calibri" w:eastAsia="Calibri" w:cs="Calibri"/>
          <w:i/>
          <w:iCs/>
          <w:color w:val="000000"/>
          <w:sz w:val="22"/>
          <w:szCs w:val="22"/>
        </w:rPr>
        <w:t xml:space="preserve"> 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2461-2468.</w:t>
      </w:r>
    </w:p>
    <w:p>
      <w:pPr>
        <w:widowControl w:val="on"/>
        <w:pBdr/>
        <w:spacing w:before="220" w:after="220" w:line="240" w:lineRule="auto"/>
        <w:ind w:left="0" w:right="0"/>
        <w:jc w:val="left"/>
      </w:pPr>
      <w:r>
        <w:rPr>
          <w:rFonts w:ascii="Calibri" w:hAnsi="Calibri" w:eastAsia="Calibri" w:cs="Calibri"/>
          <w:color w:val="000000"/>
          <w:sz w:val="22"/>
          <w:szCs w:val="22"/>
        </w:rPr>
        <w:t xml:space="preserve">Bub G, Delb H, Schröter H (2005) Bekämpfung des Schwammspinners und E ichenprozessionsspinners in Baden-Württemberg 2005.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316–319.</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with special reference to the British Isles. Springer Dordrecht Netherlands. 431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Chauvel G (2000) Lepidoptera damaging green spaces, nurseries and urban forests. </w:t>
      </w:r>
      <w:r>
        <w:rPr>
          <w:rFonts w:ascii="Calibri" w:hAnsi="Calibri" w:eastAsia="Calibri" w:cs="Calibri"/>
          <w:i/>
          <w:iCs/>
          <w:color w:val="000000"/>
          <w:sz w:val="22"/>
          <w:szCs w:val="22"/>
        </w:rPr>
        <w:t xml:space="preserve">PHM Revue Horticole </w:t>
      </w:r>
      <w:r>
        <w:rPr>
          <w:rFonts w:ascii="Calibri" w:hAnsi="Calibri" w:eastAsia="Calibri" w:cs="Calibri"/>
          <w:b/>
          <w:bCs/>
          <w:color w:val="000000"/>
          <w:sz w:val="22"/>
          <w:szCs w:val="22"/>
        </w:rPr>
        <w:t xml:space="preserve">18-20</w:t>
      </w:r>
      <w:r>
        <w:rPr>
          <w:rFonts w:ascii="Calibri" w:hAnsi="Calibri" w:eastAsia="Calibri" w:cs="Calibri"/>
          <w:color w:val="000000"/>
          <w:sz w:val="22"/>
          <w:szCs w:val="22"/>
        </w:rPr>
        <w:t xml:space="preserve">, 22-28.   </w:t>
      </w:r>
    </w:p>
    <w:p>
      <w:pPr>
        <w:widowControl w:val="on"/>
        <w:pBdr/>
        <w:spacing w:before="220" w:after="220" w:line="240" w:lineRule="auto"/>
        <w:ind w:left="0" w:right="0"/>
        <w:jc w:val="left"/>
      </w:pPr>
      <w:r>
        <w:rPr>
          <w:rFonts w:ascii="Calibri" w:hAnsi="Calibri" w:eastAsia="Calibri" w:cs="Calibri"/>
          <w:color w:val="000000"/>
          <w:sz w:val="22"/>
          <w:szCs w:val="22"/>
        </w:rPr>
        <w:t xml:space="preserve">Csóka G, Hirka A, Szöcs L, Móritz N, Rasztovits E, Pödör Z (2018) Weather-dependent fluctuations in the abundance of the oak processionary moth,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(Lepidoptera: Notodontidae). </w:t>
      </w:r>
      <w:r>
        <w:rPr>
          <w:rFonts w:ascii="Calibri" w:hAnsi="Calibri" w:eastAsia="Calibri" w:cs="Calibri"/>
          <w:i/>
          <w:iCs/>
          <w:color w:val="000000"/>
          <w:sz w:val="22"/>
          <w:szCs w:val="22"/>
        </w:rPr>
        <w:t xml:space="preserve">European Journal of Entomology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249-255. </w:t>
      </w:r>
    </w:p>
    <w:p>
      <w:pPr>
        <w:widowControl w:val="on"/>
        <w:pBdr/>
        <w:spacing w:before="220" w:after="220" w:line="240" w:lineRule="auto"/>
        <w:ind w:left="0" w:right="0"/>
        <w:jc w:val="left"/>
      </w:pPr>
      <w:r>
        <w:rPr>
          <w:rFonts w:ascii="Calibri" w:hAnsi="Calibri" w:eastAsia="Calibri" w:cs="Calibri"/>
          <w:color w:val="000000"/>
          <w:sz w:val="22"/>
          <w:szCs w:val="22"/>
        </w:rPr>
        <w:t xml:space="preserve">Custers CJL (2003) Climate change and trophic synchronization. A case study of the oak processionary caterpillar. Master’s Thesis. Landbouw- Universitaet Wageningen, 107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(2000) Forests and Insects. The role of diversity of insects in the forest environment. Intercept Ltd/Editions Technique et Documentation/Lavoisier Publishing, Paris. 668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Damestoy T, Moreira X, Jactel H, Valdes-Correcher E, Plomion C, Castagneyrol B (2020) Growth and mortality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on two oak species: direct and trait-mediated effects of host and neighbor species identity.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865253; doi: </w:t>
      </w:r>
      <w:hyperlink r:id="rId908169f1bd0ac0193" w:history="1">
        <w:r>
          <w:rPr>
            <w:rFonts w:ascii="Calibri" w:hAnsi="Calibri" w:eastAsia="Calibri" w:cs="Calibri"/>
            <w:color w:val="0000CC"/>
            <w:sz w:val="22"/>
            <w:szCs w:val="22"/>
            <w:u w:val="single"/>
          </w:rPr>
          <w:t xml:space="preserve">https://doi.org/10.1101/865253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Nemer N (1999) Defoliator insects of </w:t>
      </w:r>
      <w:r>
        <w:rPr>
          <w:rFonts w:ascii="Calibri" w:hAnsi="Calibri" w:eastAsia="Calibri" w:cs="Calibri"/>
          <w:i/>
          <w:iCs/>
          <w:color w:val="000000"/>
          <w:sz w:val="22"/>
          <w:szCs w:val="22"/>
        </w:rPr>
        <w:t xml:space="preserve">Quercus callyprinos </w:t>
      </w:r>
      <w:r>
        <w:rPr>
          <w:rFonts w:ascii="Calibri" w:hAnsi="Calibri" w:eastAsia="Calibri" w:cs="Calibri"/>
          <w:color w:val="000000"/>
          <w:sz w:val="22"/>
          <w:szCs w:val="22"/>
        </w:rPr>
        <w:t xml:space="preserve">Webb. and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Oliv. in Lebanon. </w:t>
      </w:r>
      <w:r>
        <w:rPr>
          <w:rFonts w:ascii="Calibri" w:hAnsi="Calibri" w:eastAsia="Calibri" w:cs="Calibri"/>
          <w:i/>
          <w:iCs/>
          <w:color w:val="000000"/>
          <w:sz w:val="22"/>
          <w:szCs w:val="22"/>
        </w:rPr>
        <w:t xml:space="preserve">Bulletin OILB/SROP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65-69.   </w:t>
      </w:r>
    </w:p>
    <w:p>
      <w:pPr>
        <w:widowControl w:val="on"/>
        <w:pBdr/>
        <w:spacing w:before="220" w:after="220" w:line="240" w:lineRule="auto"/>
        <w:ind w:left="0" w:right="0"/>
        <w:jc w:val="left"/>
      </w:pPr>
      <w:r>
        <w:rPr>
          <w:rFonts w:ascii="Calibri" w:hAnsi="Calibri" w:eastAsia="Calibri" w:cs="Calibri"/>
          <w:color w:val="000000"/>
          <w:sz w:val="22"/>
          <w:szCs w:val="22"/>
        </w:rPr>
        <w:t xml:space="preserve">Dissescu G, Ceianu I (1968) [Studies on the ecology of the oak processionary moth] Cercetari asupra bioecologici omizii procesionare a steejarului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120 pages.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 OJ L 319,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(2007) Pest risk analysis record for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European and Mediterranean Plant Protection Organization. 1-28. Department for Environment, Food and Rural Affairs, The Food and Environmental Research Agency.</w:t>
      </w:r>
    </w:p>
    <w:p>
      <w:pPr>
        <w:widowControl w:val="on"/>
        <w:pBdr/>
        <w:spacing w:before="220" w:after="220" w:line="240" w:lineRule="auto"/>
        <w:ind w:left="0" w:right="0"/>
        <w:jc w:val="left"/>
      </w:pPr>
      <w:r>
        <w:rPr>
          <w:rFonts w:ascii="Calibri" w:hAnsi="Calibri" w:eastAsia="Calibri" w:cs="Calibri"/>
          <w:color w:val="000000"/>
          <w:sz w:val="22"/>
          <w:szCs w:val="22"/>
        </w:rPr>
        <w:t xml:space="preserve">Fransen JJ, Groenendijk D, Spijker JH, Stigter H (2008) Leidraad beheersing Eikenprocessierups. Update 2008 WUR-Alterra. Expertgroep Eikenprocessierups en Plantenziektenkundige Dienst Wageningen. Ministerie van Landbouw, Natuur en Voedselkwaliteit.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Gottschling S, Meyer S (2006) An epidemic airborne disease caused by the oak processionary caterpillar. </w:t>
      </w:r>
      <w:r>
        <w:rPr>
          <w:rFonts w:ascii="Calibri" w:hAnsi="Calibri" w:eastAsia="Calibri" w:cs="Calibri"/>
          <w:i/>
          <w:iCs/>
          <w:color w:val="000000"/>
          <w:sz w:val="22"/>
          <w:szCs w:val="22"/>
        </w:rPr>
        <w:t xml:space="preserve">Pediatric Dermatology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64-66.  </w:t>
      </w:r>
    </w:p>
    <w:p>
      <w:pPr>
        <w:widowControl w:val="on"/>
        <w:pBdr/>
        <w:spacing w:before="220" w:after="220" w:line="240" w:lineRule="auto"/>
        <w:ind w:left="0" w:right="0"/>
        <w:jc w:val="left"/>
      </w:pPr>
      <w:r>
        <w:rPr>
          <w:rFonts w:ascii="Calibri" w:hAnsi="Calibri" w:eastAsia="Calibri" w:cs="Calibri"/>
          <w:color w:val="000000"/>
          <w:sz w:val="22"/>
          <w:szCs w:val="22"/>
        </w:rPr>
        <w:t xml:space="preserve">Green P (2015) Oak processionary moths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deer parks. </w:t>
      </w:r>
      <w:r>
        <w:rPr>
          <w:rFonts w:ascii="Calibri" w:hAnsi="Calibri" w:eastAsia="Calibri" w:cs="Calibri"/>
          <w:i/>
          <w:iCs/>
          <w:color w:val="000000"/>
          <w:sz w:val="22"/>
          <w:szCs w:val="22"/>
        </w:rPr>
        <w:t xml:space="preserve">Veterinary Records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208-208.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(2010) Variation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(Notodontidae: Thaumetopoeinae) in Europe and the Middle East. </w:t>
      </w:r>
      <w:r>
        <w:rPr>
          <w:rFonts w:ascii="Calibri" w:hAnsi="Calibri" w:eastAsia="Calibri" w:cs="Calibri"/>
          <w:i/>
          <w:iCs/>
          <w:color w:val="000000"/>
          <w:sz w:val="22"/>
          <w:szCs w:val="22"/>
        </w:rPr>
        <w:t xml:space="preserve">Entomologischen Berichten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77-82.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Meurisse N (2012) Historical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Europe suggests recolonization instead of expansion.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147-155. </w:t>
      </w:r>
    </w:p>
    <w:p>
      <w:pPr>
        <w:widowControl w:val="on"/>
        <w:pBdr/>
        <w:spacing w:before="220" w:after="220" w:line="240" w:lineRule="auto"/>
        <w:ind w:left="0" w:right="0"/>
        <w:jc w:val="left"/>
      </w:pPr>
      <w:r>
        <w:rPr>
          <w:rFonts w:ascii="Calibri" w:hAnsi="Calibri" w:eastAsia="Calibri" w:cs="Calibri"/>
          <w:color w:val="000000"/>
          <w:sz w:val="22"/>
          <w:szCs w:val="22"/>
        </w:rPr>
        <w:t xml:space="preserve">Halperin J, Sauter W (1999) The occurrence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on Mt. Hermon.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107. </w:t>
      </w:r>
    </w:p>
    <w:p>
      <w:pPr>
        <w:widowControl w:val="on"/>
        <w:pBdr/>
        <w:spacing w:before="220" w:after="220" w:line="240" w:lineRule="auto"/>
        <w:ind w:left="0" w:right="0"/>
        <w:jc w:val="left"/>
      </w:pPr>
      <w:r>
        <w:rPr>
          <w:rFonts w:ascii="Calibri" w:hAnsi="Calibri" w:eastAsia="Calibri" w:cs="Calibri"/>
          <w:color w:val="000000"/>
          <w:sz w:val="22"/>
          <w:szCs w:val="22"/>
        </w:rPr>
        <w:t xml:space="preserve">Hirka A, Szabóky Cs, Szöcs L, Csóka Gy (2011) 50 years of the forestry light trap network. </w:t>
      </w:r>
      <w:r>
        <w:rPr>
          <w:rFonts w:ascii="Calibri" w:hAnsi="Calibri" w:eastAsia="Calibri" w:cs="Calibri"/>
          <w:i/>
          <w:iCs/>
          <w:color w:val="000000"/>
          <w:sz w:val="22"/>
          <w:szCs w:val="22"/>
        </w:rPr>
        <w:t xml:space="preserve">Növényvédelem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474-479. [in Hungarian]</w:t>
      </w:r>
    </w:p>
    <w:p>
      <w:pPr>
        <w:widowControl w:val="on"/>
        <w:pBdr/>
        <w:spacing w:before="220" w:after="220" w:line="240" w:lineRule="auto"/>
        <w:ind w:left="0" w:right="0"/>
        <w:jc w:val="left"/>
      </w:pPr>
      <w:r>
        <w:rPr>
          <w:rFonts w:ascii="Calibri" w:hAnsi="Calibri" w:eastAsia="Calibri" w:cs="Calibri"/>
          <w:color w:val="000000"/>
          <w:sz w:val="22"/>
          <w:szCs w:val="22"/>
        </w:rPr>
        <w:t xml:space="preserve">Hoch G, Verucchi S, Schopf A (2008) Microsporidian pathogens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eastern Austria’s oak forests. </w:t>
      </w:r>
      <w:r>
        <w:rPr>
          <w:rFonts w:ascii="Calibri" w:hAnsi="Calibri" w:eastAsia="Calibri" w:cs="Calibri"/>
          <w:i/>
          <w:iCs/>
          <w:color w:val="000000"/>
          <w:sz w:val="22"/>
          <w:szCs w:val="22"/>
        </w:rPr>
        <w:t xml:space="preserve">Mitteilungen der Deutschen Gesselschaft für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225-228. </w:t>
      </w:r>
    </w:p>
    <w:p>
      <w:pPr>
        <w:widowControl w:val="on"/>
        <w:pBdr/>
        <w:spacing w:before="220" w:after="220" w:line="240" w:lineRule="auto"/>
        <w:ind w:left="0" w:right="0"/>
        <w:jc w:val="left"/>
      </w:pPr>
      <w:r>
        <w:rPr>
          <w:rFonts w:ascii="Calibri" w:hAnsi="Calibri" w:eastAsia="Calibri" w:cs="Calibri"/>
          <w:color w:val="000000"/>
          <w:sz w:val="22"/>
          <w:szCs w:val="22"/>
        </w:rPr>
        <w:t xml:space="preserve">ISPM 4 (2017) Requirements for the establishment of pest free areas. Rome, IPPC, FAO. </w:t>
      </w:r>
    </w:p>
    <w:p>
      <w:pPr>
        <w:widowControl w:val="on"/>
        <w:pBdr/>
        <w:spacing w:before="220" w:after="220" w:line="240" w:lineRule="auto"/>
        <w:ind w:left="0" w:right="0"/>
        <w:jc w:val="left"/>
      </w:pPr>
      <w:r>
        <w:rPr>
          <w:rFonts w:ascii="Calibri" w:hAnsi="Calibri" w:eastAsia="Calibri" w:cs="Calibri"/>
          <w:color w:val="000000"/>
          <w:sz w:val="22"/>
          <w:szCs w:val="22"/>
        </w:rPr>
        <w:t xml:space="preserve">Jans HWA, Franssen AEM (2008) The urticating hairs of the oak processionary caterpillar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a potential problem for animals? </w:t>
      </w:r>
      <w:r>
        <w:rPr>
          <w:rFonts w:ascii="Calibri" w:hAnsi="Calibri" w:eastAsia="Calibri" w:cs="Calibri"/>
          <w:i/>
          <w:iCs/>
          <w:color w:val="000000"/>
          <w:sz w:val="22"/>
          <w:szCs w:val="22"/>
        </w:rPr>
        <w:t xml:space="preserve">Tijdschrift Voor Diergeneeskunde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424-429. </w:t>
      </w:r>
    </w:p>
    <w:p>
      <w:pPr>
        <w:widowControl w:val="on"/>
        <w:pBdr/>
        <w:spacing w:before="220" w:after="220" w:line="240" w:lineRule="auto"/>
        <w:ind w:left="0" w:right="0"/>
        <w:jc w:val="left"/>
      </w:pPr>
      <w:r>
        <w:rPr>
          <w:rFonts w:ascii="Calibri" w:hAnsi="Calibri" w:eastAsia="Calibri" w:cs="Calibri"/>
          <w:color w:val="000000"/>
          <w:sz w:val="22"/>
          <w:szCs w:val="22"/>
        </w:rPr>
        <w:t xml:space="preserve">Kiriukhin G (1946) Les insectes nuisibles au pistacier en Iran. </w:t>
      </w:r>
      <w:r>
        <w:rPr>
          <w:rFonts w:ascii="Calibri" w:hAnsi="Calibri" w:eastAsia="Calibri" w:cs="Calibri"/>
          <w:i/>
          <w:iCs/>
          <w:color w:val="000000"/>
          <w:sz w:val="22"/>
          <w:szCs w:val="22"/>
        </w:rPr>
        <w:t xml:space="preserve">Entomologie et Phytopathologie Appliquées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8-24. </w:t>
      </w:r>
    </w:p>
    <w:p>
      <w:pPr>
        <w:widowControl w:val="on"/>
        <w:pBdr/>
        <w:spacing w:before="220" w:after="220" w:line="240" w:lineRule="auto"/>
        <w:ind w:left="0" w:right="0"/>
        <w:jc w:val="left"/>
      </w:pPr>
      <w:r>
        <w:rPr>
          <w:rFonts w:ascii="Calibri" w:hAnsi="Calibri" w:eastAsia="Calibri" w:cs="Calibri"/>
          <w:color w:val="000000"/>
          <w:sz w:val="22"/>
          <w:szCs w:val="22"/>
        </w:rPr>
        <w:t xml:space="preserve">Klapwijk MJ, Csóka G, Hirka A, Björkman C (2013) Forest insects and climate change: long-term trends in herbivore damage.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4183-4196. </w:t>
      </w:r>
    </w:p>
    <w:p>
      <w:pPr>
        <w:widowControl w:val="on"/>
        <w:pBdr/>
        <w:spacing w:before="220" w:after="220" w:line="240" w:lineRule="auto"/>
        <w:ind w:left="0" w:right="0"/>
        <w:jc w:val="left"/>
      </w:pPr>
      <w:r>
        <w:rPr>
          <w:rFonts w:ascii="Calibri" w:hAnsi="Calibri" w:eastAsia="Calibri" w:cs="Calibri"/>
          <w:color w:val="000000"/>
          <w:sz w:val="22"/>
          <w:szCs w:val="22"/>
        </w:rPr>
        <w:t xml:space="preserve">Krehan Η (1993) Outbreaks of caterpillar forest pests in oak forests in eastern Austria. </w:t>
      </w:r>
      <w:r>
        <w:rPr>
          <w:rFonts w:ascii="Calibri" w:hAnsi="Calibri" w:eastAsia="Calibri" w:cs="Calibri"/>
          <w:i/>
          <w:iCs/>
          <w:color w:val="000000"/>
          <w:sz w:val="22"/>
          <w:szCs w:val="22"/>
        </w:rPr>
        <w:t xml:space="preserve">Forstschutz Aktuell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p>
    <w:p>
      <w:pPr>
        <w:widowControl w:val="on"/>
        <w:pBdr/>
        <w:spacing w:before="220" w:after="220" w:line="240" w:lineRule="auto"/>
        <w:ind w:left="0" w:right="0"/>
        <w:jc w:val="left"/>
      </w:pPr>
      <w:r>
        <w:rPr>
          <w:rFonts w:ascii="Calibri" w:hAnsi="Calibri" w:eastAsia="Calibri" w:cs="Calibri"/>
          <w:color w:val="000000"/>
          <w:sz w:val="22"/>
          <w:szCs w:val="22"/>
        </w:rPr>
        <w:t xml:space="preserve">Lamy M (1990) Contact dermatitis (erucism) produced by processionary larvae (genus Thaumetopoea).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425-437. </w:t>
      </w:r>
    </w:p>
    <w:p>
      <w:pPr>
        <w:widowControl w:val="on"/>
        <w:pBdr/>
        <w:spacing w:before="220" w:after="220" w:line="240" w:lineRule="auto"/>
        <w:ind w:left="0" w:right="0"/>
        <w:jc w:val="left"/>
      </w:pPr>
      <w:r>
        <w:rPr>
          <w:rFonts w:ascii="Calibri" w:hAnsi="Calibri" w:eastAsia="Calibri" w:cs="Calibri"/>
          <w:color w:val="000000"/>
          <w:sz w:val="22"/>
          <w:szCs w:val="22"/>
        </w:rPr>
        <w:t xml:space="preserve">Lövgren R, Dalsved B (2005)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(Lepidoptera: Thaumetopoeidae) found in Sweden. </w:t>
      </w:r>
      <w:r>
        <w:rPr>
          <w:rFonts w:ascii="Calibri" w:hAnsi="Calibri" w:eastAsia="Calibri" w:cs="Calibri"/>
          <w:i/>
          <w:iCs/>
          <w:color w:val="000000"/>
          <w:sz w:val="22"/>
          <w:szCs w:val="22"/>
        </w:rPr>
        <w:t xml:space="preserve">Entomologisk Tidskrift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93-94.  </w:t>
      </w:r>
    </w:p>
    <w:p>
      <w:pPr>
        <w:widowControl w:val="on"/>
        <w:pBdr/>
        <w:spacing w:before="220" w:after="220" w:line="240" w:lineRule="auto"/>
        <w:ind w:left="0" w:right="0"/>
        <w:jc w:val="left"/>
      </w:pPr>
      <w:r>
        <w:rPr>
          <w:rFonts w:ascii="Calibri" w:hAnsi="Calibri" w:eastAsia="Calibri" w:cs="Calibri"/>
          <w:color w:val="000000"/>
          <w:sz w:val="22"/>
          <w:szCs w:val="22"/>
        </w:rPr>
        <w:t xml:space="preserve">Maier H, Spiegel W, Nikaciyan T, Hönigsmann H (2004) Caterpillar dermatitis in two siblings due to the larvae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the oak processionary caterpillar. </w:t>
      </w:r>
      <w:r>
        <w:rPr>
          <w:rFonts w:ascii="Calibri" w:hAnsi="Calibri" w:eastAsia="Calibri" w:cs="Calibri"/>
          <w:i/>
          <w:iCs/>
          <w:color w:val="000000"/>
          <w:sz w:val="22"/>
          <w:szCs w:val="22"/>
        </w:rPr>
        <w:t xml:space="preserve">Dermatology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70-73.  </w:t>
      </w:r>
    </w:p>
    <w:p>
      <w:pPr>
        <w:widowControl w:val="on"/>
        <w:pBdr/>
        <w:spacing w:before="220" w:after="220" w:line="240" w:lineRule="auto"/>
        <w:ind w:left="0" w:right="0"/>
        <w:jc w:val="left"/>
      </w:pPr>
      <w:r>
        <w:rPr>
          <w:rFonts w:ascii="Calibri" w:hAnsi="Calibri" w:eastAsia="Calibri" w:cs="Calibri"/>
          <w:color w:val="000000"/>
          <w:sz w:val="22"/>
          <w:szCs w:val="22"/>
        </w:rPr>
        <w:t xml:space="preserve">Maksymov JK (1978) Thaumetopoea, Prozessionspinner. </w:t>
      </w:r>
      <w:r>
        <w:rPr>
          <w:rFonts w:ascii="Calibri" w:hAnsi="Calibri" w:eastAsia="Calibri" w:cs="Calibri"/>
          <w:i/>
          <w:iCs/>
          <w:color w:val="000000"/>
          <w:sz w:val="22"/>
          <w:szCs w:val="22"/>
        </w:rPr>
        <w:t xml:space="preserve">Die Forstschädlinge Europas Bd. 3</w:t>
      </w:r>
      <w:r>
        <w:rPr>
          <w:rFonts w:ascii="Calibri" w:hAnsi="Calibri" w:eastAsia="Calibri" w:cs="Calibri"/>
          <w:color w:val="000000"/>
          <w:sz w:val="22"/>
          <w:szCs w:val="22"/>
        </w:rPr>
        <w:t xml:space="preserve"> (ed Schwenke W), 391-404. Parey Verlag.  </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M, Csóka G (2007) History and impact of gypsy moth outbreaks in North America and comparison to recent outbreaks in Europe. </w:t>
      </w:r>
      <w:r>
        <w:rPr>
          <w:rFonts w:ascii="Calibri" w:hAnsi="Calibri" w:eastAsia="Calibri" w:cs="Calibri"/>
          <w:i/>
          <w:iCs/>
          <w:color w:val="000000"/>
          <w:sz w:val="22"/>
          <w:szCs w:val="22"/>
        </w:rPr>
        <w:t xml:space="preserve">Acta Silvatica &amp; Lignaria Hungarica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47-64.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Hoch G, Schopf A, Battisti A, Grégoire J-C (2012) Low temperature tolerance and starvation ability of the oak processionary moth: implications in a context of increasing epidemics.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 </w:t>
      </w:r>
    </w:p>
    <w:p>
      <w:pPr>
        <w:widowControl w:val="on"/>
        <w:pBdr/>
        <w:spacing w:before="220" w:after="220" w:line="240" w:lineRule="auto"/>
        <w:ind w:left="0" w:right="0"/>
        <w:jc w:val="left"/>
      </w:pPr>
      <w:r>
        <w:rPr>
          <w:rFonts w:ascii="Calibri" w:hAnsi="Calibri" w:eastAsia="Calibri" w:cs="Calibri"/>
          <w:color w:val="000000"/>
          <w:sz w:val="22"/>
          <w:szCs w:val="22"/>
        </w:rPr>
        <w:t xml:space="preserve">Mindlin MJ, Polain O, Waroux D, Case S, Walsh B (2012) The arrival of oak processionary moth, a novel case of itchy dermatitis, in the UK: Experiences, lessons and recommendations. </w:t>
      </w:r>
      <w:r>
        <w:rPr>
          <w:rFonts w:ascii="Calibri" w:hAnsi="Calibri" w:eastAsia="Calibri" w:cs="Calibri"/>
          <w:i/>
          <w:iCs/>
          <w:color w:val="000000"/>
          <w:sz w:val="22"/>
          <w:szCs w:val="22"/>
        </w:rPr>
        <w:t xml:space="preserve">Public Health </w:t>
      </w:r>
      <w:r>
        <w:rPr>
          <w:rFonts w:ascii="Calibri" w:hAnsi="Calibri" w:eastAsia="Calibri" w:cs="Calibri"/>
          <w:color w:val="000000"/>
          <w:sz w:val="22"/>
          <w:szCs w:val="22"/>
        </w:rPr>
        <w:t xml:space="preserve">126, 778-781.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Balov S, Kirilova M, Georgieva A (2011)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Bulgaria</w:t>
      </w:r>
      <w:r>
        <w:rPr>
          <w:rFonts w:ascii="Calibri" w:hAnsi="Calibri" w:eastAsia="Calibri" w:cs="Calibri"/>
          <w:i/>
          <w:iCs/>
          <w:color w:val="000000"/>
          <w:sz w:val="22"/>
          <w:szCs w:val="22"/>
        </w:rPr>
        <w:t xml:space="preserve">. 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71-80. </w:t>
      </w:r>
    </w:p>
    <w:p>
      <w:pPr>
        <w:widowControl w:val="on"/>
        <w:pBdr/>
        <w:spacing w:before="220" w:after="220" w:line="240" w:lineRule="auto"/>
        <w:ind w:left="0" w:right="0"/>
        <w:jc w:val="left"/>
      </w:pPr>
      <w:r>
        <w:rPr>
          <w:rFonts w:ascii="Calibri" w:hAnsi="Calibri" w:eastAsia="Calibri" w:cs="Calibri"/>
          <w:color w:val="000000"/>
          <w:sz w:val="22"/>
          <w:szCs w:val="22"/>
        </w:rPr>
        <w:t xml:space="preserve">Moller K (2006) Participation of defoliators in the oak decline symptoms in Brandenburg in 2004. </w:t>
      </w:r>
      <w:r>
        <w:rPr>
          <w:rFonts w:ascii="Calibri" w:hAnsi="Calibri" w:eastAsia="Calibri" w:cs="Calibri"/>
          <w:i/>
          <w:iCs/>
          <w:color w:val="000000"/>
          <w:sz w:val="22"/>
          <w:szCs w:val="22"/>
        </w:rPr>
        <w:t xml:space="preserve">Mitteilungen der Deutschen Gesellschaft fur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(1996) Infestations by insects and mites in 1995: in forests, nature reserves and roadside plantings. </w:t>
      </w:r>
      <w:r>
        <w:rPr>
          <w:rFonts w:ascii="Calibri" w:hAnsi="Calibri" w:eastAsia="Calibri" w:cs="Calibri"/>
          <w:i/>
          <w:iCs/>
          <w:color w:val="000000"/>
          <w:sz w:val="22"/>
          <w:szCs w:val="22"/>
        </w:rPr>
        <w:t xml:space="preserve">Nederlands 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111-120.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Jagers op Akkerhuis GAJM, Werf DCvd (2011) Changes in insect pests on trees: monitoring since 1946 makes trends visible. </w:t>
      </w:r>
      <w:r>
        <w:rPr>
          <w:rFonts w:ascii="Calibri" w:hAnsi="Calibri" w:eastAsia="Calibri" w:cs="Calibri"/>
          <w:i/>
          <w:iCs/>
          <w:color w:val="000000"/>
          <w:sz w:val="22"/>
          <w:szCs w:val="22"/>
        </w:rPr>
        <w:t xml:space="preserve">Nederlands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FA, Fauquet CM, Bishop DHL, Ghabrial SA, Jarvis AW, Martelli GP, Mayo MA, Summers MD (1995) Sixth Report of the International Committee on Taxonomy of Viruses. Archives of Virology. Springer Verlag, Wien New York. Supplement 10, 586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Nageleisen L, 2008. Actualités sur les dépérissements du "chêne". Bilan de la santé des forêts en 2006. Les Cahiers du Département de la Santé des forêts. Ministère de l'agriculture et de la pêche. France. Available at </w:t>
      </w:r>
      <w:hyperlink r:id="rId264769f1bd0ac113c" w:history="1">
        <w:r>
          <w:rPr>
            <w:rFonts w:ascii="Calibri" w:hAnsi="Calibri" w:eastAsia="Calibri" w:cs="Calibri"/>
            <w:color w:val="0000CC"/>
            <w:sz w:val="22"/>
            <w:szCs w:val="22"/>
            <w:u w:val="single"/>
          </w:rPr>
          <w:t xml:space="preserve">http://agriculture.gouv.fr/sections/thematiques/foretbois/sante-des-forets/annee2006/downloadFile/FichierAttache_2_f0/depeche_2006.pdf</w:t>
        </w:r>
      </w:hyperlink>
      <w:r>
        <w:rPr>
          <w:rFonts w:ascii="Calibri" w:hAnsi="Calibri" w:eastAsia="Calibri" w:cs="Calibri"/>
          <w:color w:val="000000"/>
          <w:sz w:val="22"/>
          <w:szCs w:val="22"/>
        </w:rPr>
        <w:t xml:space="preserve"> . Accessed on 4 June 2009 Accessed on 4 June 2009.</w:t>
      </w:r>
    </w:p>
    <w:p>
      <w:pPr>
        <w:widowControl w:val="on"/>
        <w:pBdr/>
        <w:spacing w:before="220" w:after="220" w:line="240" w:lineRule="auto"/>
        <w:ind w:left="0" w:right="0"/>
        <w:jc w:val="left"/>
      </w:pPr>
      <w:r>
        <w:rPr>
          <w:rFonts w:ascii="Calibri" w:hAnsi="Calibri" w:eastAsia="Calibri" w:cs="Calibri"/>
          <w:color w:val="000000"/>
          <w:sz w:val="22"/>
          <w:szCs w:val="22"/>
        </w:rPr>
        <w:t xml:space="preserve">Nicosia (1923) Processionary caterpillar. </w:t>
      </w:r>
      <w:r>
        <w:rPr>
          <w:rFonts w:ascii="Calibri" w:hAnsi="Calibri" w:eastAsia="Calibri" w:cs="Calibri"/>
          <w:i/>
          <w:iCs/>
          <w:color w:val="000000"/>
          <w:sz w:val="22"/>
          <w:szCs w:val="22"/>
        </w:rPr>
        <w:t xml:space="preserve">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47-48. </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(1988) Biology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the western central Iberian Peninsula. </w:t>
      </w:r>
      <w:r>
        <w:rPr>
          <w:rFonts w:ascii="Calibri" w:hAnsi="Calibri" w:eastAsia="Calibri" w:cs="Calibri"/>
          <w:i/>
          <w:iCs/>
          <w:color w:val="000000"/>
          <w:sz w:val="22"/>
          <w:szCs w:val="22"/>
        </w:rPr>
        <w:t xml:space="preserve">Boletin de Sanidad Vegetal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383-404.</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Robredo F, Galante E (1990) Aerial ULV applications of alpha-cypermethrin, diflubenzuron and Bacillus thuringiensis against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(Lep., Thaumetopoeidae). </w:t>
      </w:r>
      <w:r>
        <w:rPr>
          <w:rFonts w:ascii="Calibri" w:hAnsi="Calibri" w:eastAsia="Calibri" w:cs="Calibri"/>
          <w:i/>
          <w:iCs/>
          <w:color w:val="000000"/>
          <w:sz w:val="22"/>
          <w:szCs w:val="22"/>
        </w:rPr>
        <w:t xml:space="preserve">Boletin de Sanidad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585-591. </w:t>
      </w:r>
    </w:p>
    <w:p>
      <w:pPr>
        <w:widowControl w:val="on"/>
        <w:pBdr/>
        <w:spacing w:before="220" w:after="220" w:line="240" w:lineRule="auto"/>
        <w:ind w:left="0" w:right="0"/>
        <w:jc w:val="left"/>
      </w:pPr>
      <w:r>
        <w:rPr>
          <w:rFonts w:ascii="Calibri" w:hAnsi="Calibri" w:eastAsia="Calibri" w:cs="Calibri"/>
          <w:color w:val="000000"/>
          <w:sz w:val="22"/>
          <w:szCs w:val="22"/>
        </w:rPr>
        <w:t xml:space="preserve">Petrucco Toffolo E, Zovi D, Perin C, Paolucci P, Roques A, Battisti A, Horvath H (2014) Size and dispersion of urticating setae in three species of processionary moths. </w:t>
      </w:r>
      <w:r>
        <w:rPr>
          <w:rFonts w:ascii="Calibri" w:hAnsi="Calibri" w:eastAsia="Calibri" w:cs="Calibri"/>
          <w:i/>
          <w:iCs/>
          <w:color w:val="000000"/>
          <w:sz w:val="22"/>
          <w:szCs w:val="22"/>
        </w:rPr>
        <w:t xml:space="preserve">Integrative Zoology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320-327. </w:t>
      </w:r>
    </w:p>
    <w:p>
      <w:pPr>
        <w:widowControl w:val="on"/>
        <w:pBdr/>
        <w:spacing w:before="220" w:after="220" w:line="240" w:lineRule="auto"/>
        <w:ind w:left="0" w:right="0"/>
        <w:jc w:val="left"/>
      </w:pPr>
      <w:r>
        <w:rPr>
          <w:rFonts w:ascii="Calibri" w:hAnsi="Calibri" w:eastAsia="Calibri" w:cs="Calibri"/>
          <w:color w:val="000000"/>
          <w:sz w:val="22"/>
          <w:szCs w:val="22"/>
        </w:rPr>
        <w:t xml:space="preserve">Roskams P (1995) De eikeprocessievlinder in her Vlaamse gewest. </w:t>
      </w:r>
      <w:r>
        <w:rPr>
          <w:rFonts w:ascii="Calibri" w:hAnsi="Calibri" w:eastAsia="Calibri" w:cs="Calibri"/>
          <w:i/>
          <w:iCs/>
          <w:color w:val="000000"/>
          <w:sz w:val="22"/>
          <w:szCs w:val="22"/>
        </w:rPr>
        <w:t xml:space="preserve">De Boskrant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160-166.  </w:t>
      </w:r>
    </w:p>
    <w:p>
      <w:pPr>
        <w:widowControl w:val="on"/>
        <w:pBdr/>
        <w:spacing w:before="220" w:after="220" w:line="240" w:lineRule="auto"/>
        <w:ind w:left="0" w:right="0"/>
        <w:jc w:val="left"/>
      </w:pPr>
      <w:r>
        <w:rPr>
          <w:rFonts w:ascii="Calibri" w:hAnsi="Calibri" w:eastAsia="Calibri" w:cs="Calibri"/>
          <w:color w:val="000000"/>
          <w:sz w:val="22"/>
          <w:szCs w:val="22"/>
        </w:rPr>
        <w:t xml:space="preserve">Roversi PF (2008) Aerial spraying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for the control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Turkey oak woods.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175-186.  </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GH (1974) A contribution to the social behavior of the caterpillar of the oak processionary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Zeitschrift fur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Skule B, Vilhelmsem F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found in Denmark. URL: </w:t>
      </w:r>
      <w:hyperlink r:id="rId366669f1bd0ac14c2" w:history="1">
        <w:r>
          <w:rPr>
            <w:rFonts w:ascii="Calibri" w:hAnsi="Calibri" w:eastAsia="Calibri" w:cs="Calibri"/>
            <w:color w:val="0000CC"/>
            <w:sz w:val="22"/>
            <w:szCs w:val="22"/>
            <w:u w:val="single"/>
          </w:rPr>
          <w:t xml:space="preserve">https://www.lepidoptera.dk/process.htm</w:t>
        </w:r>
      </w:hyperlink>
      <w:r>
        <w:rPr>
          <w:rFonts w:ascii="Calibri" w:hAnsi="Calibri" w:eastAsia="Calibri" w:cs="Calibri"/>
          <w:color w:val="000000"/>
          <w:sz w:val="22"/>
          <w:szCs w:val="22"/>
        </w:rPr>
        <w:t xml:space="preserve"> (last accessed 13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Romeijn G (1992)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locally observed in large numbers in the Netherlands after more than hundred years Lepidoptera Thaumetopoeidae.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66-69.</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Geraedts WHJM, Spijkers HCP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the Netherlands: Present status and management perspectives (Lepidoptera: Notodontidae).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(N.E.V.) </w:t>
      </w:r>
      <w:r>
        <w:rPr>
          <w:rFonts w:ascii="Calibri" w:hAnsi="Calibri" w:eastAsia="Calibri" w:cs="Calibri"/>
          <w:color w:val="000000"/>
          <w:sz w:val="22"/>
          <w:szCs w:val="22"/>
        </w:rPr>
        <w:t xml:space="preserve">3-16. </w:t>
      </w:r>
    </w:p>
    <w:p>
      <w:pPr>
        <w:widowControl w:val="on"/>
        <w:pBdr/>
        <w:spacing w:before="220" w:after="220" w:line="240" w:lineRule="auto"/>
        <w:ind w:left="0" w:right="0"/>
        <w:jc w:val="left"/>
      </w:pPr>
      <w:r>
        <w:rPr>
          <w:rFonts w:ascii="Calibri" w:hAnsi="Calibri" w:eastAsia="Calibri" w:cs="Calibri"/>
          <w:color w:val="000000"/>
          <w:sz w:val="22"/>
          <w:szCs w:val="22"/>
        </w:rPr>
        <w:t xml:space="preserve">Stratan VS (1971) An egg parasite of the oak processionary moth.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42.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FM, Blank R, Hartmann G (2002) Abiotic and biotic factors and their interactions as causes of oak decline in Central Europe.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277-307. </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(1996) Occurrence of oak processionaries and inter moths in Vienna.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17-18.</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(2003) Increasing problems with the oak processionary moth in Eastern Austria.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17-18. </w:t>
      </w:r>
    </w:p>
    <w:p>
      <w:pPr>
        <w:widowControl w:val="on"/>
        <w:pBdr/>
        <w:spacing w:before="220" w:after="220" w:line="240" w:lineRule="auto"/>
        <w:ind w:left="0" w:right="0"/>
        <w:jc w:val="left"/>
      </w:pPr>
      <w:r>
        <w:rPr>
          <w:rFonts w:ascii="Calibri" w:hAnsi="Calibri" w:eastAsia="Calibri" w:cs="Calibri"/>
          <w:color w:val="000000"/>
          <w:sz w:val="22"/>
          <w:szCs w:val="22"/>
        </w:rPr>
        <w:t xml:space="preserve">Townsend M (2009) Report on survey and control of oak processionary moth Thaumetopoea processionea (Linnaeus) (Lepidoptera: Thaumetopoeidae) (OPM) in London in 2008.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Breuer M, Schmidt GH, Maslov A (1991) Scale shape and colour of egg batches of some Thaumetopoea species (Insecta Lepidoptera Thaumetopoeidae).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45-60.</w:t>
      </w:r>
    </w:p>
    <w:p>
      <w:pPr>
        <w:widowControl w:val="on"/>
        <w:pBdr/>
        <w:spacing w:before="220" w:after="220" w:line="240" w:lineRule="auto"/>
        <w:ind w:left="0" w:right="0"/>
        <w:jc w:val="left"/>
      </w:pPr>
      <w:r>
        <w:rPr>
          <w:rFonts w:ascii="Calibri" w:hAnsi="Calibri" w:eastAsia="Calibri" w:cs="Calibri"/>
          <w:color w:val="000000"/>
          <w:sz w:val="22"/>
          <w:szCs w:val="22"/>
        </w:rPr>
        <w:t xml:space="preserve">Tschorsnig HP (1993) Parasitoide aus dem Eichenprozessionsspinner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(Linneus) (Lepidoptera: Thaumetopoeidae). </w:t>
      </w:r>
      <w:r>
        <w:rPr>
          <w:rFonts w:ascii="Calibri" w:hAnsi="Calibri" w:eastAsia="Calibri" w:cs="Calibri"/>
          <w:i/>
          <w:iCs/>
          <w:color w:val="000000"/>
          <w:sz w:val="22"/>
          <w:szCs w:val="22"/>
        </w:rPr>
        <w:t xml:space="preserve">Mitteilungen des entomologischen Vereins Stuttgart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105-107.</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Delb H (2011) Current status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south-western Germany. </w:t>
      </w:r>
      <w:r>
        <w:rPr>
          <w:rFonts w:ascii="Calibri" w:hAnsi="Calibri" w:eastAsia="Calibri" w:cs="Calibri"/>
          <w:i/>
          <w:iCs/>
          <w:color w:val="000000"/>
          <w:sz w:val="22"/>
          <w:szCs w:val="22"/>
        </w:rPr>
        <w:t xml:space="preserve">Biotic risks and climate change in forests</w:t>
      </w:r>
      <w:r>
        <w:rPr>
          <w:rFonts w:ascii="Calibri" w:hAnsi="Calibri" w:eastAsia="Calibri" w:cs="Calibri"/>
          <w:color w:val="000000"/>
          <w:sz w:val="22"/>
          <w:szCs w:val="22"/>
        </w:rPr>
        <w:t xml:space="preserve">. (eds Delb H, Pontuali S), pp. 175-178. Berichte Freiburger Forstlichen Forschung.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Veit H (2011) Five years of continuous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monitoring: tracing population dynamics in an arable landscape of South-Wesern Germany.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51-61.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Blum R, Engel K, Veit H, Delb H (2013) Temporal synchrony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egg hatch and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budburst.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193-202.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 Townsend M, Wilkinson AS, Mullins A (2013) Monitoring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using pheromone traps: the influence of pheromone lure source, trap design and height above the ground on capture rates.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126-134.</w:t>
      </w:r>
    </w:p>
    <w:p>
      <w:pPr>
        <w:widowControl w:val="on"/>
        <w:pBdr/>
        <w:spacing w:before="220" w:after="220" w:line="240" w:lineRule="auto"/>
        <w:ind w:left="0" w:right="0"/>
        <w:jc w:val="left"/>
      </w:pPr>
      <w:r>
        <w:rPr>
          <w:rFonts w:ascii="Calibri" w:hAnsi="Calibri" w:eastAsia="Calibri" w:cs="Calibri"/>
          <w:color w:val="000000"/>
          <w:sz w:val="22"/>
          <w:szCs w:val="22"/>
        </w:rPr>
        <w:t xml:space="preserve">Zwakhals CJ (2005) </w:t>
      </w:r>
      <w:r>
        <w:rPr>
          <w:rFonts w:ascii="Calibri" w:hAnsi="Calibri" w:eastAsia="Calibri" w:cs="Calibri"/>
          <w:i/>
          <w:iCs/>
          <w:color w:val="000000"/>
          <w:sz w:val="22"/>
          <w:szCs w:val="22"/>
        </w:rPr>
        <w:t xml:space="preserve">Pimpla processioneae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rufipes</w:t>
      </w:r>
      <w:r>
        <w:rPr>
          <w:rFonts w:ascii="Calibri" w:hAnsi="Calibri" w:eastAsia="Calibri" w:cs="Calibri"/>
          <w:color w:val="000000"/>
          <w:sz w:val="22"/>
          <w:szCs w:val="22"/>
        </w:rPr>
        <w:t xml:space="preserve">: specialist versus generalist (Hymenoptera: Ichneumonidae, Pimplinae).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14-16.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(available at https://www.cabi.org/isc/datasheet/53502)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EPPO datasheets on pests recommended for regulation. Available online. </w:t>
      </w:r>
      <w:hyperlink r:id="rId960369f1bd0ac1c6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8193299" name="name387769f1bd0ac1d2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7969f1bd0ac1d2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118274">
    <w:multiLevelType w:val="hybridMultilevel"/>
    <w:lvl w:ilvl="0" w:tplc="27406146">
      <w:start w:val="1"/>
      <w:numFmt w:val="decimal"/>
      <w:lvlText w:val="%1."/>
      <w:lvlJc w:val="left"/>
      <w:pPr>
        <w:ind w:left="720" w:hanging="360"/>
      </w:pPr>
    </w:lvl>
    <w:lvl w:ilvl="1" w:tplc="27406146" w:tentative="1">
      <w:start w:val="1"/>
      <w:numFmt w:val="lowerLetter"/>
      <w:lvlText w:val="%2."/>
      <w:lvlJc w:val="left"/>
      <w:pPr>
        <w:ind w:left="1440" w:hanging="360"/>
      </w:pPr>
    </w:lvl>
    <w:lvl w:ilvl="2" w:tplc="27406146" w:tentative="1">
      <w:start w:val="1"/>
      <w:numFmt w:val="lowerRoman"/>
      <w:lvlText w:val="%3."/>
      <w:lvlJc w:val="right"/>
      <w:pPr>
        <w:ind w:left="2160" w:hanging="180"/>
      </w:pPr>
    </w:lvl>
    <w:lvl w:ilvl="3" w:tplc="27406146" w:tentative="1">
      <w:start w:val="1"/>
      <w:numFmt w:val="decimal"/>
      <w:lvlText w:val="%4."/>
      <w:lvlJc w:val="left"/>
      <w:pPr>
        <w:ind w:left="2880" w:hanging="360"/>
      </w:pPr>
    </w:lvl>
    <w:lvl w:ilvl="4" w:tplc="27406146" w:tentative="1">
      <w:start w:val="1"/>
      <w:numFmt w:val="lowerLetter"/>
      <w:lvlText w:val="%5."/>
      <w:lvlJc w:val="left"/>
      <w:pPr>
        <w:ind w:left="3600" w:hanging="360"/>
      </w:pPr>
    </w:lvl>
    <w:lvl w:ilvl="5" w:tplc="27406146" w:tentative="1">
      <w:start w:val="1"/>
      <w:numFmt w:val="lowerRoman"/>
      <w:lvlText w:val="%6."/>
      <w:lvlJc w:val="right"/>
      <w:pPr>
        <w:ind w:left="4320" w:hanging="180"/>
      </w:pPr>
    </w:lvl>
    <w:lvl w:ilvl="6" w:tplc="27406146" w:tentative="1">
      <w:start w:val="1"/>
      <w:numFmt w:val="decimal"/>
      <w:lvlText w:val="%7."/>
      <w:lvlJc w:val="left"/>
      <w:pPr>
        <w:ind w:left="5040" w:hanging="360"/>
      </w:pPr>
    </w:lvl>
    <w:lvl w:ilvl="7" w:tplc="27406146" w:tentative="1">
      <w:start w:val="1"/>
      <w:numFmt w:val="lowerLetter"/>
      <w:lvlText w:val="%8."/>
      <w:lvlJc w:val="left"/>
      <w:pPr>
        <w:ind w:left="5760" w:hanging="360"/>
      </w:pPr>
    </w:lvl>
    <w:lvl w:ilvl="8" w:tplc="27406146" w:tentative="1">
      <w:start w:val="1"/>
      <w:numFmt w:val="lowerRoman"/>
      <w:lvlText w:val="%9."/>
      <w:lvlJc w:val="right"/>
      <w:pPr>
        <w:ind w:left="6480" w:hanging="180"/>
      </w:pPr>
    </w:lvl>
  </w:abstractNum>
  <w:abstractNum w:abstractNumId="15118273">
    <w:multiLevelType w:val="hybridMultilevel"/>
    <w:lvl w:ilvl="0" w:tplc="453919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118273">
    <w:abstractNumId w:val="15118273"/>
  </w:num>
  <w:num w:numId="15118274">
    <w:abstractNumId w:val="151182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1480130" Type="http://schemas.microsoft.com/office/2011/relationships/commentsExtended" Target="commentsExtended.xml"/><Relationship Id="rId761559971" Type="http://schemas.microsoft.com/office/2011/relationships/people" Target="people.xml"/><Relationship Id="rId658269f1bd0abc754" Type="http://schemas.openxmlformats.org/officeDocument/2006/relationships/hyperlink" Target="https://gd.eppo.int/taxon/THAUPR/" TargetMode="External"/><Relationship Id="rId195869f1bd0abc7ab" Type="http://schemas.openxmlformats.org/officeDocument/2006/relationships/hyperlink" Target="https://gd.eppo.int/taxon/THAUPR/categorization" TargetMode="External"/><Relationship Id="rId254469f1bd0abd0c2" Type="http://schemas.openxmlformats.org/officeDocument/2006/relationships/hyperlink" Target="https://gd.eppo.int/taxon/THAUPR/photos" TargetMode="External"/><Relationship Id="rId908169f1bd0ac0193" Type="http://schemas.openxmlformats.org/officeDocument/2006/relationships/hyperlink" Target="https://doi.org/10.1101/865253" TargetMode="External"/><Relationship Id="rId264769f1bd0ac113c" Type="http://schemas.openxmlformats.org/officeDocument/2006/relationships/hyperlink" Target="http://agriculture.gouv.fr/sections/thematiques/foretbois/sante-des-forets/annee2006/downloadFile/FichierAttache_2_f0/depeche_2006.pdf" TargetMode="External"/><Relationship Id="rId366669f1bd0ac14c2" Type="http://schemas.openxmlformats.org/officeDocument/2006/relationships/hyperlink" Target="https://www.lepidoptera.dk/process.htm" TargetMode="External"/><Relationship Id="rId960369f1bd0ac1c6b" Type="http://schemas.openxmlformats.org/officeDocument/2006/relationships/hyperlink" Target="https://gd.eppo.int" TargetMode="External"/><Relationship Id="rId137069f1bd0abcf4b" Type="http://schemas.openxmlformats.org/officeDocument/2006/relationships/image" Target="media/imgrId137069f1bd0abcf4b.jpg"/><Relationship Id="rId986369f1bd0abea7a" Type="http://schemas.openxmlformats.org/officeDocument/2006/relationships/image" Target="media/imgrId986369f1bd0abea7a.jpg"/><Relationship Id="rId737969f1bd0ac1d21" Type="http://schemas.openxmlformats.org/officeDocument/2006/relationships/image" Target="media/imgrId737969f1bd0ac1d2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