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Tetranychus mexicanus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2026-09-04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Tetranychus mexicanus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(McGregor)</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Chelicerata: Arachnida: Acarida: Tetranychidae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Mexican spider mite</w:t>
            </w:r>
            <w:hyperlink r:id="rId51736ad2a64f35938"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hyperlink r:id="rId45226ad2a64f3597f"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TETRME</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73351831" name="name23226ad2a64f36198" descr="146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671.jpg"/>
                          <pic:cNvPicPr/>
                        </pic:nvPicPr>
                        <pic:blipFill>
                          <a:blip r:embed="rId97036ad2a64f36196" cstate="print"/>
                          <a:stretch>
                            <a:fillRect/>
                          </a:stretch>
                        </pic:blipFill>
                        <pic:spPr>
                          <a:xfrm>
                            <a:off x="0" y="0"/>
                            <a:ext cx="2160000" cy="1281600"/>
                          </a:xfrm>
                          <a:prstGeom prst="rect">
                            <a:avLst/>
                          </a:prstGeom>
                          <a:ln w="0">
                            <a:noFill/>
                          </a:ln>
                        </pic:spPr>
                      </pic:pic>
                    </a:graphicData>
                  </a:graphic>
                </wp:inline>
              </w:drawing>
            </w:r>
            <w:hyperlink r:id="rId87936ad2a64f362e1"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genus </w:t>
      </w:r>
      <w:r>
        <w:rPr>
          <w:rFonts w:ascii="Calibri" w:hAnsi="Calibri" w:eastAsia="Calibri" w:cs="Calibri"/>
          <w:i/>
          <w:iCs/>
          <w:color w:val="000000"/>
          <w:sz w:val="22"/>
          <w:szCs w:val="22"/>
        </w:rPr>
        <w:t xml:space="preserve">Tetranychus</w:t>
      </w:r>
      <w:r>
        <w:rPr>
          <w:rFonts w:ascii="Calibri" w:hAnsi="Calibri" w:eastAsia="Calibri" w:cs="Calibri"/>
          <w:color w:val="000000"/>
          <w:sz w:val="22"/>
          <w:szCs w:val="22"/>
        </w:rPr>
        <w:t xml:space="preserve"> contains over 150 described species worldwide (Migeon &amp; Dorkeld, 2026). </w:t>
      </w:r>
      <w:r>
        <w:rPr>
          <w:rFonts w:ascii="Calibri" w:hAnsi="Calibri" w:eastAsia="Calibri" w:cs="Calibri"/>
          <w:i/>
          <w:iCs/>
          <w:color w:val="000000"/>
          <w:sz w:val="22"/>
          <w:szCs w:val="22"/>
        </w:rPr>
        <w:t xml:space="preserve">Tetranychus mexicanus</w:t>
      </w:r>
      <w:r>
        <w:rPr>
          <w:rFonts w:ascii="Calibri" w:hAnsi="Calibri" w:eastAsia="Calibri" w:cs="Calibri"/>
          <w:color w:val="000000"/>
          <w:sz w:val="22"/>
          <w:szCs w:val="22"/>
        </w:rPr>
        <w:t xml:space="preserve"> was first described on citrus plants in Mexico (McGregor, 1950). In the literature, it is commonly referred to as ‘spider mite’ or ‘red spider mite’ in English and as ‘ácaro-vermelho’ in Portuguese (Brazil); however, these common names are also widely used for other species within the family Tetranychidae (EPPO, 2023).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Tetranychus mexicanus</w:t>
      </w:r>
      <w:r>
        <w:rPr>
          <w:rFonts w:ascii="Calibri" w:hAnsi="Calibri" w:eastAsia="Calibri" w:cs="Calibri"/>
          <w:color w:val="000000"/>
          <w:sz w:val="22"/>
          <w:szCs w:val="22"/>
        </w:rPr>
        <w:t xml:space="preserve"> is a polyphagous spider mite recorded on more than 100 plant species (EPPO, 2023; Migeon &amp; Dorkeld, 2026). However, the host status of many plants remains uncertain (EPPO, 2023). Among cultivated plants,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spp. are major hosts, but the mite also occurs on cultivated plants, such as papaya (</w:t>
      </w:r>
      <w:r>
        <w:rPr>
          <w:rFonts w:ascii="Calibri" w:hAnsi="Calibri" w:eastAsia="Calibri" w:cs="Calibri"/>
          <w:i/>
          <w:iCs/>
          <w:color w:val="000000"/>
          <w:sz w:val="22"/>
          <w:szCs w:val="22"/>
        </w:rPr>
        <w:t xml:space="preserve">Carica papaya</w:t>
      </w:r>
      <w:r>
        <w:rPr>
          <w:rFonts w:ascii="Calibri" w:hAnsi="Calibri" w:eastAsia="Calibri" w:cs="Calibri"/>
          <w:color w:val="000000"/>
          <w:sz w:val="22"/>
          <w:szCs w:val="22"/>
        </w:rPr>
        <w:t xml:space="preserve">), passion fruit (</w:t>
      </w:r>
      <w:r>
        <w:rPr>
          <w:rFonts w:ascii="Calibri" w:hAnsi="Calibri" w:eastAsia="Calibri" w:cs="Calibri"/>
          <w:i/>
          <w:iCs/>
          <w:color w:val="000000"/>
          <w:sz w:val="22"/>
          <w:szCs w:val="22"/>
        </w:rPr>
        <w:t xml:space="preserve">Passiflora</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Annona</w:t>
      </w:r>
      <w:r>
        <w:rPr>
          <w:rFonts w:ascii="Calibri" w:hAnsi="Calibri" w:eastAsia="Calibri" w:cs="Calibri"/>
          <w:color w:val="000000"/>
          <w:sz w:val="22"/>
          <w:szCs w:val="22"/>
        </w:rPr>
        <w:t xml:space="preserve"> spp., palms and various ornamental species (EPPO, 2023; Migeon &amp; Dorkeld, 2026). The list below includes hosts and likely hosts, that is plant species on which </w:t>
      </w:r>
      <w:r>
        <w:rPr>
          <w:rFonts w:ascii="Calibri" w:hAnsi="Calibri" w:eastAsia="Calibri" w:cs="Calibri"/>
          <w:i/>
          <w:iCs/>
          <w:color w:val="000000"/>
          <w:sz w:val="22"/>
          <w:szCs w:val="22"/>
        </w:rPr>
        <w:t xml:space="preserve">T. mexicanus</w:t>
      </w:r>
      <w:r>
        <w:rPr>
          <w:rFonts w:ascii="Calibri" w:hAnsi="Calibri" w:eastAsia="Calibri" w:cs="Calibri"/>
          <w:color w:val="000000"/>
          <w:sz w:val="22"/>
          <w:szCs w:val="22"/>
        </w:rPr>
        <w:t xml:space="preserve"> can complete its life cycle, or is reported as a pest, or for which field evidence (e.g. multiple life stages or sufficient numbers of individuals) indicates the presence of a breeding population (EPPO, 2023). On many other plants, these factors could not be verified, and these plants are therefore considered uncertain hosts (EPPO, 2023). Uncertain hosts include cultivated plants, such as </w:t>
      </w:r>
      <w:r>
        <w:rPr>
          <w:rFonts w:ascii="Calibri" w:hAnsi="Calibri" w:eastAsia="Calibri" w:cs="Calibri"/>
          <w:i/>
          <w:iCs/>
          <w:color w:val="000000"/>
          <w:sz w:val="22"/>
          <w:szCs w:val="22"/>
        </w:rPr>
        <w:t xml:space="preserve">Annona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Averrhoa carambola, Codiaeum, Hovenia dulcis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A complete list is available in EPPO (2023) and </w:t>
      </w:r>
      <w:hyperlink r:id="rId79266ad2a64f36576" w:history="1">
        <w:r>
          <w:rPr>
            <w:rFonts w:ascii="Calibri" w:hAnsi="Calibri" w:eastAsia="Calibri" w:cs="Calibri"/>
            <w:color w:val="0000CC"/>
            <w:sz w:val="22"/>
            <w:szCs w:val="22"/>
            <w:u w:val="single"/>
          </w:rPr>
          <w:t xml:space="preserve">EPPO Global Database</w:t>
        </w:r>
      </w:hyperlink>
      <w:r>
        <w:rPr>
          <w:rFonts w:ascii="Calibri" w:hAnsi="Calibri" w:eastAsia="Calibri" w:cs="Calibri"/>
          <w:color w:val="000000"/>
          <w:sz w:val="22"/>
          <w:szCs w:val="22"/>
        </w:rPr>
        <w:t xml:space="preserve">.</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Abelmoschus esculentus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Acalypha diversifolia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Acrocomia aculeata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Alchornea glandulosa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coriacea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crassiflora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muricata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squamosa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x atemoya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Araceae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Arachis hypogaea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Attalea speciosa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Averrhoa carambola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Bactris gasipaes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Beaucarnea recurvata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Bougainvillea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Canavalia ensiformis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Carica papaya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Carya illinoinensis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Catasetum macrocarpum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Cedrela fissilis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Cedrela odorata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Celtis iguanaea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Celtis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Centrosema pubescens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sunki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trifoliata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paradisi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 var. limetta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Cocos nucifera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Codiaeum variegatum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Codiaeum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Cordiera sessilis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Couroupita guianensis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melo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Cupressus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Cymbopogon schoenanthus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Elaeis guineensis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Erythrina poeppigiana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Erythrina variegata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Euterpe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chiloensis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x ananassa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hirsutum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Guettarda uruguensis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Hancornia speciosa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Hevea brasiliensis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Hovenia dulcis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Ilex paraguariensis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Litchi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Malpighia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Manihot esculenta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Murraya paniculata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Orchidaceae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Passiflora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Passiflora ligularis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Passiflora membranacea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Paullinia cupana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Persea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Phyllanthus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salicina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Ricinus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Rollinia mucosa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Syagrus romanzoffiana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Tecoma stans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Thaumatophyllum bipinnatifidum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Theobroma cacao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Theobroma grandiflorum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Trichilia casarettoi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labrusca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Xylopia aromatica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Zanthoxylum coco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Zanthoxylum monogynum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Zingiber zerumbet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Tetranychus mexicanus</w:t>
      </w:r>
      <w:r>
        <w:rPr>
          <w:rFonts w:ascii="Calibri" w:hAnsi="Calibri" w:eastAsia="Calibri" w:cs="Calibri"/>
          <w:color w:val="000000"/>
          <w:sz w:val="22"/>
          <w:szCs w:val="22"/>
        </w:rPr>
        <w:t xml:space="preserve"> is restricted to the Americas, with confirmed records from the southern United States in North America, to Uruguay and northern Argentina in South America (EPPO, 2023; Migeon &amp; Dorkeld, 2026). There is no evidence of establishment outside this region: reports from China are unsubstantiated, and a single incursion in the Netherlands was successfully eradicated in 2019 (EPPO, 2023; Migeon &amp; Dorkeld, 2026; NVWA, 2019).</w:t>
      </w:r>
    </w:p>
    <w:p>
      <w:r>
        <w:drawing>
          <wp:inline distT="0" distB="0" distL="0" distR="0">
            <wp:extent cx="6120000" cy="3067200"/>
            <wp:docPr id="70641463" name="name88446ad2a64f37de4" descr="TETRME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TRME_distribution_map.jpg"/>
                    <pic:cNvPicPr/>
                  </pic:nvPicPr>
                  <pic:blipFill>
                    <a:blip r:embed="rId41006ad2a64f37de1"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(Florida, Texas)</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Costa Rica, Cuba, El Salvador, Guadeloupe, Honduras, Martinique, Nicaragua</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Brazil (Acre, Amapa, Amazonas, Bahia, Ceara, Distrito Federal, Goias, Maranhao, Mato Grosso, Mato Grosso do Sul, Minas Gerais, Para, Paraiba, Pernambuco, Rio de Janeiro, Rio Grande do Sul, Santa Catarina, Sao Paulo, Sergipe), Colombia, Paraguay, Peru, Uruguay, Venezuela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Tetranychus mexicanus</w:t>
      </w:r>
      <w:r>
        <w:rPr>
          <w:rFonts w:ascii="Calibri" w:hAnsi="Calibri" w:eastAsia="Calibri" w:cs="Calibri"/>
          <w:color w:val="000000"/>
          <w:sz w:val="22"/>
          <w:szCs w:val="22"/>
        </w:rPr>
        <w:t xml:space="preserve"> develops through five stages: egg, larva, protonymph, deutonymph and adult. The three active immature stages (larva, protonymph and deutonymph) are each followed by a brief quiescent, non-feeding phase before moulting to the next stage. These resting phases are termed protochrysalid (before the protonymph), deutochrysalid (before the deutonymph) and teliochrysalid (before the adult) (EPPO, 2023; Sousa et al., 2010). This mite reproduces both sexually and via arrhenotokous parthenogenesis, in which, respectively, fertilized eggs develop into females and unfertilized eggs into males (Paschoal, 1968). As a result, a single female can establish a new population: upon colonizing a host plant, she may initially produce male offspring and subsequently mate with them, enabling the production of female progeny and rapid population growth. Eggs are laid on leaf surfaces or within protective silk webbing produced by the mites. The life cycle is generally completed on the leaves of the host, on which immature stages and adults feed. Colonies are generally formed on the lower leaf surface. On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the mite is also occasionally found on twigs and fruits (Bobot et al., 2011; EPPO, 2023; Flechtmann &amp; Baker, 1975). At a local scale, </w:t>
      </w:r>
      <w:r>
        <w:rPr>
          <w:rFonts w:ascii="Calibri" w:hAnsi="Calibri" w:eastAsia="Calibri" w:cs="Calibri"/>
          <w:i/>
          <w:iCs/>
          <w:color w:val="000000"/>
          <w:sz w:val="22"/>
          <w:szCs w:val="22"/>
        </w:rPr>
        <w:t xml:space="preserve">T. mexicanus</w:t>
      </w:r>
      <w:r>
        <w:rPr>
          <w:rFonts w:ascii="Calibri" w:hAnsi="Calibri" w:eastAsia="Calibri" w:cs="Calibri"/>
          <w:color w:val="000000"/>
          <w:sz w:val="22"/>
          <w:szCs w:val="22"/>
        </w:rPr>
        <w:t xml:space="preserve">, as with other mites in the family Tetranychidae, disperses mainly by crawling between adjacent plant tissues and nearby plants, and through passive aerial dispersal (Kennedy &amp; Smitley, 1985). This is particularly important in nurseries, greenhouses and orchards where host plants are closely spaced. Once established, the mite can rapidly colonize neighbouring plants because all life stages occur on leaves, and populations may build up quickly under suitable conditions.</w:t>
      </w:r>
    </w:p>
    <w:p>
      <w:pPr>
        <w:widowControl w:val="on"/>
        <w:pBdr/>
        <w:spacing w:before="220" w:after="220" w:line="240" w:lineRule="auto"/>
        <w:ind w:left="0" w:right="0"/>
        <w:jc w:val="both"/>
      </w:pPr>
      <w:r>
        <w:rPr>
          <w:rFonts w:ascii="Calibri" w:hAnsi="Calibri" w:eastAsia="Calibri" w:cs="Calibri"/>
          <w:color w:val="000000"/>
          <w:sz w:val="22"/>
          <w:szCs w:val="22"/>
        </w:rPr>
        <w:t xml:space="preserve">To date, </w:t>
      </w:r>
      <w:r>
        <w:rPr>
          <w:rFonts w:ascii="Calibri" w:hAnsi="Calibri" w:eastAsia="Calibri" w:cs="Calibri"/>
          <w:i/>
          <w:iCs/>
          <w:color w:val="000000"/>
          <w:sz w:val="22"/>
          <w:szCs w:val="22"/>
        </w:rPr>
        <w:t xml:space="preserve">T. mexicanus</w:t>
      </w:r>
      <w:r>
        <w:rPr>
          <w:rFonts w:ascii="Calibri" w:hAnsi="Calibri" w:eastAsia="Calibri" w:cs="Calibri"/>
          <w:color w:val="000000"/>
          <w:sz w:val="22"/>
          <w:szCs w:val="22"/>
        </w:rPr>
        <w:t xml:space="preserve"> has been found only in tropical and subtropical climates. Its upper and lower temperature thresholds are not known, nor its adaptability to a wider range of temperatures. The biology of </w:t>
      </w:r>
      <w:r>
        <w:rPr>
          <w:rFonts w:ascii="Calibri" w:hAnsi="Calibri" w:eastAsia="Calibri" w:cs="Calibri"/>
          <w:i/>
          <w:iCs/>
          <w:color w:val="000000"/>
          <w:sz w:val="22"/>
          <w:szCs w:val="22"/>
        </w:rPr>
        <w:t xml:space="preserve">T. mexicanus</w:t>
      </w:r>
      <w:r>
        <w:rPr>
          <w:rFonts w:ascii="Calibri" w:hAnsi="Calibri" w:eastAsia="Calibri" w:cs="Calibri"/>
          <w:color w:val="000000"/>
          <w:sz w:val="22"/>
          <w:szCs w:val="22"/>
        </w:rPr>
        <w:t xml:space="preserve"> has been studied in the laboratory on leaves of </w:t>
      </w:r>
      <w:r>
        <w:rPr>
          <w:rFonts w:ascii="Calibri" w:hAnsi="Calibri" w:eastAsia="Calibri" w:cs="Calibri"/>
          <w:i/>
          <w:iCs/>
          <w:color w:val="000000"/>
          <w:sz w:val="22"/>
          <w:szCs w:val="22"/>
        </w:rPr>
        <w:t xml:space="preserve">Citrus aurantifolia</w:t>
      </w:r>
      <w:r>
        <w:rPr>
          <w:rFonts w:ascii="Calibri" w:hAnsi="Calibri" w:eastAsia="Calibri" w:cs="Calibri"/>
          <w:color w:val="000000"/>
          <w:sz w:val="22"/>
          <w:szCs w:val="22"/>
        </w:rPr>
        <w:t xml:space="preserve"> (Paschoal, 1968), </w:t>
      </w:r>
      <w:r>
        <w:rPr>
          <w:rFonts w:ascii="Calibri" w:hAnsi="Calibri" w:eastAsia="Calibri" w:cs="Calibri"/>
          <w:i/>
          <w:iCs/>
          <w:color w:val="000000"/>
          <w:sz w:val="22"/>
          <w:szCs w:val="22"/>
        </w:rPr>
        <w:t xml:space="preserve">Annona muricata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squamosa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Annona coriacea</w:t>
      </w:r>
      <w:r>
        <w:rPr>
          <w:rFonts w:ascii="Calibri" w:hAnsi="Calibri" w:eastAsia="Calibri" w:cs="Calibri"/>
          <w:color w:val="000000"/>
          <w:sz w:val="22"/>
          <w:szCs w:val="22"/>
        </w:rPr>
        <w:t xml:space="preserve"> (Sousa et al., 2010), </w:t>
      </w:r>
      <w:r>
        <w:rPr>
          <w:rFonts w:ascii="Calibri" w:hAnsi="Calibri" w:eastAsia="Calibri" w:cs="Calibri"/>
          <w:i/>
          <w:iCs/>
          <w:color w:val="000000"/>
          <w:sz w:val="22"/>
          <w:szCs w:val="22"/>
        </w:rPr>
        <w:t xml:space="preserve">Bactris gasipaes</w:t>
      </w:r>
      <w:r>
        <w:rPr>
          <w:rFonts w:ascii="Calibri" w:hAnsi="Calibri" w:eastAsia="Calibri" w:cs="Calibri"/>
          <w:color w:val="000000"/>
          <w:sz w:val="22"/>
          <w:szCs w:val="22"/>
        </w:rPr>
        <w:t xml:space="preserve"> (Stein &amp; Daólio, 2012) and </w:t>
      </w:r>
      <w:r>
        <w:rPr>
          <w:rFonts w:ascii="Calibri" w:hAnsi="Calibri" w:eastAsia="Calibri" w:cs="Calibri"/>
          <w:i/>
          <w:iCs/>
          <w:color w:val="000000"/>
          <w:sz w:val="22"/>
          <w:szCs w:val="22"/>
        </w:rPr>
        <w:t xml:space="preserve">Carica papaya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Passiflora edulis</w:t>
      </w:r>
      <w:r>
        <w:rPr>
          <w:rFonts w:ascii="Calibri" w:hAnsi="Calibri" w:eastAsia="Calibri" w:cs="Calibri"/>
          <w:color w:val="000000"/>
          <w:sz w:val="22"/>
          <w:szCs w:val="22"/>
        </w:rPr>
        <w:t xml:space="preserve"> (Barroncas et al., 2022). Under favourable conditions (around 25°C), development from egg to adult generally takes 10–13 days, although it extended to 18–20 days on</w:t>
      </w:r>
      <w:r>
        <w:rPr>
          <w:rFonts w:ascii="Calibri" w:hAnsi="Calibri" w:eastAsia="Calibri" w:cs="Calibri"/>
          <w:i/>
          <w:iCs/>
          <w:color w:val="000000"/>
          <w:sz w:val="22"/>
          <w:szCs w:val="22"/>
        </w:rPr>
        <w:t xml:space="preserve">C. aurantifolia</w:t>
      </w:r>
      <w:r>
        <w:rPr>
          <w:rFonts w:ascii="Calibri" w:hAnsi="Calibri" w:eastAsia="Calibri" w:cs="Calibri"/>
          <w:color w:val="000000"/>
          <w:sz w:val="22"/>
          <w:szCs w:val="22"/>
        </w:rPr>
        <w:t xml:space="preserve"> under less controlled temperature conditions (19–25°C). The duration of immature stages also varies among hosts; for example, egg development ranges from about 2–4 days on</w:t>
      </w:r>
      <w:r>
        <w:rPr>
          <w:rFonts w:ascii="Calibri" w:hAnsi="Calibri" w:eastAsia="Calibri" w:cs="Calibri"/>
          <w:i/>
          <w:iCs/>
          <w:color w:val="000000"/>
          <w:sz w:val="22"/>
          <w:szCs w:val="22"/>
        </w:rPr>
        <w:t xml:space="preserve">A. coriacea</w:t>
      </w:r>
      <w:r>
        <w:rPr>
          <w:rFonts w:ascii="Calibri" w:hAnsi="Calibri" w:eastAsia="Calibri" w:cs="Calibri"/>
          <w:color w:val="000000"/>
          <w:sz w:val="22"/>
          <w:szCs w:val="22"/>
        </w:rPr>
        <w:t xml:space="preserve"> to 6.5 days on</w:t>
      </w:r>
      <w:r>
        <w:rPr>
          <w:rFonts w:ascii="Calibri" w:hAnsi="Calibri" w:eastAsia="Calibri" w:cs="Calibri"/>
          <w:i/>
          <w:iCs/>
          <w:color w:val="000000"/>
          <w:sz w:val="22"/>
          <w:szCs w:val="22"/>
        </w:rPr>
        <w:t xml:space="preserve">C. aurantifolia</w:t>
      </w:r>
      <w:r>
        <w:rPr>
          <w:rFonts w:ascii="Calibri" w:hAnsi="Calibri" w:eastAsia="Calibri" w:cs="Calibri"/>
          <w:color w:val="000000"/>
          <w:sz w:val="22"/>
          <w:szCs w:val="22"/>
        </w:rPr>
        <w:t xml:space="preserve">. Similarly, total immature development is faster on </w:t>
      </w:r>
      <w:r>
        <w:rPr>
          <w:rFonts w:ascii="Calibri" w:hAnsi="Calibri" w:eastAsia="Calibri" w:cs="Calibri"/>
          <w:i/>
          <w:iCs/>
          <w:color w:val="000000"/>
          <w:sz w:val="22"/>
          <w:szCs w:val="22"/>
        </w:rPr>
        <w:t xml:space="preserve">A. muricata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 coriacea</w:t>
      </w:r>
      <w:r>
        <w:rPr>
          <w:rFonts w:ascii="Calibri" w:hAnsi="Calibri" w:eastAsia="Calibri" w:cs="Calibri"/>
          <w:color w:val="000000"/>
          <w:sz w:val="22"/>
          <w:szCs w:val="22"/>
        </w:rPr>
        <w:t xml:space="preserve">, and slower on </w:t>
      </w:r>
      <w:r>
        <w:rPr>
          <w:rFonts w:ascii="Calibri" w:hAnsi="Calibri" w:eastAsia="Calibri" w:cs="Calibri"/>
          <w:i/>
          <w:iCs/>
          <w:color w:val="000000"/>
          <w:sz w:val="22"/>
          <w:szCs w:val="22"/>
        </w:rPr>
        <w:t xml:space="preserve">B. gasipaes</w:t>
      </w:r>
      <w:r>
        <w:rPr>
          <w:rFonts w:ascii="Calibri" w:hAnsi="Calibri" w:eastAsia="Calibri" w:cs="Calibri"/>
          <w:color w:val="000000"/>
          <w:sz w:val="22"/>
          <w:szCs w:val="22"/>
        </w:rPr>
        <w:t xml:space="preserve">. Reproductive parameters also show substantial variation. Fecundity ranges from as few as 9 eggs per female on </w:t>
      </w:r>
      <w:r>
        <w:rPr>
          <w:rFonts w:ascii="Calibri" w:hAnsi="Calibri" w:eastAsia="Calibri" w:cs="Calibri"/>
          <w:i/>
          <w:iCs/>
          <w:color w:val="000000"/>
          <w:sz w:val="22"/>
          <w:szCs w:val="22"/>
        </w:rPr>
        <w:t xml:space="preserve">B. gasipaes</w:t>
      </w:r>
      <w:r>
        <w:rPr>
          <w:rFonts w:ascii="Calibri" w:hAnsi="Calibri" w:eastAsia="Calibri" w:cs="Calibri"/>
          <w:color w:val="000000"/>
          <w:sz w:val="22"/>
          <w:szCs w:val="22"/>
        </w:rPr>
        <w:t xml:space="preserve"> to over 100 eggs per female on </w:t>
      </w:r>
      <w:r>
        <w:rPr>
          <w:rFonts w:ascii="Calibri" w:hAnsi="Calibri" w:eastAsia="Calibri" w:cs="Calibri"/>
          <w:i/>
          <w:iCs/>
          <w:color w:val="000000"/>
          <w:sz w:val="22"/>
          <w:szCs w:val="22"/>
        </w:rPr>
        <w:t xml:space="preserve">C. papaya</w:t>
      </w:r>
      <w:r>
        <w:rPr>
          <w:rFonts w:ascii="Calibri" w:hAnsi="Calibri" w:eastAsia="Calibri" w:cs="Calibri"/>
          <w:color w:val="000000"/>
          <w:sz w:val="22"/>
          <w:szCs w:val="22"/>
        </w:rPr>
        <w:t xml:space="preserve">. The oviposition period is longest on </w:t>
      </w:r>
      <w:r>
        <w:rPr>
          <w:rFonts w:ascii="Calibri" w:hAnsi="Calibri" w:eastAsia="Calibri" w:cs="Calibri"/>
          <w:i/>
          <w:iCs/>
          <w:color w:val="000000"/>
          <w:sz w:val="22"/>
          <w:szCs w:val="22"/>
        </w:rPr>
        <w:t xml:space="preserve">Annona</w:t>
      </w:r>
      <w:r>
        <w:rPr>
          <w:rFonts w:ascii="Calibri" w:hAnsi="Calibri" w:eastAsia="Calibri" w:cs="Calibri"/>
          <w:color w:val="000000"/>
          <w:sz w:val="22"/>
          <w:szCs w:val="22"/>
        </w:rPr>
        <w:t xml:space="preserve"> spp. (approximately 17–23 days) and shorter on</w:t>
      </w:r>
      <w:r>
        <w:rPr>
          <w:rFonts w:ascii="Calibri" w:hAnsi="Calibri" w:eastAsia="Calibri" w:cs="Calibri"/>
          <w:i/>
          <w:iCs/>
          <w:color w:val="000000"/>
          <w:sz w:val="22"/>
          <w:szCs w:val="22"/>
        </w:rPr>
        <w:t xml:space="preserve">B. gasipaes</w:t>
      </w:r>
      <w:r>
        <w:rPr>
          <w:rFonts w:ascii="Calibri" w:hAnsi="Calibri" w:eastAsia="Calibri" w:cs="Calibri"/>
          <w:color w:val="000000"/>
          <w:sz w:val="22"/>
          <w:szCs w:val="22"/>
        </w:rPr>
        <w:t xml:space="preserve"> (about 12 days). Adult longevity likewise differs among hosts, with females generally living between 17 and 25 days. Generation time ranges from approximately 16–24 days and sex ratio is strongly female-biased. Consistent with other tetranychid mites,</w:t>
      </w:r>
      <w:r>
        <w:rPr>
          <w:rFonts w:ascii="Calibri" w:hAnsi="Calibri" w:eastAsia="Calibri" w:cs="Calibri"/>
          <w:i/>
          <w:iCs/>
          <w:color w:val="000000"/>
          <w:sz w:val="22"/>
          <w:szCs w:val="22"/>
        </w:rPr>
        <w:t xml:space="preserve">T. mexicanus</w:t>
      </w:r>
      <w:r>
        <w:rPr>
          <w:rFonts w:ascii="Calibri" w:hAnsi="Calibri" w:eastAsia="Calibri" w:cs="Calibri"/>
          <w:color w:val="000000"/>
          <w:sz w:val="22"/>
          <w:szCs w:val="22"/>
        </w:rPr>
        <w:t xml:space="preserve"> exhibits a high reproductive potential.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resemble those caused by other spider mites (Moraes et al., 2024; Moraes &amp; Flechtmann, 2008; Ochoa et al., 1994). These appear on both leaf surfaces but are more evident on the upper side. At low infestation levels, small white spots may occur and are easily overlooked. Typical symptoms include chlorosis that can progress to necrosis, along with leaf deformation (EPPO, 2023). Detailed descriptions for some hosts are summarized in the EPPO PRA (EPPO, 2023). On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infestations cause chlorosis, leaf curling and webbing on the lower surface, with chlorotic areas above that may become necrotic; severe cases can lead to defoliation, especially under stress (Moraes &amp; Flechtmann, 2008; Ochoa et al., 1994; Silva et al., 2017). Additional effects on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include slight fruit discoloration (EPPO, 2023). Across other hosts, symptoms generally involve chlorosis, necrosis and leaf deformation. Examples include yellowing, curling and defoliation in </w:t>
      </w:r>
      <w:r>
        <w:rPr>
          <w:rFonts w:ascii="Calibri" w:hAnsi="Calibri" w:eastAsia="Calibri" w:cs="Calibri"/>
          <w:i/>
          <w:iCs/>
          <w:color w:val="000000"/>
          <w:sz w:val="22"/>
          <w:szCs w:val="22"/>
        </w:rPr>
        <w:t xml:space="preserve">A. muricata</w:t>
      </w:r>
      <w:r>
        <w:rPr>
          <w:rFonts w:ascii="Calibri" w:hAnsi="Calibri" w:eastAsia="Calibri" w:cs="Calibri"/>
          <w:color w:val="000000"/>
          <w:sz w:val="22"/>
          <w:szCs w:val="22"/>
        </w:rPr>
        <w:t xml:space="preserve"> (Silva et al., 2019); chlorosis and leaf death in </w:t>
      </w:r>
      <w:r>
        <w:rPr>
          <w:rFonts w:ascii="Calibri" w:hAnsi="Calibri" w:eastAsia="Calibri" w:cs="Calibri"/>
          <w:i/>
          <w:iCs/>
          <w:color w:val="000000"/>
          <w:sz w:val="22"/>
          <w:szCs w:val="22"/>
        </w:rPr>
        <w:t xml:space="preserve">C. papaya</w:t>
      </w:r>
      <w:r>
        <w:rPr>
          <w:rFonts w:ascii="Calibri" w:hAnsi="Calibri" w:eastAsia="Calibri" w:cs="Calibri"/>
          <w:color w:val="000000"/>
          <w:sz w:val="22"/>
          <w:szCs w:val="22"/>
        </w:rPr>
        <w:t xml:space="preserve"> (Santos et al., 2018); and leaf discoloration or spotting in </w:t>
      </w:r>
      <w:r>
        <w:rPr>
          <w:rFonts w:ascii="Calibri" w:hAnsi="Calibri" w:eastAsia="Calibri" w:cs="Calibri"/>
          <w:i/>
          <w:iCs/>
          <w:color w:val="000000"/>
          <w:sz w:val="22"/>
          <w:szCs w:val="22"/>
        </w:rPr>
        <w:t xml:space="preserve">Paullinia cupana</w:t>
      </w:r>
      <w:r>
        <w:rPr>
          <w:rFonts w:ascii="Calibri" w:hAnsi="Calibri" w:eastAsia="Calibri" w:cs="Calibri"/>
          <w:color w:val="000000"/>
          <w:sz w:val="22"/>
          <w:szCs w:val="22"/>
        </w:rPr>
        <w:t xml:space="preserve"> (Vasconcelos et al., 2022). Yellow patches are also reported in ornamentals (Feres et al., 2009), while </w:t>
      </w:r>
      <w:r>
        <w:rPr>
          <w:rFonts w:ascii="Calibri" w:hAnsi="Calibri" w:eastAsia="Calibri" w:cs="Calibri"/>
          <w:i/>
          <w:iCs/>
          <w:color w:val="000000"/>
          <w:sz w:val="22"/>
          <w:szCs w:val="22"/>
        </w:rPr>
        <w:t xml:space="preserve">Cocos nucifera</w:t>
      </w:r>
      <w:r>
        <w:rPr>
          <w:rFonts w:ascii="Calibri" w:hAnsi="Calibri" w:eastAsia="Calibri" w:cs="Calibri"/>
          <w:color w:val="000000"/>
          <w:sz w:val="22"/>
          <w:szCs w:val="22"/>
        </w:rPr>
        <w:t xml:space="preserve"> shows characteristic leaf bronzing (Teodoro et al., 2015).</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morphology of </w:t>
      </w:r>
      <w:r>
        <w:rPr>
          <w:rFonts w:ascii="Calibri" w:hAnsi="Calibri" w:eastAsia="Calibri" w:cs="Calibri"/>
          <w:i/>
          <w:iCs/>
          <w:color w:val="000000"/>
          <w:sz w:val="22"/>
          <w:szCs w:val="22"/>
        </w:rPr>
        <w:t xml:space="preserve">T. mexicanus</w:t>
      </w:r>
      <w:r>
        <w:rPr>
          <w:rFonts w:ascii="Calibri" w:hAnsi="Calibri" w:eastAsia="Calibri" w:cs="Calibri"/>
          <w:color w:val="000000"/>
          <w:sz w:val="22"/>
          <w:szCs w:val="22"/>
        </w:rPr>
        <w:t xml:space="preserve"> varies across developmental stages but follows the general pattern of tetranychid mites.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Spherical, about 0.15 mm in diameter; initially transparent, turning dark yellow prior to hatching (Paschoal,1968; Stein &amp; Daólio, 2012).</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Light yellow, with three pairs of legs, and measuring 0.2–0.3 mm in length. As development proceeds, dark spots appear in the podosoma (part of body bearing legs) (Paschoal,1968; Stein &amp; Daólio, 2012).</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Protonymph and deutonymph</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Possess four pairs of legs, and measuring approximately 0.3–0.45 mm in length, with deutonymphs larger than protonymphs. Colour is variable (light to dark green, yellow-green or red), and dark spots may extend to the opisthosoma (rear portion of the body) (Paschoal,1968; Stein &amp; Daólio, 2012).</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Also with four pairs of legs. Females are larger (around 0.5 mm in length), while males are smaller (about 0.25 mm in length) and have a tapered posterior body (Paschoal,1968). Colour is highly variable, ranging from yellowish or green to brown, orange or red, even within the same host plant. Adults typically show dark dorsal spots (Andrade et al., 2007; Stein &amp; Daólio, 2012).</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Detection of </w:t>
      </w:r>
      <w:r>
        <w:rPr>
          <w:rFonts w:ascii="Calibri" w:hAnsi="Calibri" w:eastAsia="Calibri" w:cs="Calibri"/>
          <w:i/>
          <w:iCs/>
          <w:color w:val="000000"/>
          <w:sz w:val="22"/>
          <w:szCs w:val="22"/>
        </w:rPr>
        <w:t xml:space="preserve">T. mexicanus</w:t>
      </w:r>
      <w:r>
        <w:rPr>
          <w:rFonts w:ascii="Calibri" w:hAnsi="Calibri" w:eastAsia="Calibri" w:cs="Calibri"/>
          <w:color w:val="000000"/>
          <w:sz w:val="22"/>
          <w:szCs w:val="22"/>
        </w:rPr>
        <w:t xml:space="preserve"> is challenging because it shares symptoms and visual characteristics with other spider mites. It is also common to find multiple spider mite species on the same plant, further complicating identification. Feeding damage is non-specific, and similar symptoms and colouration in other spider mites make field identification unreliable. Colonies of phytophagous mites may be visible to the naked eye, but at low infestation levels, individuals and eggs are easily missed. For reliable detection, especially at early stages, a hand lens (≥20× magnification) or a microscope should be used (EPPO, 2023). Colonies are typically located on the underside of leaves, although they may sometimes also occur on the upper surface, and occasionally on twigs or on fruits. Like other spider mites, </w:t>
      </w:r>
      <w:r>
        <w:rPr>
          <w:rFonts w:ascii="Calibri" w:hAnsi="Calibri" w:eastAsia="Calibri" w:cs="Calibri"/>
          <w:i/>
          <w:iCs/>
          <w:color w:val="000000"/>
          <w:sz w:val="22"/>
          <w:szCs w:val="22"/>
        </w:rPr>
        <w:t xml:space="preserve">T. mexicanus</w:t>
      </w:r>
      <w:r>
        <w:rPr>
          <w:rFonts w:ascii="Calibri" w:hAnsi="Calibri" w:eastAsia="Calibri" w:cs="Calibri"/>
          <w:color w:val="000000"/>
          <w:sz w:val="22"/>
          <w:szCs w:val="22"/>
        </w:rPr>
        <w:t xml:space="preserve"> produces webbing that can contain all life stages (Ochoa et al., 1994; Teodoro et al., 2015). It is reported to produce more abundant webbing than other common citrus spider mites, such as </w:t>
      </w:r>
      <w:r>
        <w:rPr>
          <w:rFonts w:ascii="Calibri" w:hAnsi="Calibri" w:eastAsia="Calibri" w:cs="Calibri"/>
          <w:i/>
          <w:iCs/>
          <w:color w:val="000000"/>
          <w:sz w:val="22"/>
          <w:szCs w:val="22"/>
        </w:rPr>
        <w:t xml:space="preserve">Panonychus citri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Eutetranychus banksi</w:t>
      </w:r>
      <w:r>
        <w:rPr>
          <w:rFonts w:ascii="Calibri" w:hAnsi="Calibri" w:eastAsia="Calibri" w:cs="Calibri"/>
          <w:color w:val="000000"/>
          <w:sz w:val="22"/>
          <w:szCs w:val="22"/>
        </w:rPr>
        <w:t xml:space="preserve"> (EPPO, 2023). Additional detection clues include a thin whitish layer of exuviae and dust debris adhering to the webbing, particularly on the underside of leaves (Teodoro et al., 2015).</w:t>
      </w:r>
    </w:p>
    <w:p>
      <w:pPr>
        <w:widowControl w:val="on"/>
        <w:pBdr/>
        <w:spacing w:before="220" w:after="220" w:line="240" w:lineRule="auto"/>
        <w:ind w:left="0" w:right="0"/>
        <w:jc w:val="left"/>
      </w:pPr>
      <w:r>
        <w:rPr>
          <w:rFonts w:ascii="Calibri" w:hAnsi="Calibri" w:eastAsia="Calibri" w:cs="Calibri"/>
          <w:color w:val="000000"/>
          <w:sz w:val="22"/>
          <w:szCs w:val="22"/>
        </w:rPr>
        <w:t xml:space="preserve">Identification of </w:t>
      </w:r>
      <w:r>
        <w:rPr>
          <w:rFonts w:ascii="Calibri" w:hAnsi="Calibri" w:eastAsia="Calibri" w:cs="Calibri"/>
          <w:i/>
          <w:iCs/>
          <w:color w:val="000000"/>
          <w:sz w:val="22"/>
          <w:szCs w:val="22"/>
        </w:rPr>
        <w:t xml:space="preserve">T. mexicanus</w:t>
      </w:r>
      <w:r>
        <w:rPr>
          <w:rFonts w:ascii="Calibri" w:hAnsi="Calibri" w:eastAsia="Calibri" w:cs="Calibri"/>
          <w:color w:val="000000"/>
          <w:sz w:val="22"/>
          <w:szCs w:val="22"/>
        </w:rPr>
        <w:t xml:space="preserve"> is difficult due to its close resemblance to other </w:t>
      </w:r>
      <w:r>
        <w:rPr>
          <w:rFonts w:ascii="Calibri" w:hAnsi="Calibri" w:eastAsia="Calibri" w:cs="Calibri"/>
          <w:i/>
          <w:iCs/>
          <w:color w:val="000000"/>
          <w:sz w:val="22"/>
          <w:szCs w:val="22"/>
        </w:rPr>
        <w:t xml:space="preserve">Tetranychus</w:t>
      </w:r>
      <w:r>
        <w:rPr>
          <w:rFonts w:ascii="Calibri" w:hAnsi="Calibri" w:eastAsia="Calibri" w:cs="Calibri"/>
          <w:color w:val="000000"/>
          <w:sz w:val="22"/>
          <w:szCs w:val="22"/>
        </w:rPr>
        <w:t xml:space="preserve"> species, and colour is unreliable as a distinguishing characteristic because it varies widely within the genus and even within the species itself. Accurate identification is based on morphological characters and requires specimens to be mounted on microscope slides. Species-level determination relies mainly on the shape of the male aedeagus (Gutierrez, 1985). Female characters, such as pregenital striae and tarsal chaetotaxy, can assist the identification (Santos et al., 2018). In practice, specimens are identified using descriptions and taxonomic keys (McGregor, 1950; Pritchard &amp; Baker, 1955; Seeman &amp; Beard, 2011). Molecular methods are not well established (EPPO, 2023).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pathway for long-distance movement is international trade in infested plant material (EPPO, 2023). The most important pathway is host plants for planting with leaves (including plants with roots and cuttings). This pathway is considered the highest risk because mites are primarily associated with foliage of living host plants. A wide range of woody and perennial hosts contribute to this pathway, including frequently traded ornamentals, such as </w:t>
      </w:r>
      <w:r>
        <w:rPr>
          <w:rFonts w:ascii="Calibri" w:hAnsi="Calibri" w:eastAsia="Calibri" w:cs="Calibri"/>
          <w:i/>
          <w:iCs/>
          <w:color w:val="000000"/>
          <w:sz w:val="22"/>
          <w:szCs w:val="22"/>
        </w:rPr>
        <w:t xml:space="preserve">Beaucarnea recurvata</w:t>
      </w:r>
      <w:r>
        <w:rPr>
          <w:rFonts w:ascii="Calibri" w:hAnsi="Calibri" w:eastAsia="Calibri" w:cs="Calibri"/>
          <w:color w:val="000000"/>
          <w:sz w:val="22"/>
          <w:szCs w:val="22"/>
        </w:rPr>
        <w:t xml:space="preserve"> (with a documented interception in the Netherlands) (NVWA, 2019), as well as multiple fruit tree and shrub genera (EPPO, 2023).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and related Rutaceae genera also form part of this host spectrum and are relevant due to their susceptibility. All life stages may be present on foliage, and populations may survive and even reproduce during transport and storage under favourable conditions. A second relevant pathway, associated with a low likelihood of entry, is above-ground fresh cut plant parts of hosts (cut flowers, cut foliage and cut branches, as well as leaf vegetables). These commodities may carry mites on leaves or tender stems. Survival may be possible under cool transport conditions typical of the flower and foliage trade, but transfer is unlikely because these commodities are short-lived and not intended for planting. A third, low risk pathway is host fruit, only if green parts are associated. Although </w:t>
      </w:r>
      <w:r>
        <w:rPr>
          <w:rFonts w:ascii="Calibri" w:hAnsi="Calibri" w:eastAsia="Calibri" w:cs="Calibri"/>
          <w:i/>
          <w:iCs/>
          <w:color w:val="000000"/>
          <w:sz w:val="22"/>
          <w:szCs w:val="22"/>
        </w:rPr>
        <w:t xml:space="preserve">T. mexicanus</w:t>
      </w:r>
      <w:r>
        <w:rPr>
          <w:rFonts w:ascii="Calibri" w:hAnsi="Calibri" w:eastAsia="Calibri" w:cs="Calibri"/>
          <w:color w:val="000000"/>
          <w:sz w:val="22"/>
          <w:szCs w:val="22"/>
        </w:rPr>
        <w:t xml:space="preserve"> has been occasionally associated with fruit of </w:t>
      </w:r>
      <w:r>
        <w:rPr>
          <w:rFonts w:ascii="Calibri" w:hAnsi="Calibri" w:eastAsia="Calibri" w:cs="Calibri"/>
          <w:i/>
          <w:iCs/>
          <w:color w:val="000000"/>
          <w:sz w:val="22"/>
          <w:szCs w:val="22"/>
        </w:rPr>
        <w:t xml:space="preserve">Citrus sinensis</w:t>
      </w:r>
      <w:r>
        <w:rPr>
          <w:rFonts w:ascii="Calibri" w:hAnsi="Calibri" w:eastAsia="Calibri" w:cs="Calibri"/>
          <w:color w:val="000000"/>
          <w:sz w:val="22"/>
          <w:szCs w:val="22"/>
        </w:rPr>
        <w:t xml:space="preserve">, such occurrences are rare and transfer to a host would be difficult. Entry on fruit without green parts was therefore considered unlikely (EPPO, 2023). Other very unlikely pathways include for example non-host plant material or host wood, which are unsuitable for mite survival.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0" w:after="0" w:line="240" w:lineRule="auto"/>
        <w:ind w:left="0" w:right="0"/>
        <w:jc w:val="both"/>
      </w:pPr>
      <w:r>
        <w:rPr>
          <w:rFonts w:ascii="Calibri" w:hAnsi="Calibri" w:eastAsia="Calibri" w:cs="Calibri"/>
          <w:i/>
          <w:iCs/>
          <w:color w:val="000000"/>
          <w:sz w:val="22"/>
          <w:szCs w:val="22"/>
        </w:rPr>
        <w:t xml:space="preserve">Tetranychus mexicanus</w:t>
      </w:r>
      <w:r>
        <w:rPr>
          <w:rFonts w:ascii="Calibri" w:hAnsi="Calibri" w:eastAsia="Calibri" w:cs="Calibri"/>
          <w:color w:val="000000"/>
          <w:sz w:val="22"/>
          <w:szCs w:val="22"/>
        </w:rPr>
        <w:t xml:space="preserve"> is generally considered a minor and sporadic pest with low economic impact across its current distribution range. Its importance is limited because it often co-occurs with other spider mites and typically causes damage only under favourable conditions, particularly during dry spells and when natural enemies are disrupted by pesticide use (Sousa et al., 2010; Teodoro et al., 2015).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crops are the main economically relevant hosts in its current distribution. Even on citrus, it is usually a secondary pest, accounting for a small proportion of mite populations in Brazil (Bobot et al., 2011; Horn et al., 2011). However, at high infestation levels, it may cause defoliation and reduced plant development, particularly in nurseries or greenhouses, where control measures may be necessary (EPPO, 2023). On other hosts, its importance varies. </w:t>
      </w:r>
      <w:r>
        <w:rPr>
          <w:rFonts w:ascii="Calibri" w:hAnsi="Calibri" w:eastAsia="Calibri" w:cs="Calibri"/>
          <w:i/>
          <w:iCs/>
          <w:color w:val="000000"/>
          <w:sz w:val="22"/>
          <w:szCs w:val="22"/>
        </w:rPr>
        <w:t xml:space="preserve">T. mexicanus</w:t>
      </w:r>
      <w:r>
        <w:rPr>
          <w:rFonts w:ascii="Calibri" w:hAnsi="Calibri" w:eastAsia="Calibri" w:cs="Calibri"/>
          <w:color w:val="000000"/>
          <w:sz w:val="22"/>
          <w:szCs w:val="22"/>
        </w:rPr>
        <w:t xml:space="preserve"> is a major pest on </w:t>
      </w:r>
      <w:r>
        <w:rPr>
          <w:rFonts w:ascii="Calibri" w:hAnsi="Calibri" w:eastAsia="Calibri" w:cs="Calibri"/>
          <w:i/>
          <w:iCs/>
          <w:color w:val="000000"/>
          <w:sz w:val="22"/>
          <w:szCs w:val="22"/>
        </w:rPr>
        <w:t xml:space="preserve">P. edulis</w:t>
      </w:r>
      <w:r>
        <w:rPr>
          <w:rFonts w:ascii="Calibri" w:hAnsi="Calibri" w:eastAsia="Calibri" w:cs="Calibri"/>
          <w:color w:val="000000"/>
          <w:sz w:val="22"/>
          <w:szCs w:val="22"/>
        </w:rPr>
        <w:t xml:space="preserve">, capable of causing severe yield losses (Silva et al., 2020). On </w:t>
      </w:r>
      <w:r>
        <w:rPr>
          <w:rFonts w:ascii="Calibri" w:hAnsi="Calibri" w:eastAsia="Calibri" w:cs="Calibri"/>
          <w:i/>
          <w:iCs/>
          <w:color w:val="000000"/>
          <w:sz w:val="22"/>
          <w:szCs w:val="22"/>
        </w:rPr>
        <w:t xml:space="preserve">Theobroma cacao</w:t>
      </w:r>
      <w:r>
        <w:rPr>
          <w:rFonts w:ascii="Calibri" w:hAnsi="Calibri" w:eastAsia="Calibri" w:cs="Calibri"/>
          <w:color w:val="000000"/>
          <w:sz w:val="22"/>
          <w:szCs w:val="22"/>
        </w:rPr>
        <w:t xml:space="preserve">, it can damage seedlings (Sodré, 2017). On </w:t>
      </w:r>
      <w:r>
        <w:rPr>
          <w:rFonts w:ascii="Calibri" w:hAnsi="Calibri" w:eastAsia="Calibri" w:cs="Calibri"/>
          <w:i/>
          <w:iCs/>
          <w:color w:val="000000"/>
          <w:sz w:val="22"/>
          <w:szCs w:val="22"/>
        </w:rPr>
        <w:t xml:space="preserve">A. muricata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nucifera</w:t>
      </w:r>
      <w:r>
        <w:rPr>
          <w:rFonts w:ascii="Calibri" w:hAnsi="Calibri" w:eastAsia="Calibri" w:cs="Calibri"/>
          <w:color w:val="000000"/>
          <w:sz w:val="22"/>
          <w:szCs w:val="22"/>
        </w:rPr>
        <w:t xml:space="preserve"> damage is usually occasional (Sousa et al., 2010; Teodoro et al., 2015). Occasional and limited damage has been reported on some other plants of economic importance in the EPPO region, such as </w:t>
      </w:r>
      <w:r>
        <w:rPr>
          <w:rFonts w:ascii="Calibri" w:hAnsi="Calibri" w:eastAsia="Calibri" w:cs="Calibri"/>
          <w:i/>
          <w:iCs/>
          <w:color w:val="000000"/>
          <w:sz w:val="22"/>
          <w:szCs w:val="22"/>
        </w:rPr>
        <w:t xml:space="preserve">Fragaria × ananassa</w:t>
      </w:r>
      <w:r>
        <w:rPr>
          <w:rFonts w:ascii="Calibri" w:hAnsi="Calibri" w:eastAsia="Calibri" w:cs="Calibri"/>
          <w:color w:val="000000"/>
          <w:sz w:val="22"/>
          <w:szCs w:val="22"/>
        </w:rPr>
        <w:t xml:space="preserve">, palms or </w:t>
      </w:r>
      <w:r>
        <w:rPr>
          <w:rFonts w:ascii="Calibri" w:hAnsi="Calibri" w:eastAsia="Calibri" w:cs="Calibri"/>
          <w:i/>
          <w:iCs/>
          <w:color w:val="000000"/>
          <w:sz w:val="22"/>
          <w:szCs w:val="22"/>
        </w:rPr>
        <w:t xml:space="preserve">Gossypium hirsutum</w:t>
      </w:r>
      <w:r>
        <w:rPr>
          <w:rFonts w:ascii="Calibri" w:hAnsi="Calibri" w:eastAsia="Calibri" w:cs="Calibri"/>
          <w:color w:val="000000"/>
          <w:sz w:val="22"/>
          <w:szCs w:val="22"/>
        </w:rPr>
        <w:t xml:space="preserve"> (references in EPPO, 2023).</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b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According to EPPO (2023), control of </w:t>
      </w:r>
      <w:r>
        <w:rPr>
          <w:rFonts w:ascii="Calibri" w:hAnsi="Calibri" w:eastAsia="Calibri" w:cs="Calibri"/>
          <w:i/>
          <w:iCs/>
          <w:color w:val="000000"/>
          <w:sz w:val="22"/>
          <w:szCs w:val="22"/>
        </w:rPr>
        <w:t xml:space="preserve">T. mexicanus</w:t>
      </w:r>
      <w:r>
        <w:rPr>
          <w:rFonts w:ascii="Calibri" w:hAnsi="Calibri" w:eastAsia="Calibri" w:cs="Calibri"/>
          <w:color w:val="000000"/>
          <w:sz w:val="22"/>
          <w:szCs w:val="22"/>
        </w:rPr>
        <w:t xml:space="preserve"> relies on preventive and curative measures, as no single method is fully effective. Chemical control is the main strategy during outbreaks, with acaricides generally effective; however, repeated applications are often required due to frequent reinfestation (Andrade et al., 2007). As observed in other </w:t>
      </w:r>
      <w:r>
        <w:rPr>
          <w:rFonts w:ascii="Calibri" w:hAnsi="Calibri" w:eastAsia="Calibri" w:cs="Calibri"/>
          <w:i/>
          <w:iCs/>
          <w:color w:val="000000"/>
          <w:sz w:val="22"/>
          <w:szCs w:val="22"/>
        </w:rPr>
        <w:t xml:space="preserve">Tetranychus</w:t>
      </w:r>
      <w:r>
        <w:rPr>
          <w:rFonts w:ascii="Calibri" w:hAnsi="Calibri" w:eastAsia="Calibri" w:cs="Calibri"/>
          <w:color w:val="000000"/>
          <w:sz w:val="22"/>
          <w:szCs w:val="22"/>
        </w:rPr>
        <w:t xml:space="preserve"> species, the mite's short life cycle and high fecundity may favour the development of resistance, and reduced pesticide availability in the EU could further limit control options (APRD, 2026; EPPO, 2023; Van Leeuwen et al., 2010). Biological control may contribute to the regulation of pest populations, as natural enemies often keep infestations at low levels. In its native range, a variety of natural enemies contribute to the biological control of spider mites, such as </w:t>
      </w:r>
      <w:r>
        <w:rPr>
          <w:rFonts w:ascii="Calibri" w:hAnsi="Calibri" w:eastAsia="Calibri" w:cs="Calibri"/>
          <w:i/>
          <w:iCs/>
          <w:color w:val="000000"/>
          <w:sz w:val="22"/>
          <w:szCs w:val="22"/>
        </w:rPr>
        <w:t xml:space="preserve">T. mexicanus</w:t>
      </w:r>
      <w:r>
        <w:rPr>
          <w:rFonts w:ascii="Calibri" w:hAnsi="Calibri" w:eastAsia="Calibri" w:cs="Calibri"/>
          <w:color w:val="000000"/>
          <w:sz w:val="22"/>
          <w:szCs w:val="22"/>
        </w:rPr>
        <w:t xml:space="preserve">, particularly predatory mites (McMurtry et al., 2013; Moraes et al., 2024), and similar groups are also present in the EPPO region, including in citrus crops (Abad-Moyano et al., 2009). Commercial predatory mites, such as </w:t>
      </w:r>
      <w:r>
        <w:rPr>
          <w:rFonts w:ascii="Calibri" w:hAnsi="Calibri" w:eastAsia="Calibri" w:cs="Calibri"/>
          <w:i/>
          <w:iCs/>
          <w:color w:val="000000"/>
          <w:sz w:val="22"/>
          <w:szCs w:val="22"/>
        </w:rPr>
        <w:t xml:space="preserve">Amblyseius swirskii, Phytoseiulus persimilis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Neoseiulus californicus</w:t>
      </w:r>
      <w:r>
        <w:rPr>
          <w:rFonts w:ascii="Calibri" w:hAnsi="Calibri" w:eastAsia="Calibri" w:cs="Calibri"/>
          <w:color w:val="000000"/>
          <w:sz w:val="22"/>
          <w:szCs w:val="22"/>
        </w:rPr>
        <w:t xml:space="preserve">, are available in the EPPO region, although their effectiveness against </w:t>
      </w:r>
      <w:r>
        <w:rPr>
          <w:rFonts w:ascii="Calibri" w:hAnsi="Calibri" w:eastAsia="Calibri" w:cs="Calibri"/>
          <w:i/>
          <w:iCs/>
          <w:color w:val="000000"/>
          <w:sz w:val="22"/>
          <w:szCs w:val="22"/>
        </w:rPr>
        <w:t xml:space="preserve">T. mexicanus</w:t>
      </w:r>
      <w:r>
        <w:rPr>
          <w:rFonts w:ascii="Calibri" w:hAnsi="Calibri" w:eastAsia="Calibri" w:cs="Calibri"/>
          <w:color w:val="000000"/>
          <w:sz w:val="22"/>
          <w:szCs w:val="22"/>
        </w:rPr>
        <w:t xml:space="preserve"> remains uncertain (EPPO, 2023).</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phytosanitary risk of </w:t>
      </w:r>
      <w:r>
        <w:rPr>
          <w:rFonts w:ascii="Calibri" w:hAnsi="Calibri" w:eastAsia="Calibri" w:cs="Calibri"/>
          <w:i/>
          <w:iCs/>
          <w:color w:val="000000"/>
          <w:sz w:val="22"/>
          <w:szCs w:val="22"/>
        </w:rPr>
        <w:t xml:space="preserve">T. mexicanus</w:t>
      </w:r>
      <w:r>
        <w:rPr>
          <w:rFonts w:ascii="Calibri" w:hAnsi="Calibri" w:eastAsia="Calibri" w:cs="Calibri"/>
          <w:color w:val="000000"/>
          <w:sz w:val="22"/>
          <w:szCs w:val="22"/>
        </w:rPr>
        <w:t xml:space="preserve"> for the EPPO region is primarily driven by its strong association with live host plants for planting, especially those bearing foliage, which represent the main pathway for entry. The pest is highly polyphagous, but particular concern is linked to woody perennials and ornamental hosts and several economically important fruit producing genera, including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Persea</w:t>
      </w:r>
      <w:r>
        <w:rPr>
          <w:rFonts w:ascii="Calibri" w:hAnsi="Calibri" w:eastAsia="Calibri" w:cs="Calibri"/>
          <w:color w:val="000000"/>
          <w:sz w:val="22"/>
          <w:szCs w:val="22"/>
        </w:rPr>
        <w:t xml:space="preserve">. These hosts can be traded as plants for planting and can support all life stages, enabling survival and potential population development during transport. The risk of establishment is strongly influenced by climate and production systems. Outdoors, </w:t>
      </w:r>
      <w:r>
        <w:rPr>
          <w:rFonts w:ascii="Calibri" w:hAnsi="Calibri" w:eastAsia="Calibri" w:cs="Calibri"/>
          <w:i/>
          <w:iCs/>
          <w:color w:val="000000"/>
          <w:sz w:val="22"/>
          <w:szCs w:val="22"/>
        </w:rPr>
        <w:t xml:space="preserve">T. mexicanus</w:t>
      </w:r>
      <w:r>
        <w:rPr>
          <w:rFonts w:ascii="Calibri" w:hAnsi="Calibri" w:eastAsia="Calibri" w:cs="Calibri"/>
          <w:color w:val="000000"/>
          <w:sz w:val="22"/>
          <w:szCs w:val="22"/>
        </w:rPr>
        <w:t xml:space="preserve"> is most likely to establish in the southern part of the EPPO region with mild winters, such as coastal areas of the Mediterranean and the Black Sea, and southern Portugal, in areas where host plants are widely present year-round (EPPO, 2023). In these regions, establishment in protected conditions (greenhouses and nurseries) is expected to be equally likely as outdoors, particularly where continuous host availability exists. Protected cultivation systems producing citrus seedlings and ornamentals year-round may therefore act as persistent reservoirs and amplification sites. In contrast, in more temperate parts of the EPPO region, outdoor establishment is unlikely due to winter conditions, and greenhouse establishment would only occur where hosts are continuously present. Increasing drought frequency—associated with climate change—may promote population outbreaks (Litskas et al., 2019). The potential impact in the EPPO PRA area is uncertain but could increase under favourable conditions. On cultivated crops, citrus is the main concern: damage is reported on </w:t>
      </w:r>
      <w:r>
        <w:rPr>
          <w:rFonts w:ascii="Calibri" w:hAnsi="Calibri" w:eastAsia="Calibri" w:cs="Calibri"/>
          <w:i/>
          <w:iCs/>
          <w:color w:val="000000"/>
          <w:sz w:val="22"/>
          <w:szCs w:val="22"/>
        </w:rPr>
        <w:t xml:space="preserve">C. sinensis</w:t>
      </w:r>
      <w:r>
        <w:rPr>
          <w:rFonts w:ascii="Calibri" w:hAnsi="Calibri" w:eastAsia="Calibri" w:cs="Calibri"/>
          <w:color w:val="000000"/>
          <w:sz w:val="22"/>
          <w:szCs w:val="22"/>
        </w:rPr>
        <w:t xml:space="preserve"> in Brazil, although there is uncertainty about its potential impact on citrus varieties grown in the EPPO region. For ornamental plants, the potential impact of </w:t>
      </w:r>
      <w:r>
        <w:rPr>
          <w:rFonts w:ascii="Calibri" w:hAnsi="Calibri" w:eastAsia="Calibri" w:cs="Calibri"/>
          <w:i/>
          <w:iCs/>
          <w:color w:val="000000"/>
          <w:sz w:val="22"/>
          <w:szCs w:val="22"/>
        </w:rPr>
        <w:t xml:space="preserve">T. mexicanus</w:t>
      </w:r>
      <w:r>
        <w:rPr>
          <w:rFonts w:ascii="Calibri" w:hAnsi="Calibri" w:eastAsia="Calibri" w:cs="Calibri"/>
          <w:color w:val="000000"/>
          <w:sz w:val="22"/>
          <w:szCs w:val="22"/>
        </w:rPr>
        <w:t xml:space="preserve"> may be higher. Its detection on </w:t>
      </w:r>
      <w:r>
        <w:rPr>
          <w:rFonts w:ascii="Calibri" w:hAnsi="Calibri" w:eastAsia="Calibri" w:cs="Calibri"/>
          <w:i/>
          <w:iCs/>
          <w:color w:val="000000"/>
          <w:sz w:val="22"/>
          <w:szCs w:val="22"/>
        </w:rPr>
        <w:t xml:space="preserve">B. recurvata</w:t>
      </w:r>
      <w:r>
        <w:rPr>
          <w:rFonts w:ascii="Calibri" w:hAnsi="Calibri" w:eastAsia="Calibri" w:cs="Calibri"/>
          <w:color w:val="000000"/>
          <w:sz w:val="22"/>
          <w:szCs w:val="22"/>
        </w:rPr>
        <w:t xml:space="preserve"> in the Netherlands indicates the ability to infest previously unreported hosts, and heavy infestations in greenhouses suggest it could become a significant pest of ornamentals (EPPO, 2023; NVWA,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Phytosanitary measures are recommended for plants for planting with leaves (except tissue cultures) of hosts (EPPO, 2023). The following options were identified: pest free area; pest-free production site or pest free place of production established under physical isolation according to EPPO Standard PM 5/8 (EPPO, 2016); pest free place of production/pest free production site with inspection of the consignment prior to export (no </w:t>
      </w:r>
      <w:r>
        <w:rPr>
          <w:rFonts w:ascii="Calibri" w:hAnsi="Calibri" w:eastAsia="Calibri" w:cs="Calibri"/>
          <w:i/>
          <w:iCs/>
          <w:color w:val="000000"/>
          <w:sz w:val="22"/>
          <w:szCs w:val="22"/>
        </w:rPr>
        <w:t xml:space="preserve">T. mexicanus</w:t>
      </w:r>
      <w:r>
        <w:rPr>
          <w:rFonts w:ascii="Calibri" w:hAnsi="Calibri" w:eastAsia="Calibri" w:cs="Calibri"/>
          <w:color w:val="000000"/>
          <w:sz w:val="22"/>
          <w:szCs w:val="22"/>
        </w:rPr>
        <w:t xml:space="preserve"> observed); or post-entry quarantine for 4 weeks in conditions suitable for the development of the mite (at 25°C or more) (in the framework of a bilateral agreement). Inspection of the consignment prior to export with no </w:t>
      </w:r>
      <w:r>
        <w:rPr>
          <w:rFonts w:ascii="Calibri" w:hAnsi="Calibri" w:eastAsia="Calibri" w:cs="Calibri"/>
          <w:i/>
          <w:iCs/>
          <w:color w:val="000000"/>
          <w:sz w:val="22"/>
          <w:szCs w:val="22"/>
        </w:rPr>
        <w:t xml:space="preserve">T. mexicanus</w:t>
      </w:r>
      <w:r>
        <w:rPr>
          <w:rFonts w:ascii="Calibri" w:hAnsi="Calibri" w:eastAsia="Calibri" w:cs="Calibri"/>
          <w:color w:val="000000"/>
          <w:sz w:val="22"/>
          <w:szCs w:val="22"/>
        </w:rPr>
        <w:t xml:space="preserve"> observed, followed by treatment(s) of the consignment which are effective against all life stages of </w:t>
      </w:r>
      <w:r>
        <w:rPr>
          <w:rFonts w:ascii="Calibri" w:hAnsi="Calibri" w:eastAsia="Calibri" w:cs="Calibri"/>
          <w:i/>
          <w:iCs/>
          <w:color w:val="000000"/>
          <w:sz w:val="22"/>
          <w:szCs w:val="22"/>
        </w:rPr>
        <w:t xml:space="preserve">T. mexicanus</w:t>
      </w:r>
      <w:r>
        <w:rPr>
          <w:rFonts w:ascii="Calibri" w:hAnsi="Calibri" w:eastAsia="Calibri" w:cs="Calibri"/>
          <w:color w:val="000000"/>
          <w:sz w:val="22"/>
          <w:szCs w:val="22"/>
        </w:rPr>
        <w:t xml:space="preserve"> is also an option, which is considered to provide a lower protection.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Abad-Moyano R, Pina T, Dembilio O, Ferragut F &amp; Urbaneja A (2009) Survey of natural enemies of spider mites (Acari: Tetranychidae) in citrus orchards in eastern Spain. </w:t>
      </w:r>
      <w:r>
        <w:rPr>
          <w:rFonts w:ascii="Calibri" w:hAnsi="Calibri" w:eastAsia="Calibri" w:cs="Calibri"/>
          <w:i/>
          <w:iCs/>
          <w:color w:val="000000"/>
          <w:sz w:val="22"/>
          <w:szCs w:val="22"/>
        </w:rPr>
        <w:t xml:space="preserve">Experimental and Applied Acarology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(1), 49-61.</w:t>
      </w:r>
    </w:p>
    <w:p>
      <w:pPr>
        <w:widowControl w:val="on"/>
        <w:pBdr/>
        <w:spacing w:before="220" w:after="220" w:line="240" w:lineRule="auto"/>
        <w:ind w:left="0" w:right="0"/>
        <w:jc w:val="left"/>
      </w:pPr>
      <w:r>
        <w:rPr>
          <w:rFonts w:ascii="Calibri" w:hAnsi="Calibri" w:eastAsia="Calibri" w:cs="Calibri"/>
          <w:color w:val="000000"/>
          <w:sz w:val="22"/>
          <w:szCs w:val="22"/>
        </w:rPr>
        <w:t xml:space="preserve">Andrade DJ, Oliveira CAL, Romani GDN &amp; Pattaro FC (2007) Efeito da calda sulfocálcica sobre o ácaro </w:t>
      </w:r>
      <w:r>
        <w:rPr>
          <w:rFonts w:ascii="Calibri" w:hAnsi="Calibri" w:eastAsia="Calibri" w:cs="Calibri"/>
          <w:i/>
          <w:iCs/>
          <w:color w:val="000000"/>
          <w:sz w:val="22"/>
          <w:szCs w:val="22"/>
        </w:rPr>
        <w:t xml:space="preserve">Tetranychus mexicanus</w:t>
      </w:r>
      <w:r>
        <w:rPr>
          <w:rFonts w:ascii="Calibri" w:hAnsi="Calibri" w:eastAsia="Calibri" w:cs="Calibri"/>
          <w:color w:val="000000"/>
          <w:sz w:val="22"/>
          <w:szCs w:val="22"/>
        </w:rPr>
        <w:t xml:space="preserve"> (McGregor, 1950) em citros. </w:t>
      </w:r>
      <w:r>
        <w:rPr>
          <w:rFonts w:ascii="Calibri" w:hAnsi="Calibri" w:eastAsia="Calibri" w:cs="Calibri"/>
          <w:i/>
          <w:iCs/>
          <w:color w:val="000000"/>
          <w:sz w:val="22"/>
          <w:szCs w:val="22"/>
        </w:rPr>
        <w:t xml:space="preserve">Revista de Agricultura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82</w:t>
      </w:r>
      <w:r>
        <w:rPr>
          <w:rFonts w:ascii="Calibri" w:hAnsi="Calibri" w:eastAsia="Calibri" w:cs="Calibri"/>
          <w:color w:val="000000"/>
          <w:sz w:val="22"/>
          <w:szCs w:val="22"/>
        </w:rPr>
        <w:t xml:space="preserve">, 161-169.</w:t>
      </w:r>
    </w:p>
    <w:p>
      <w:pPr>
        <w:widowControl w:val="on"/>
        <w:pBdr/>
        <w:spacing w:before="220" w:after="220" w:line="240" w:lineRule="auto"/>
        <w:ind w:left="0" w:right="0"/>
        <w:jc w:val="left"/>
      </w:pPr>
      <w:r>
        <w:rPr>
          <w:rFonts w:ascii="Calibri" w:hAnsi="Calibri" w:eastAsia="Calibri" w:cs="Calibri"/>
          <w:color w:val="000000"/>
          <w:sz w:val="22"/>
          <w:szCs w:val="22"/>
        </w:rPr>
        <w:t xml:space="preserve">APRD (2026) Arthropod Pesticide Resistance Database. </w:t>
      </w:r>
      <w:hyperlink r:id="rId28296ad2a64f38ea5" w:history="1">
        <w:r>
          <w:rPr>
            <w:rFonts w:ascii="Calibri" w:hAnsi="Calibri" w:eastAsia="Calibri" w:cs="Calibri"/>
            <w:color w:val="0000CC"/>
            <w:sz w:val="22"/>
            <w:szCs w:val="22"/>
            <w:u w:val="single"/>
          </w:rPr>
          <w:t xml:space="preserve">https://www.pesticideresistance.org/</w:t>
        </w:r>
      </w:hyperlink>
      <w:r>
        <w:rPr>
          <w:rFonts w:ascii="Calibri" w:hAnsi="Calibri" w:eastAsia="Calibri" w:cs="Calibri"/>
          <w:color w:val="000000"/>
          <w:sz w:val="22"/>
          <w:szCs w:val="22"/>
        </w:rPr>
        <w:t xml:space="preserve"> [accessed on 6 April 2026].</w:t>
      </w:r>
    </w:p>
    <w:p>
      <w:pPr>
        <w:widowControl w:val="on"/>
        <w:pBdr/>
        <w:spacing w:before="220" w:after="220" w:line="240" w:lineRule="auto"/>
        <w:ind w:left="0" w:right="0"/>
        <w:jc w:val="left"/>
      </w:pPr>
      <w:r>
        <w:rPr>
          <w:rFonts w:ascii="Calibri" w:hAnsi="Calibri" w:eastAsia="Calibri" w:cs="Calibri"/>
          <w:color w:val="000000"/>
          <w:sz w:val="22"/>
          <w:szCs w:val="22"/>
        </w:rPr>
        <w:t xml:space="preserve">Barroncas SF, Silva NM &amp; Vasconcelos GJN (2022) Biological parameters of </w:t>
      </w:r>
      <w:r>
        <w:rPr>
          <w:rFonts w:ascii="Calibri" w:hAnsi="Calibri" w:eastAsia="Calibri" w:cs="Calibri"/>
          <w:i/>
          <w:iCs/>
          <w:color w:val="000000"/>
          <w:sz w:val="22"/>
          <w:szCs w:val="22"/>
        </w:rPr>
        <w:t xml:space="preserve">Tetranychus mexicanus</w:t>
      </w:r>
      <w:r>
        <w:rPr>
          <w:rFonts w:ascii="Calibri" w:hAnsi="Calibri" w:eastAsia="Calibri" w:cs="Calibri"/>
          <w:color w:val="000000"/>
          <w:sz w:val="22"/>
          <w:szCs w:val="22"/>
        </w:rPr>
        <w:t xml:space="preserve"> (McGregor) (Acari: Tetranychidae) in papaya and passion fruit. </w:t>
      </w:r>
      <w:r>
        <w:rPr>
          <w:rFonts w:ascii="Calibri" w:hAnsi="Calibri" w:eastAsia="Calibri" w:cs="Calibri"/>
          <w:i/>
          <w:iCs/>
          <w:color w:val="000000"/>
          <w:sz w:val="22"/>
          <w:szCs w:val="22"/>
        </w:rPr>
        <w:t xml:space="preserve">Pesquisa Agropecuária Tropical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e72154.</w:t>
      </w:r>
    </w:p>
    <w:p>
      <w:pPr>
        <w:widowControl w:val="on"/>
        <w:pBdr/>
        <w:spacing w:before="220" w:after="220" w:line="240" w:lineRule="auto"/>
        <w:ind w:left="0" w:right="0"/>
        <w:jc w:val="left"/>
      </w:pPr>
      <w:r>
        <w:rPr>
          <w:rFonts w:ascii="Calibri" w:hAnsi="Calibri" w:eastAsia="Calibri" w:cs="Calibri"/>
          <w:color w:val="000000"/>
          <w:sz w:val="22"/>
          <w:szCs w:val="22"/>
        </w:rPr>
        <w:t xml:space="preserve">Bobot TE, Franklin E, Navia D, Gasnier TRJ, Lofego AC &amp; Oliveira BM (2011) Mites (Arachnida, Acari) on </w:t>
      </w:r>
      <w:r>
        <w:rPr>
          <w:rFonts w:ascii="Calibri" w:hAnsi="Calibri" w:eastAsia="Calibri" w:cs="Calibri"/>
          <w:i/>
          <w:iCs/>
          <w:color w:val="000000"/>
          <w:sz w:val="22"/>
          <w:szCs w:val="22"/>
        </w:rPr>
        <w:t xml:space="preserve">Citrus sinensis</w:t>
      </w:r>
      <w:r>
        <w:rPr>
          <w:rFonts w:ascii="Calibri" w:hAnsi="Calibri" w:eastAsia="Calibri" w:cs="Calibri"/>
          <w:color w:val="000000"/>
          <w:sz w:val="22"/>
          <w:szCs w:val="22"/>
        </w:rPr>
        <w:t xml:space="preserve"> L. Osbeck orange trees in the state of Amazonas, Northern Brazil. </w:t>
      </w:r>
      <w:r>
        <w:rPr>
          <w:rFonts w:ascii="Calibri" w:hAnsi="Calibri" w:eastAsia="Calibri" w:cs="Calibri"/>
          <w:i/>
          <w:iCs/>
          <w:color w:val="000000"/>
          <w:sz w:val="22"/>
          <w:szCs w:val="22"/>
        </w:rPr>
        <w:t xml:space="preserve">Acta Amazonica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557-566.</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(2016) Standard PM5/8(1) Guidelines on the phytosanitary measure ‘Plants grown under physical isolation’. Available at </w:t>
      </w:r>
      <w:hyperlink r:id="rId48476ad2a64f38fed" w:history="1">
        <w:r>
          <w:rPr>
            <w:rFonts w:ascii="Calibri" w:hAnsi="Calibri" w:eastAsia="Calibri" w:cs="Calibri"/>
            <w:color w:val="0000CC"/>
            <w:sz w:val="22"/>
            <w:szCs w:val="22"/>
            <w:u w:val="single"/>
          </w:rPr>
          <w:t xml:space="preserve">https://gd.eppo.int/standards/PM5/</w:t>
        </w:r>
      </w:hyperlink>
      <w:r>
        <w:rPr>
          <w:rFonts w:ascii="Calibri" w:hAnsi="Calibri" w:eastAsia="Calibri" w:cs="Calibri"/>
          <w:color w:val="000000"/>
          <w:sz w:val="22"/>
          <w:szCs w:val="22"/>
        </w:rPr>
        <w:t xml:space="preserve"> [accessed on 12 May 2026]</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(2023) EPPO Technical Document No. 1089. Pest risk analysis for </w:t>
      </w:r>
      <w:r>
        <w:rPr>
          <w:rFonts w:ascii="Calibri" w:hAnsi="Calibri" w:eastAsia="Calibri" w:cs="Calibri"/>
          <w:i/>
          <w:iCs/>
          <w:color w:val="000000"/>
          <w:sz w:val="22"/>
          <w:szCs w:val="22"/>
        </w:rPr>
        <w:t xml:space="preserve">Tetranychus mexicanus</w:t>
      </w:r>
      <w:r>
        <w:rPr>
          <w:rFonts w:ascii="Calibri" w:hAnsi="Calibri" w:eastAsia="Calibri" w:cs="Calibri"/>
          <w:color w:val="000000"/>
          <w:sz w:val="22"/>
          <w:szCs w:val="22"/>
        </w:rPr>
        <w:t xml:space="preserve">. EPPO, Paris (FR). Available at </w:t>
      </w:r>
      <w:hyperlink r:id="rId51356ad2a64f39051" w:history="1">
        <w:r>
          <w:rPr>
            <w:rFonts w:ascii="Calibri" w:hAnsi="Calibri" w:eastAsia="Calibri" w:cs="Calibri"/>
            <w:color w:val="0000CC"/>
            <w:sz w:val="22"/>
            <w:szCs w:val="22"/>
            <w:u w:val="single"/>
          </w:rPr>
          <w:t xml:space="preserve">https://gd.eppo.int/taxon/TETRME</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Feres RJF, Vieira MR, Daud RD, Pereira EG Jr, Oliveira GF &amp; Dourado CL (2009) Ácaros (Arachnida, Acari) de plantas ornamentais na região noroeste do estado de São Paulo, Brasil: inventário e descrição dos sintomas causados pelos fitófagos. </w:t>
      </w:r>
      <w:r>
        <w:rPr>
          <w:rFonts w:ascii="Calibri" w:hAnsi="Calibri" w:eastAsia="Calibri" w:cs="Calibri"/>
          <w:i/>
          <w:iCs/>
          <w:color w:val="000000"/>
          <w:sz w:val="22"/>
          <w:szCs w:val="22"/>
        </w:rPr>
        <w:t xml:space="preserve">Revista Brasileira de Entomologia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 466-474.</w:t>
      </w:r>
    </w:p>
    <w:p>
      <w:pPr>
        <w:widowControl w:val="on"/>
        <w:pBdr/>
        <w:spacing w:before="220" w:after="220" w:line="240" w:lineRule="auto"/>
        <w:ind w:left="0" w:right="0"/>
        <w:jc w:val="left"/>
      </w:pPr>
      <w:r>
        <w:rPr>
          <w:rFonts w:ascii="Calibri" w:hAnsi="Calibri" w:eastAsia="Calibri" w:cs="Calibri"/>
          <w:color w:val="000000"/>
          <w:sz w:val="22"/>
          <w:szCs w:val="22"/>
        </w:rPr>
        <w:t xml:space="preserve">Flechtmann CH &amp; Baker EW (1975) A report on the Tetranychidae (Acari) of Brazil. </w:t>
      </w:r>
      <w:r>
        <w:rPr>
          <w:rFonts w:ascii="Calibri" w:hAnsi="Calibri" w:eastAsia="Calibri" w:cs="Calibri"/>
          <w:i/>
          <w:iCs/>
          <w:color w:val="000000"/>
          <w:sz w:val="22"/>
          <w:szCs w:val="22"/>
        </w:rPr>
        <w:t xml:space="preserve">Revista Brasileira de Entomologia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(3), 111–112.</w:t>
      </w:r>
    </w:p>
    <w:p>
      <w:pPr>
        <w:widowControl w:val="on"/>
        <w:pBdr/>
        <w:spacing w:before="220" w:after="220" w:line="240" w:lineRule="auto"/>
        <w:ind w:left="0" w:right="0"/>
        <w:jc w:val="left"/>
      </w:pPr>
      <w:r>
        <w:rPr>
          <w:rFonts w:ascii="Calibri" w:hAnsi="Calibri" w:eastAsia="Calibri" w:cs="Calibri"/>
          <w:color w:val="000000"/>
          <w:sz w:val="22"/>
          <w:szCs w:val="22"/>
        </w:rPr>
        <w:t xml:space="preserve">Gutierrez J (1985) Systematics. In </w:t>
      </w:r>
      <w:r>
        <w:rPr>
          <w:rFonts w:ascii="Calibri" w:hAnsi="Calibri" w:eastAsia="Calibri" w:cs="Calibri"/>
          <w:i/>
          <w:iCs/>
          <w:color w:val="000000"/>
          <w:sz w:val="22"/>
          <w:szCs w:val="22"/>
        </w:rPr>
        <w:t xml:space="preserve">Spider mites, their biology, natural enemies and control</w:t>
      </w:r>
      <w:r>
        <w:rPr>
          <w:rFonts w:ascii="Calibri" w:hAnsi="Calibri" w:eastAsia="Calibri" w:cs="Calibri"/>
          <w:color w:val="000000"/>
          <w:sz w:val="22"/>
          <w:szCs w:val="22"/>
        </w:rPr>
        <w:t xml:space="preserve">, Volume 1A (eds Helle W &amp; Sabelis MW), pp. 75-90. Elsevier, Amsterdam (NL).</w:t>
      </w:r>
    </w:p>
    <w:p>
      <w:pPr>
        <w:widowControl w:val="on"/>
        <w:pBdr/>
        <w:spacing w:before="220" w:after="220" w:line="240" w:lineRule="auto"/>
        <w:ind w:left="0" w:right="0"/>
        <w:jc w:val="left"/>
      </w:pPr>
      <w:r>
        <w:rPr>
          <w:rFonts w:ascii="Calibri" w:hAnsi="Calibri" w:eastAsia="Calibri" w:cs="Calibri"/>
          <w:color w:val="000000"/>
          <w:sz w:val="22"/>
          <w:szCs w:val="22"/>
        </w:rPr>
        <w:t xml:space="preserve">Horn TB, Johann L &amp; Ferla NJ (2011) Ecological interactions between phytophagous and predaceous mites in citrus agroecosystems in Taquari Valley, Rio Grande do Sul, Brazil. </w:t>
      </w:r>
      <w:r>
        <w:rPr>
          <w:rFonts w:ascii="Calibri" w:hAnsi="Calibri" w:eastAsia="Calibri" w:cs="Calibri"/>
          <w:i/>
          <w:iCs/>
          <w:color w:val="000000"/>
          <w:sz w:val="22"/>
          <w:szCs w:val="22"/>
        </w:rPr>
        <w:t xml:space="preserve">Systematic and Applied Acarology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133-144.</w:t>
      </w:r>
    </w:p>
    <w:p>
      <w:pPr>
        <w:widowControl w:val="on"/>
        <w:pBdr/>
        <w:spacing w:before="220" w:after="220" w:line="240" w:lineRule="auto"/>
        <w:ind w:left="0" w:right="0"/>
        <w:jc w:val="left"/>
      </w:pPr>
      <w:r>
        <w:rPr>
          <w:rFonts w:ascii="Calibri" w:hAnsi="Calibri" w:eastAsia="Calibri" w:cs="Calibri"/>
          <w:color w:val="000000"/>
          <w:sz w:val="22"/>
          <w:szCs w:val="22"/>
        </w:rPr>
        <w:t xml:space="preserve">Kennedy G &amp; Smitley D (1985) Dispersal. In </w:t>
      </w:r>
      <w:r>
        <w:rPr>
          <w:rFonts w:ascii="Calibri" w:hAnsi="Calibri" w:eastAsia="Calibri" w:cs="Calibri"/>
          <w:i/>
          <w:iCs/>
          <w:color w:val="000000"/>
          <w:sz w:val="22"/>
          <w:szCs w:val="22"/>
        </w:rPr>
        <w:t xml:space="preserve">Spider mites, their biology, natural enemies and control, </w:t>
      </w:r>
      <w:r>
        <w:rPr>
          <w:rFonts w:ascii="Calibri" w:hAnsi="Calibri" w:eastAsia="Calibri" w:cs="Calibri"/>
          <w:color w:val="000000"/>
          <w:sz w:val="22"/>
          <w:szCs w:val="22"/>
        </w:rPr>
        <w:t xml:space="preserve">Volume 1A</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(eds Helle W &amp; Sabelis MW), pp. 233-242. Elsevier, Amsterdam (NL).</w:t>
      </w:r>
    </w:p>
    <w:p>
      <w:pPr>
        <w:widowControl w:val="on"/>
        <w:pBdr/>
        <w:spacing w:before="220" w:after="220" w:line="240" w:lineRule="auto"/>
        <w:ind w:left="0" w:right="0"/>
        <w:jc w:val="left"/>
      </w:pPr>
      <w:r>
        <w:rPr>
          <w:rFonts w:ascii="Calibri" w:hAnsi="Calibri" w:eastAsia="Calibri" w:cs="Calibri"/>
          <w:color w:val="000000"/>
          <w:sz w:val="22"/>
          <w:szCs w:val="22"/>
        </w:rPr>
        <w:t xml:space="preserve">Litskas V, Migeon A, Navajas M, Tixier M-S &amp; Stavrinides MC (2019) Impacts of climate change on tomato, a notorious pest and its natural enemy: small scale agriculture at higher risk. </w:t>
      </w:r>
      <w:r>
        <w:rPr>
          <w:rFonts w:ascii="Calibri" w:hAnsi="Calibri" w:eastAsia="Calibri" w:cs="Calibri"/>
          <w:i/>
          <w:iCs/>
          <w:color w:val="000000"/>
          <w:sz w:val="22"/>
          <w:szCs w:val="22"/>
        </w:rPr>
        <w:t xml:space="preserve">Environmental Research Letters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084041.</w:t>
      </w:r>
    </w:p>
    <w:p>
      <w:pPr>
        <w:widowControl w:val="on"/>
        <w:pBdr/>
        <w:spacing w:before="220" w:after="220" w:line="240" w:lineRule="auto"/>
        <w:ind w:left="0" w:right="0"/>
        <w:jc w:val="left"/>
      </w:pPr>
      <w:r>
        <w:rPr>
          <w:rFonts w:ascii="Calibri" w:hAnsi="Calibri" w:eastAsia="Calibri" w:cs="Calibri"/>
          <w:color w:val="000000"/>
          <w:sz w:val="22"/>
          <w:szCs w:val="22"/>
        </w:rPr>
        <w:t xml:space="preserve">McGregor EA (1950) Mites of the family Tetranychidae. </w:t>
      </w:r>
      <w:r>
        <w:rPr>
          <w:rFonts w:ascii="Calibri" w:hAnsi="Calibri" w:eastAsia="Calibri" w:cs="Calibri"/>
          <w:i/>
          <w:iCs/>
          <w:color w:val="000000"/>
          <w:sz w:val="22"/>
          <w:szCs w:val="22"/>
        </w:rPr>
        <w:t xml:space="preserve">American Midland Naturalist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257-420.</w:t>
      </w:r>
    </w:p>
    <w:p>
      <w:pPr>
        <w:widowControl w:val="on"/>
        <w:pBdr/>
        <w:spacing w:before="220" w:after="220" w:line="240" w:lineRule="auto"/>
        <w:ind w:left="0" w:right="0"/>
        <w:jc w:val="left"/>
      </w:pPr>
      <w:r>
        <w:rPr>
          <w:rFonts w:ascii="Calibri" w:hAnsi="Calibri" w:eastAsia="Calibri" w:cs="Calibri"/>
          <w:color w:val="000000"/>
          <w:sz w:val="22"/>
          <w:szCs w:val="22"/>
        </w:rPr>
        <w:t xml:space="preserve">McMurtry JA, Moraes GJ &amp; Sourassou NF (2013) Revision of the lifestyles of phytoseiid mites (Acari: Phytoseiidae) and implications for biological control strategies. </w:t>
      </w:r>
      <w:r>
        <w:rPr>
          <w:rFonts w:ascii="Calibri" w:hAnsi="Calibri" w:eastAsia="Calibri" w:cs="Calibri"/>
          <w:i/>
          <w:iCs/>
          <w:color w:val="000000"/>
          <w:sz w:val="22"/>
          <w:szCs w:val="22"/>
        </w:rPr>
        <w:t xml:space="preserve">Systematic and Applied Acarology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(4), 297-320.</w:t>
      </w:r>
    </w:p>
    <w:p>
      <w:pPr>
        <w:widowControl w:val="on"/>
        <w:pBdr/>
        <w:spacing w:before="220" w:after="220" w:line="240" w:lineRule="auto"/>
        <w:ind w:left="0" w:right="0"/>
        <w:jc w:val="left"/>
      </w:pPr>
      <w:r>
        <w:rPr>
          <w:rFonts w:ascii="Calibri" w:hAnsi="Calibri" w:eastAsia="Calibri" w:cs="Calibri"/>
          <w:color w:val="000000"/>
          <w:sz w:val="22"/>
          <w:szCs w:val="22"/>
        </w:rPr>
        <w:t xml:space="preserve">Migeon A &amp; Dorkeld F (2026) Spider Mites Web: a comprehensive database for the Tetranychidae. </w:t>
      </w:r>
      <w:hyperlink r:id="rId12626ad2a64f3936e" w:history="1">
        <w:r>
          <w:rPr>
            <w:rFonts w:ascii="Calibri" w:hAnsi="Calibri" w:eastAsia="Calibri" w:cs="Calibri"/>
            <w:color w:val="0000CC"/>
            <w:sz w:val="22"/>
            <w:szCs w:val="22"/>
            <w:u w:val="single"/>
          </w:rPr>
          <w:t xml:space="preserve">https://www1.montpellier.inrae.fr/CBGP/spmweb</w:t>
        </w:r>
      </w:hyperlink>
      <w:r>
        <w:rPr>
          <w:rFonts w:ascii="Calibri" w:hAnsi="Calibri" w:eastAsia="Calibri" w:cs="Calibri"/>
          <w:color w:val="000000"/>
          <w:sz w:val="22"/>
          <w:szCs w:val="22"/>
        </w:rPr>
        <w:t xml:space="preserve"> [accessed on 6 April 2026].</w:t>
      </w:r>
    </w:p>
    <w:p>
      <w:pPr>
        <w:widowControl w:val="on"/>
        <w:pBdr/>
        <w:spacing w:before="220" w:after="220" w:line="240" w:lineRule="auto"/>
        <w:ind w:left="0" w:right="0"/>
        <w:jc w:val="left"/>
      </w:pPr>
      <w:r>
        <w:rPr>
          <w:rFonts w:ascii="Calibri" w:hAnsi="Calibri" w:eastAsia="Calibri" w:cs="Calibri"/>
          <w:color w:val="000000"/>
          <w:sz w:val="22"/>
          <w:szCs w:val="22"/>
        </w:rPr>
        <w:t xml:space="preserve">Moraes GJ &amp; Flechtmann CHW (2008) </w:t>
      </w:r>
      <w:r>
        <w:rPr>
          <w:rFonts w:ascii="Calibri" w:hAnsi="Calibri" w:eastAsia="Calibri" w:cs="Calibri"/>
          <w:i/>
          <w:iCs/>
          <w:color w:val="000000"/>
          <w:sz w:val="22"/>
          <w:szCs w:val="22"/>
        </w:rPr>
        <w:t xml:space="preserve">Manual de acarologia: acarologia básica e ácaros de plantas cultivadas no Brasil</w:t>
      </w:r>
      <w:r>
        <w:rPr>
          <w:rFonts w:ascii="Calibri" w:hAnsi="Calibri" w:eastAsia="Calibri" w:cs="Calibri"/>
          <w:color w:val="000000"/>
          <w:sz w:val="22"/>
          <w:szCs w:val="22"/>
        </w:rPr>
        <w:t xml:space="preserve">. Holos, Ribeirão Preto (BR).</w:t>
      </w:r>
    </w:p>
    <w:p>
      <w:pPr>
        <w:widowControl w:val="on"/>
        <w:pBdr/>
        <w:spacing w:before="220" w:after="220" w:line="240" w:lineRule="auto"/>
        <w:ind w:left="0" w:right="0"/>
        <w:jc w:val="left"/>
      </w:pPr>
      <w:r>
        <w:rPr>
          <w:rFonts w:ascii="Calibri" w:hAnsi="Calibri" w:eastAsia="Calibri" w:cs="Calibri"/>
          <w:color w:val="000000"/>
          <w:sz w:val="22"/>
          <w:szCs w:val="22"/>
        </w:rPr>
        <w:t xml:space="preserve">Moraes GJ, Flechtmann CHW &amp; Castilho RC (2024) </w:t>
      </w:r>
      <w:r>
        <w:rPr>
          <w:rFonts w:ascii="Calibri" w:hAnsi="Calibri" w:eastAsia="Calibri" w:cs="Calibri"/>
          <w:i/>
          <w:iCs/>
          <w:color w:val="000000"/>
          <w:sz w:val="22"/>
          <w:szCs w:val="22"/>
        </w:rPr>
        <w:t xml:space="preserve">Manual de acarologia: acarologia básica e ácaros de plantas cultivadas no Brasil</w:t>
      </w:r>
      <w:r>
        <w:rPr>
          <w:rFonts w:ascii="Calibri" w:hAnsi="Calibri" w:eastAsia="Calibri" w:cs="Calibri"/>
          <w:color w:val="000000"/>
          <w:sz w:val="22"/>
          <w:szCs w:val="22"/>
        </w:rPr>
        <w:t xml:space="preserve">. FEALQ, Piracicaba (BR).</w:t>
      </w:r>
    </w:p>
    <w:p>
      <w:pPr>
        <w:widowControl w:val="on"/>
        <w:pBdr/>
        <w:spacing w:before="220" w:after="220" w:line="240" w:lineRule="auto"/>
        <w:ind w:left="0" w:right="0"/>
        <w:jc w:val="left"/>
      </w:pPr>
      <w:r>
        <w:rPr>
          <w:rFonts w:ascii="Calibri" w:hAnsi="Calibri" w:eastAsia="Calibri" w:cs="Calibri"/>
          <w:color w:val="000000"/>
          <w:sz w:val="22"/>
          <w:szCs w:val="22"/>
        </w:rPr>
        <w:t xml:space="preserve">NVWA (2019) Update: eradication confirmed of the first outbreak (October 2018) of </w:t>
      </w:r>
      <w:r>
        <w:rPr>
          <w:rFonts w:ascii="Calibri" w:hAnsi="Calibri" w:eastAsia="Calibri" w:cs="Calibri"/>
          <w:i/>
          <w:iCs/>
          <w:color w:val="000000"/>
          <w:sz w:val="22"/>
          <w:szCs w:val="22"/>
        </w:rPr>
        <w:t xml:space="preserve">Tetranychus mexicanus</w:t>
      </w:r>
      <w:r>
        <w:rPr>
          <w:rFonts w:ascii="Calibri" w:hAnsi="Calibri" w:eastAsia="Calibri" w:cs="Calibri"/>
          <w:color w:val="000000"/>
          <w:sz w:val="22"/>
          <w:szCs w:val="22"/>
        </w:rPr>
        <w:t xml:space="preserve"> (spider mite) on ornamental plants of </w:t>
      </w:r>
      <w:r>
        <w:rPr>
          <w:rFonts w:ascii="Calibri" w:hAnsi="Calibri" w:eastAsia="Calibri" w:cs="Calibri"/>
          <w:i/>
          <w:iCs/>
          <w:color w:val="000000"/>
          <w:sz w:val="22"/>
          <w:szCs w:val="22"/>
        </w:rPr>
        <w:t xml:space="preserve">Beaucarnea recurvata</w:t>
      </w:r>
      <w:r>
        <w:rPr>
          <w:rFonts w:ascii="Calibri" w:hAnsi="Calibri" w:eastAsia="Calibri" w:cs="Calibri"/>
          <w:color w:val="000000"/>
          <w:sz w:val="22"/>
          <w:szCs w:val="22"/>
        </w:rPr>
        <w:t xml:space="preserve"> in a professional greenhouse (Municipality Drimmelen). October 2019 Pest Report – The Netherlands. 5 pp. Available at </w:t>
      </w:r>
      <w:hyperlink r:id="rId44716ad2a64f39471" w:history="1">
        <w:r>
          <w:rPr>
            <w:rFonts w:ascii="Calibri" w:hAnsi="Calibri" w:eastAsia="Calibri" w:cs="Calibri"/>
            <w:color w:val="0000CC"/>
            <w:sz w:val="22"/>
            <w:szCs w:val="22"/>
            <w:u w:val="single"/>
          </w:rPr>
          <w:t xml:space="preserve">https://english.nvwa.nl/</w:t>
        </w:r>
      </w:hyperlink>
      <w:r>
        <w:rPr>
          <w:rFonts w:ascii="Calibri" w:hAnsi="Calibri" w:eastAsia="Calibri" w:cs="Calibri"/>
          <w:color w:val="000000"/>
          <w:sz w:val="22"/>
          <w:szCs w:val="22"/>
        </w:rPr>
        <w:t xml:space="preserve"> [accessed 12 May 2026]</w:t>
      </w:r>
    </w:p>
    <w:p>
      <w:pPr>
        <w:widowControl w:val="on"/>
        <w:pBdr/>
        <w:spacing w:before="220" w:after="220" w:line="240" w:lineRule="auto"/>
        <w:ind w:left="0" w:right="0"/>
        <w:jc w:val="left"/>
      </w:pPr>
      <w:r>
        <w:rPr>
          <w:rFonts w:ascii="Calibri" w:hAnsi="Calibri" w:eastAsia="Calibri" w:cs="Calibri"/>
          <w:color w:val="000000"/>
          <w:sz w:val="22"/>
          <w:szCs w:val="22"/>
        </w:rPr>
        <w:t xml:space="preserve">Ochoa R, Aguilar H &amp; Vargas C (1994) </w:t>
      </w:r>
      <w:r>
        <w:rPr>
          <w:rFonts w:ascii="Calibri" w:hAnsi="Calibri" w:eastAsia="Calibri" w:cs="Calibri"/>
          <w:i/>
          <w:iCs/>
          <w:color w:val="000000"/>
          <w:sz w:val="22"/>
          <w:szCs w:val="22"/>
        </w:rPr>
        <w:t xml:space="preserve">Phytophagous mites of Central America: an illustrated guide</w:t>
      </w:r>
      <w:r>
        <w:rPr>
          <w:rFonts w:ascii="Calibri" w:hAnsi="Calibri" w:eastAsia="Calibri" w:cs="Calibri"/>
          <w:color w:val="000000"/>
          <w:sz w:val="22"/>
          <w:szCs w:val="22"/>
        </w:rPr>
        <w:t xml:space="preserve">. CATIE, Turrialba (CR).</w:t>
      </w:r>
    </w:p>
    <w:p>
      <w:pPr>
        <w:widowControl w:val="on"/>
        <w:pBdr/>
        <w:spacing w:before="220" w:after="220" w:line="240" w:lineRule="auto"/>
        <w:ind w:left="0" w:right="0"/>
        <w:jc w:val="left"/>
      </w:pPr>
      <w:r>
        <w:rPr>
          <w:rFonts w:ascii="Calibri" w:hAnsi="Calibri" w:eastAsia="Calibri" w:cs="Calibri"/>
          <w:color w:val="000000"/>
          <w:sz w:val="22"/>
          <w:szCs w:val="22"/>
        </w:rPr>
        <w:t xml:space="preserve">Paschoal A (1968) Sobre a biologia do ácaro </w:t>
      </w:r>
      <w:r>
        <w:rPr>
          <w:rFonts w:ascii="Calibri" w:hAnsi="Calibri" w:eastAsia="Calibri" w:cs="Calibri"/>
          <w:i/>
          <w:iCs/>
          <w:color w:val="000000"/>
          <w:sz w:val="22"/>
          <w:szCs w:val="22"/>
        </w:rPr>
        <w:t xml:space="preserve">Tetranychus mexicanus</w:t>
      </w:r>
      <w:r>
        <w:rPr>
          <w:rFonts w:ascii="Calibri" w:hAnsi="Calibri" w:eastAsia="Calibri" w:cs="Calibri"/>
          <w:color w:val="000000"/>
          <w:sz w:val="22"/>
          <w:szCs w:val="22"/>
        </w:rPr>
        <w:t xml:space="preserve"> (Acarina Tetranychidae) – notas prévias. </w:t>
      </w:r>
      <w:r>
        <w:rPr>
          <w:rFonts w:ascii="Calibri" w:hAnsi="Calibri" w:eastAsia="Calibri" w:cs="Calibri"/>
          <w:i/>
          <w:iCs/>
          <w:color w:val="000000"/>
          <w:sz w:val="22"/>
          <w:szCs w:val="22"/>
        </w:rPr>
        <w:t xml:space="preserve">Solo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67-70.</w:t>
      </w:r>
    </w:p>
    <w:p>
      <w:pPr>
        <w:widowControl w:val="on"/>
        <w:pBdr/>
        <w:spacing w:before="220" w:after="220" w:line="240" w:lineRule="auto"/>
        <w:ind w:left="0" w:right="0"/>
        <w:jc w:val="left"/>
      </w:pPr>
      <w:r>
        <w:rPr>
          <w:rFonts w:ascii="Calibri" w:hAnsi="Calibri" w:eastAsia="Calibri" w:cs="Calibri"/>
          <w:color w:val="000000"/>
          <w:sz w:val="22"/>
          <w:szCs w:val="22"/>
        </w:rPr>
        <w:t xml:space="preserve">Pritchard A &amp; Baker E (1955) </w:t>
      </w:r>
      <w:r>
        <w:rPr>
          <w:rFonts w:ascii="Calibri" w:hAnsi="Calibri" w:eastAsia="Calibri" w:cs="Calibri"/>
          <w:i/>
          <w:iCs/>
          <w:color w:val="000000"/>
          <w:sz w:val="22"/>
          <w:szCs w:val="22"/>
        </w:rPr>
        <w:t xml:space="preserve">A revision of the spider mite family Tetranychidae</w:t>
      </w:r>
      <w:r>
        <w:rPr>
          <w:rFonts w:ascii="Calibri" w:hAnsi="Calibri" w:eastAsia="Calibri" w:cs="Calibri"/>
          <w:color w:val="000000"/>
          <w:sz w:val="22"/>
          <w:szCs w:val="22"/>
        </w:rPr>
        <w:t xml:space="preserve">. Memoirs Series. Pacific Coast Entomological Society, San Francisco (US).</w:t>
      </w:r>
    </w:p>
    <w:p>
      <w:pPr>
        <w:widowControl w:val="on"/>
        <w:pBdr/>
        <w:spacing w:before="220" w:after="220" w:line="240" w:lineRule="auto"/>
        <w:ind w:left="0" w:right="0"/>
        <w:jc w:val="left"/>
      </w:pPr>
      <w:r>
        <w:rPr>
          <w:rFonts w:ascii="Calibri" w:hAnsi="Calibri" w:eastAsia="Calibri" w:cs="Calibri"/>
          <w:color w:val="000000"/>
          <w:sz w:val="22"/>
          <w:szCs w:val="22"/>
        </w:rPr>
        <w:t xml:space="preserve">Santos RS, Ferla NJ, Ferla JJ &amp; Silva W (2018) Registro de </w:t>
      </w:r>
      <w:r>
        <w:rPr>
          <w:rFonts w:ascii="Calibri" w:hAnsi="Calibri" w:eastAsia="Calibri" w:cs="Calibri"/>
          <w:i/>
          <w:iCs/>
          <w:color w:val="000000"/>
          <w:sz w:val="22"/>
          <w:szCs w:val="22"/>
        </w:rPr>
        <w:t xml:space="preserve">Tetranychus mexicanus</w:t>
      </w:r>
      <w:r>
        <w:rPr>
          <w:rFonts w:ascii="Calibri" w:hAnsi="Calibri" w:eastAsia="Calibri" w:cs="Calibri"/>
          <w:color w:val="000000"/>
          <w:sz w:val="22"/>
          <w:szCs w:val="22"/>
        </w:rPr>
        <w:t xml:space="preserve"> (McGregor) (Acari: Tetranychidae) em mamoeiro (</w:t>
      </w:r>
      <w:r>
        <w:rPr>
          <w:rFonts w:ascii="Calibri" w:hAnsi="Calibri" w:eastAsia="Calibri" w:cs="Calibri"/>
          <w:i/>
          <w:iCs/>
          <w:color w:val="000000"/>
          <w:sz w:val="22"/>
          <w:szCs w:val="22"/>
        </w:rPr>
        <w:t xml:space="preserve">Carica papaya</w:t>
      </w:r>
      <w:r>
        <w:rPr>
          <w:rFonts w:ascii="Calibri" w:hAnsi="Calibri" w:eastAsia="Calibri" w:cs="Calibri"/>
          <w:color w:val="000000"/>
          <w:sz w:val="22"/>
          <w:szCs w:val="22"/>
        </w:rPr>
        <w:t xml:space="preserve"> L.) no estado do Acre, Brasil. </w:t>
      </w:r>
      <w:r>
        <w:rPr>
          <w:rFonts w:ascii="Calibri" w:hAnsi="Calibri" w:eastAsia="Calibri" w:cs="Calibri"/>
          <w:i/>
          <w:iCs/>
          <w:color w:val="000000"/>
          <w:sz w:val="22"/>
          <w:szCs w:val="22"/>
        </w:rPr>
        <w:t xml:space="preserve">EntomoBrasilis</w:t>
      </w:r>
      <w:r>
        <w:rPr>
          <w:rFonts w:ascii="Calibri" w:hAnsi="Calibri" w:eastAsia="Calibri" w:cs="Calibri"/>
          <w:color w:val="000000"/>
          <w:sz w:val="22"/>
          <w:szCs w:val="22"/>
        </w:rPr>
        <w:t xml:space="preserve"> 11, 147-150.</w:t>
      </w:r>
    </w:p>
    <w:p>
      <w:pPr>
        <w:widowControl w:val="on"/>
        <w:pBdr/>
        <w:spacing w:before="220" w:after="220" w:line="240" w:lineRule="auto"/>
        <w:ind w:left="0" w:right="0"/>
        <w:jc w:val="left"/>
      </w:pPr>
      <w:r>
        <w:rPr>
          <w:rFonts w:ascii="Calibri" w:hAnsi="Calibri" w:eastAsia="Calibri" w:cs="Calibri"/>
          <w:color w:val="000000"/>
          <w:sz w:val="22"/>
          <w:szCs w:val="22"/>
        </w:rPr>
        <w:t xml:space="preserve">Seeman OD &amp; Beard JJ (2011) Identification of exotic pest and Australian native and naturalised species of </w:t>
      </w:r>
      <w:r>
        <w:rPr>
          <w:rFonts w:ascii="Calibri" w:hAnsi="Calibri" w:eastAsia="Calibri" w:cs="Calibri"/>
          <w:i/>
          <w:iCs/>
          <w:color w:val="000000"/>
          <w:sz w:val="22"/>
          <w:szCs w:val="22"/>
        </w:rPr>
        <w:t xml:space="preserve">Tetranychus</w:t>
      </w:r>
      <w:r>
        <w:rPr>
          <w:rFonts w:ascii="Calibri" w:hAnsi="Calibri" w:eastAsia="Calibri" w:cs="Calibri"/>
          <w:color w:val="000000"/>
          <w:sz w:val="22"/>
          <w:szCs w:val="22"/>
        </w:rPr>
        <w:t xml:space="preserve"> (Acari: Tetranychidae). </w:t>
      </w:r>
      <w:r>
        <w:rPr>
          <w:rFonts w:ascii="Calibri" w:hAnsi="Calibri" w:eastAsia="Calibri" w:cs="Calibri"/>
          <w:i/>
          <w:iCs/>
          <w:color w:val="000000"/>
          <w:sz w:val="22"/>
          <w:szCs w:val="22"/>
        </w:rPr>
        <w:t xml:space="preserve">Zootaxa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2961</w:t>
      </w:r>
      <w:r>
        <w:rPr>
          <w:rFonts w:ascii="Calibri" w:hAnsi="Calibri" w:eastAsia="Calibri" w:cs="Calibri"/>
          <w:color w:val="000000"/>
          <w:sz w:val="22"/>
          <w:szCs w:val="22"/>
        </w:rPr>
        <w:t xml:space="preserve">, 1-72.</w:t>
      </w:r>
    </w:p>
    <w:p>
      <w:pPr>
        <w:widowControl w:val="on"/>
        <w:pBdr/>
        <w:spacing w:before="220" w:after="220" w:line="240" w:lineRule="auto"/>
        <w:ind w:left="0" w:right="0"/>
        <w:jc w:val="left"/>
      </w:pPr>
      <w:r>
        <w:rPr>
          <w:rFonts w:ascii="Calibri" w:hAnsi="Calibri" w:eastAsia="Calibri" w:cs="Calibri"/>
          <w:color w:val="000000"/>
          <w:sz w:val="22"/>
          <w:szCs w:val="22"/>
        </w:rPr>
        <w:t xml:space="preserve">Silva RR, Teodoro AV, Martins CR, Carvalho HWL, Silva SS, Farias AP &amp; Guzzo EC (2017) Seasonal variation of pest mite populations in relation to citrus scion cultivars in northeastern Brazil. </w:t>
      </w:r>
      <w:r>
        <w:rPr>
          <w:rFonts w:ascii="Calibri" w:hAnsi="Calibri" w:eastAsia="Calibri" w:cs="Calibri"/>
          <w:i/>
          <w:iCs/>
          <w:color w:val="000000"/>
          <w:sz w:val="22"/>
          <w:szCs w:val="22"/>
        </w:rPr>
        <w:t xml:space="preserve">Acta Agronomica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 290-295.</w:t>
      </w:r>
    </w:p>
    <w:p>
      <w:pPr>
        <w:widowControl w:val="on"/>
        <w:pBdr/>
        <w:spacing w:before="220" w:after="220" w:line="240" w:lineRule="auto"/>
        <w:ind w:left="0" w:right="0"/>
        <w:jc w:val="left"/>
      </w:pPr>
      <w:r>
        <w:rPr>
          <w:rFonts w:ascii="Calibri" w:hAnsi="Calibri" w:eastAsia="Calibri" w:cs="Calibri"/>
          <w:color w:val="000000"/>
          <w:sz w:val="22"/>
          <w:szCs w:val="22"/>
        </w:rPr>
        <w:t xml:space="preserve">Silva EM, Toscano LC, Steiner F &amp; Maruyama WI (2019) </w:t>
      </w:r>
      <w:r>
        <w:rPr>
          <w:rFonts w:ascii="Calibri" w:hAnsi="Calibri" w:eastAsia="Calibri" w:cs="Calibri"/>
          <w:i/>
          <w:iCs/>
          <w:color w:val="000000"/>
          <w:sz w:val="22"/>
          <w:szCs w:val="22"/>
        </w:rPr>
        <w:t xml:space="preserve">Tetranychus mexicanus</w:t>
      </w:r>
      <w:r>
        <w:rPr>
          <w:rFonts w:ascii="Calibri" w:hAnsi="Calibri" w:eastAsia="Calibri" w:cs="Calibri"/>
          <w:color w:val="000000"/>
          <w:sz w:val="22"/>
          <w:szCs w:val="22"/>
        </w:rPr>
        <w:t xml:space="preserve"> (Acari: Tetranychidae) in soursop seedlings in the State of Mato Grosso do Sul, Brazil. </w:t>
      </w:r>
      <w:r>
        <w:rPr>
          <w:rFonts w:ascii="Calibri" w:hAnsi="Calibri" w:eastAsia="Calibri" w:cs="Calibri"/>
          <w:i/>
          <w:iCs/>
          <w:color w:val="000000"/>
          <w:sz w:val="22"/>
          <w:szCs w:val="22"/>
        </w:rPr>
        <w:t xml:space="preserve">Revista de Agricultura Neotropical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75-78.</w:t>
      </w:r>
    </w:p>
    <w:p>
      <w:pPr>
        <w:widowControl w:val="on"/>
        <w:pBdr/>
        <w:spacing w:before="220" w:after="220" w:line="240" w:lineRule="auto"/>
        <w:ind w:left="0" w:right="0"/>
        <w:jc w:val="left"/>
      </w:pPr>
      <w:r>
        <w:rPr>
          <w:rFonts w:ascii="Calibri" w:hAnsi="Calibri" w:eastAsia="Calibri" w:cs="Calibri"/>
          <w:color w:val="000000"/>
          <w:sz w:val="22"/>
          <w:szCs w:val="22"/>
        </w:rPr>
        <w:t xml:space="preserve">Silva PR, Santos CEM, Silva RS, Silva EM, Lopes MC, Silva Paes J &amp; Picanço MC (2020) Assessing the resistance of passion fruit genotypes as control method to </w:t>
      </w:r>
      <w:r>
        <w:rPr>
          <w:rFonts w:ascii="Calibri" w:hAnsi="Calibri" w:eastAsia="Calibri" w:cs="Calibri"/>
          <w:i/>
          <w:iCs/>
          <w:color w:val="000000"/>
          <w:sz w:val="22"/>
          <w:szCs w:val="22"/>
        </w:rPr>
        <w:t xml:space="preserve">Tetranychus mexicanus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128</w:t>
      </w:r>
      <w:r>
        <w:rPr>
          <w:rFonts w:ascii="Calibri" w:hAnsi="Calibri" w:eastAsia="Calibri" w:cs="Calibri"/>
          <w:color w:val="000000"/>
          <w:sz w:val="22"/>
          <w:szCs w:val="22"/>
        </w:rPr>
        <w:t xml:space="preserve">, 105019.</w:t>
      </w:r>
    </w:p>
    <w:p>
      <w:pPr>
        <w:widowControl w:val="on"/>
        <w:pBdr/>
        <w:spacing w:before="220" w:after="220" w:line="240" w:lineRule="auto"/>
        <w:ind w:left="0" w:right="0"/>
        <w:jc w:val="left"/>
      </w:pPr>
      <w:r>
        <w:rPr>
          <w:rFonts w:ascii="Calibri" w:hAnsi="Calibri" w:eastAsia="Calibri" w:cs="Calibri"/>
          <w:color w:val="000000"/>
          <w:sz w:val="22"/>
          <w:szCs w:val="22"/>
        </w:rPr>
        <w:t xml:space="preserve">Sodré G (ed.) (2017) </w:t>
      </w:r>
      <w:r>
        <w:rPr>
          <w:rFonts w:ascii="Calibri" w:hAnsi="Calibri" w:eastAsia="Calibri" w:cs="Calibri"/>
          <w:i/>
          <w:iCs/>
          <w:color w:val="000000"/>
          <w:sz w:val="22"/>
          <w:szCs w:val="22"/>
        </w:rPr>
        <w:t xml:space="preserve">Cultivo do cacaueiro no estado da Bahia</w:t>
      </w:r>
      <w:r>
        <w:rPr>
          <w:rFonts w:ascii="Calibri" w:hAnsi="Calibri" w:eastAsia="Calibri" w:cs="Calibri"/>
          <w:color w:val="000000"/>
          <w:sz w:val="22"/>
          <w:szCs w:val="22"/>
        </w:rPr>
        <w:t xml:space="preserve">. MAPA/Ceplac/Cepec, Ilhéus (BR).</w:t>
      </w:r>
    </w:p>
    <w:p>
      <w:pPr>
        <w:widowControl w:val="on"/>
        <w:pBdr/>
        <w:spacing w:before="220" w:after="220" w:line="240" w:lineRule="auto"/>
        <w:ind w:left="0" w:right="0"/>
        <w:jc w:val="left"/>
      </w:pPr>
      <w:r>
        <w:rPr>
          <w:rFonts w:ascii="Calibri" w:hAnsi="Calibri" w:eastAsia="Calibri" w:cs="Calibri"/>
          <w:color w:val="000000"/>
          <w:sz w:val="22"/>
          <w:szCs w:val="22"/>
        </w:rPr>
        <w:t xml:space="preserve">Sousa J, Gondim Jr M &amp; Lofego A (2010) Biologia de </w:t>
      </w:r>
      <w:r>
        <w:rPr>
          <w:rFonts w:ascii="Calibri" w:hAnsi="Calibri" w:eastAsia="Calibri" w:cs="Calibri"/>
          <w:i/>
          <w:iCs/>
          <w:color w:val="000000"/>
          <w:sz w:val="22"/>
          <w:szCs w:val="22"/>
        </w:rPr>
        <w:t xml:space="preserve">Tetranychus mexicanus</w:t>
      </w:r>
      <w:r>
        <w:rPr>
          <w:rFonts w:ascii="Calibri" w:hAnsi="Calibri" w:eastAsia="Calibri" w:cs="Calibri"/>
          <w:color w:val="000000"/>
          <w:sz w:val="22"/>
          <w:szCs w:val="22"/>
        </w:rPr>
        <w:t xml:space="preserve"> (McGregor) (Acari: Tetranychidae) em três espécies de Annonaceae. </w:t>
      </w:r>
      <w:r>
        <w:rPr>
          <w:rFonts w:ascii="Calibri" w:hAnsi="Calibri" w:eastAsia="Calibri" w:cs="Calibri"/>
          <w:i/>
          <w:iCs/>
          <w:color w:val="000000"/>
          <w:sz w:val="22"/>
          <w:szCs w:val="22"/>
        </w:rPr>
        <w:t xml:space="preserve">Neotropical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319-323.</w:t>
      </w:r>
    </w:p>
    <w:p>
      <w:pPr>
        <w:widowControl w:val="on"/>
        <w:pBdr/>
        <w:spacing w:before="220" w:after="220" w:line="240" w:lineRule="auto"/>
        <w:ind w:left="0" w:right="0"/>
        <w:jc w:val="left"/>
      </w:pPr>
      <w:r>
        <w:rPr>
          <w:rFonts w:ascii="Calibri" w:hAnsi="Calibri" w:eastAsia="Calibri" w:cs="Calibri"/>
          <w:color w:val="000000"/>
          <w:sz w:val="22"/>
          <w:szCs w:val="22"/>
        </w:rPr>
        <w:t xml:space="preserve">Stein CP &amp; Daólio N (2012) Biologia de </w:t>
      </w:r>
      <w:r>
        <w:rPr>
          <w:rFonts w:ascii="Calibri" w:hAnsi="Calibri" w:eastAsia="Calibri" w:cs="Calibri"/>
          <w:i/>
          <w:iCs/>
          <w:color w:val="000000"/>
          <w:sz w:val="22"/>
          <w:szCs w:val="22"/>
        </w:rPr>
        <w:t xml:space="preserve">Tetranychus mexicanus</w:t>
      </w:r>
      <w:r>
        <w:rPr>
          <w:rFonts w:ascii="Calibri" w:hAnsi="Calibri" w:eastAsia="Calibri" w:cs="Calibri"/>
          <w:color w:val="000000"/>
          <w:sz w:val="22"/>
          <w:szCs w:val="22"/>
        </w:rPr>
        <w:t xml:space="preserve"> (McGregor) (Acari: Tetranychidae) em folhas de pupunha (</w:t>
      </w:r>
      <w:r>
        <w:rPr>
          <w:rFonts w:ascii="Calibri" w:hAnsi="Calibri" w:eastAsia="Calibri" w:cs="Calibri"/>
          <w:i/>
          <w:iCs/>
          <w:color w:val="000000"/>
          <w:sz w:val="22"/>
          <w:szCs w:val="22"/>
        </w:rPr>
        <w:t xml:space="preserve">Bactris gasipaes</w:t>
      </w:r>
      <w:r>
        <w:rPr>
          <w:rFonts w:ascii="Calibri" w:hAnsi="Calibri" w:eastAsia="Calibri" w:cs="Calibri"/>
          <w:color w:val="000000"/>
          <w:sz w:val="22"/>
          <w:szCs w:val="22"/>
        </w:rPr>
        <w:t xml:space="preserve"> Kunth). </w:t>
      </w:r>
      <w:r>
        <w:rPr>
          <w:rFonts w:ascii="Calibri" w:hAnsi="Calibri" w:eastAsia="Calibri" w:cs="Calibri"/>
          <w:i/>
          <w:iCs/>
          <w:color w:val="000000"/>
          <w:sz w:val="22"/>
          <w:szCs w:val="22"/>
        </w:rPr>
        <w:t xml:space="preserve">Bioikos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23-28.</w:t>
      </w:r>
    </w:p>
    <w:p>
      <w:pPr>
        <w:widowControl w:val="on"/>
        <w:pBdr/>
        <w:spacing w:before="220" w:after="220" w:line="240" w:lineRule="auto"/>
        <w:ind w:left="0" w:right="0"/>
        <w:jc w:val="left"/>
      </w:pPr>
      <w:r>
        <w:rPr>
          <w:rFonts w:ascii="Calibri" w:hAnsi="Calibri" w:eastAsia="Calibri" w:cs="Calibri"/>
          <w:color w:val="000000"/>
          <w:sz w:val="22"/>
          <w:szCs w:val="22"/>
        </w:rPr>
        <w:t xml:space="preserve">Teodoro AV, Ferreira JMS, Navia D &amp; Silva SS (2015) </w:t>
      </w:r>
      <w:r>
        <w:rPr>
          <w:rFonts w:ascii="Calibri" w:hAnsi="Calibri" w:eastAsia="Calibri" w:cs="Calibri"/>
          <w:i/>
          <w:iCs/>
          <w:color w:val="000000"/>
          <w:sz w:val="22"/>
          <w:szCs w:val="22"/>
        </w:rPr>
        <w:t xml:space="preserve">Bioecologia e manejo dos principais ácaros-praga do coqueiro no Brasil</w:t>
      </w:r>
      <w:r>
        <w:rPr>
          <w:rFonts w:ascii="Calibri" w:hAnsi="Calibri" w:eastAsia="Calibri" w:cs="Calibri"/>
          <w:color w:val="000000"/>
          <w:sz w:val="22"/>
          <w:szCs w:val="22"/>
        </w:rPr>
        <w:t xml:space="preserve">. Comunicado Técnico 169. Embrapa, Aracaju (BR). </w:t>
      </w:r>
      <w:hyperlink r:id="rId62066ad2a64f39989" w:history="1">
        <w:r>
          <w:rPr>
            <w:rFonts w:ascii="Calibri" w:hAnsi="Calibri" w:eastAsia="Calibri" w:cs="Calibri"/>
            <w:color w:val="0000CC"/>
            <w:sz w:val="22"/>
            <w:szCs w:val="22"/>
            <w:u w:val="single"/>
          </w:rPr>
          <w:t xml:space="preserve">https://www.infoteca.cnptia.embrapa.br/handle/doc/1042136</w:t>
        </w:r>
      </w:hyperlink>
      <w:r>
        <w:rPr>
          <w:rFonts w:ascii="Calibri" w:hAnsi="Calibri" w:eastAsia="Calibri" w:cs="Calibri"/>
          <w:color w:val="000000"/>
          <w:sz w:val="22"/>
          <w:szCs w:val="22"/>
        </w:rPr>
        <w:t xml:space="preserve"> [accessed on 6 April 2026].</w:t>
      </w:r>
    </w:p>
    <w:p>
      <w:pPr>
        <w:widowControl w:val="on"/>
        <w:pBdr/>
        <w:spacing w:before="220" w:after="220" w:line="240" w:lineRule="auto"/>
        <w:ind w:left="0" w:right="0"/>
        <w:jc w:val="left"/>
      </w:pPr>
      <w:r>
        <w:rPr>
          <w:rFonts w:ascii="Calibri" w:hAnsi="Calibri" w:eastAsia="Calibri" w:cs="Calibri"/>
          <w:color w:val="000000"/>
          <w:sz w:val="22"/>
          <w:szCs w:val="22"/>
        </w:rPr>
        <w:t xml:space="preserve">Van Leeuwen T, Vontas J, Tsagkarakou A, Dermauw W &amp; Tirry L (2010) Acaricide resistance mechanisms in the two-spotted spider mite </w:t>
      </w:r>
      <w:r>
        <w:rPr>
          <w:rFonts w:ascii="Calibri" w:hAnsi="Calibri" w:eastAsia="Calibri" w:cs="Calibri"/>
          <w:i/>
          <w:iCs/>
          <w:color w:val="000000"/>
          <w:sz w:val="22"/>
          <w:szCs w:val="22"/>
        </w:rPr>
        <w:t xml:space="preserve">Tetranychus urticae</w:t>
      </w:r>
      <w:r>
        <w:rPr>
          <w:rFonts w:ascii="Calibri" w:hAnsi="Calibri" w:eastAsia="Calibri" w:cs="Calibri"/>
          <w:color w:val="000000"/>
          <w:sz w:val="22"/>
          <w:szCs w:val="22"/>
        </w:rPr>
        <w:t xml:space="preserve"> and other important Acari: a review. </w:t>
      </w:r>
      <w:r>
        <w:rPr>
          <w:rFonts w:ascii="Calibri" w:hAnsi="Calibri" w:eastAsia="Calibri" w:cs="Calibri"/>
          <w:i/>
          <w:iCs/>
          <w:color w:val="000000"/>
          <w:sz w:val="22"/>
          <w:szCs w:val="22"/>
        </w:rPr>
        <w:t xml:space="preserve">Insect Biochemistry and Molecular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563-572.</w:t>
      </w:r>
    </w:p>
    <w:p>
      <w:pPr>
        <w:widowControl w:val="on"/>
        <w:pBdr/>
        <w:spacing w:before="220" w:after="220" w:line="240" w:lineRule="auto"/>
        <w:ind w:left="0" w:right="0"/>
        <w:jc w:val="left"/>
      </w:pPr>
      <w:r>
        <w:rPr>
          <w:rFonts w:ascii="Calibri" w:hAnsi="Calibri" w:eastAsia="Calibri" w:cs="Calibri"/>
          <w:color w:val="000000"/>
          <w:sz w:val="22"/>
          <w:szCs w:val="22"/>
        </w:rPr>
        <w:t xml:space="preserve">Vasconcelos G, Silva N, Almeida L, Lopes Casas L &amp; Neto P (2022) First record of the occurrence and description of damage caused by </w:t>
      </w:r>
      <w:r>
        <w:rPr>
          <w:rFonts w:ascii="Calibri" w:hAnsi="Calibri" w:eastAsia="Calibri" w:cs="Calibri"/>
          <w:i/>
          <w:iCs/>
          <w:color w:val="000000"/>
          <w:sz w:val="22"/>
          <w:szCs w:val="22"/>
        </w:rPr>
        <w:t xml:space="preserve">Tetranychus mexicanus</w:t>
      </w:r>
      <w:r>
        <w:rPr>
          <w:rFonts w:ascii="Calibri" w:hAnsi="Calibri" w:eastAsia="Calibri" w:cs="Calibri"/>
          <w:color w:val="000000"/>
          <w:sz w:val="22"/>
          <w:szCs w:val="22"/>
        </w:rPr>
        <w:t xml:space="preserve"> in guarana plants. </w:t>
      </w:r>
      <w:r>
        <w:rPr>
          <w:rFonts w:ascii="Calibri" w:hAnsi="Calibri" w:eastAsia="Calibri" w:cs="Calibri"/>
          <w:i/>
          <w:iCs/>
          <w:color w:val="000000"/>
          <w:sz w:val="22"/>
          <w:szCs w:val="22"/>
        </w:rPr>
        <w:t xml:space="preserve">Revista de Ciências Agrárias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in 2026 by Adenir Vieira Teodoro, Embrapa Tabuleiros Costeiros, Brazil. His valuable contribution is gratefully acknowledged.</w:t>
      </w:r>
    </w:p>
    <w:p>
      <w:pPr>
        <w:widowControl w:val="on"/>
        <w:pBdr/>
        <w:spacing w:before="220" w:after="220" w:line="240" w:lineRule="auto"/>
        <w:ind w:left="0" w:right="0"/>
        <w:jc w:val="both"/>
      </w:pPr>
      <w:r>
        <w:rPr>
          <w:rFonts w:ascii="Calibri" w:hAnsi="Calibri" w:eastAsia="Calibri" w:cs="Calibri"/>
          <w:color w:val="000000"/>
          <w:sz w:val="22"/>
          <w:szCs w:val="22"/>
        </w:rPr>
        <w:t xml:space="preserve">The EPPO pest risk analysis on </w:t>
      </w:r>
      <w:r>
        <w:rPr>
          <w:rFonts w:ascii="Calibri" w:hAnsi="Calibri" w:eastAsia="Calibri" w:cs="Calibri"/>
          <w:i/>
          <w:iCs/>
          <w:color w:val="000000"/>
          <w:sz w:val="22"/>
          <w:szCs w:val="22"/>
        </w:rPr>
        <w:t xml:space="preserve">Tetranychus mexicanus</w:t>
      </w:r>
      <w:r>
        <w:rPr>
          <w:rFonts w:ascii="Calibri" w:hAnsi="Calibri" w:eastAsia="Calibri" w:cs="Calibri"/>
          <w:color w:val="000000"/>
          <w:sz w:val="22"/>
          <w:szCs w:val="22"/>
        </w:rPr>
        <w:t xml:space="preserve"> was prepared in 2022 by an EPPO expert working group composed of W. Dermauw (ILVO, BE), M.T. Martínez Ferrer (Institute of Agrifood Research and Technology, ES), M. Navajas (INRAE, FR), A.V. Teodoro (Embrapa, BR) and D.J. van der Gaag (NVWA, NL).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Tetranychus mexicanus</w:t>
      </w:r>
      <w:r>
        <w:rPr>
          <w:rFonts w:ascii="Calibri" w:hAnsi="Calibri" w:eastAsia="Calibri" w:cs="Calibri"/>
          <w:color w:val="000000"/>
          <w:sz w:val="22"/>
          <w:szCs w:val="22"/>
        </w:rPr>
        <w:t xml:space="preserve">. EPPO datasheets on pests recommended for regulation. Available online. </w:t>
      </w:r>
      <w:hyperlink r:id="rId25976ad2a64f39b92"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2026.  It is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0" w:after="0" w:line="240" w:lineRule="auto"/>
        <w:ind w:left="0" w:right="0"/>
        <w:jc w:val="left"/>
      </w:pPr>
      <w:r>
        <w:rPr>
          <w:rFonts w:ascii="Calibri" w:hAnsi="Calibri" w:eastAsia="Calibri" w:cs="Calibri"/>
          <w:color w:val="000000"/>
          <w:sz w:val="22"/>
          <w:szCs w:val="22"/>
        </w:rPr>
        <w:t xml:space="preserve">
EPPO (2026) Datasheets on  pests recommended for regulation.</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Tetranychus mexicanus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(2), 244-249.  </w:t>
      </w:r>
      <w:hyperlink r:id="rId67236ad2a64f39c80" w:history="1">
        <w:r>
          <w:rPr>
            <w:rFonts w:ascii="Calibri" w:hAnsi="Calibri" w:eastAsia="Calibri" w:cs="Calibri"/>
            <w:color w:val="0000CC"/>
            <w:sz w:val="22"/>
            <w:szCs w:val="22"/>
            <w:u w:val="single"/>
          </w:rPr>
          <w:t xml:space="preserve">https://doi.org/10.1111/epp.70079</w:t>
        </w:r>
      </w:hyperlink>
      <w:r>
        <w:rPr>
          <w:rFonts w:ascii="Calibri" w:hAnsi="Calibri" w:eastAsia="Calibri" w:cs="Calibri"/>
          <w:color w:val="000000"/>
          <w:sz w:val="22"/>
          <w:szCs w:val="22"/>
        </w:rPr>
        <w:t xml:space="preserve"> </w:t>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358571">
    <w:multiLevelType w:val="hybridMultilevel"/>
    <w:lvl w:ilvl="0" w:tplc="89240655">
      <w:start w:val="1"/>
      <w:numFmt w:val="decimal"/>
      <w:lvlText w:val="%1."/>
      <w:lvlJc w:val="left"/>
      <w:pPr>
        <w:ind w:left="720" w:hanging="360"/>
      </w:pPr>
    </w:lvl>
    <w:lvl w:ilvl="1" w:tplc="89240655" w:tentative="1">
      <w:start w:val="1"/>
      <w:numFmt w:val="lowerLetter"/>
      <w:lvlText w:val="%2."/>
      <w:lvlJc w:val="left"/>
      <w:pPr>
        <w:ind w:left="1440" w:hanging="360"/>
      </w:pPr>
    </w:lvl>
    <w:lvl w:ilvl="2" w:tplc="89240655" w:tentative="1">
      <w:start w:val="1"/>
      <w:numFmt w:val="lowerRoman"/>
      <w:lvlText w:val="%3."/>
      <w:lvlJc w:val="right"/>
      <w:pPr>
        <w:ind w:left="2160" w:hanging="180"/>
      </w:pPr>
    </w:lvl>
    <w:lvl w:ilvl="3" w:tplc="89240655" w:tentative="1">
      <w:start w:val="1"/>
      <w:numFmt w:val="decimal"/>
      <w:lvlText w:val="%4."/>
      <w:lvlJc w:val="left"/>
      <w:pPr>
        <w:ind w:left="2880" w:hanging="360"/>
      </w:pPr>
    </w:lvl>
    <w:lvl w:ilvl="4" w:tplc="89240655" w:tentative="1">
      <w:start w:val="1"/>
      <w:numFmt w:val="lowerLetter"/>
      <w:lvlText w:val="%5."/>
      <w:lvlJc w:val="left"/>
      <w:pPr>
        <w:ind w:left="3600" w:hanging="360"/>
      </w:pPr>
    </w:lvl>
    <w:lvl w:ilvl="5" w:tplc="89240655" w:tentative="1">
      <w:start w:val="1"/>
      <w:numFmt w:val="lowerRoman"/>
      <w:lvlText w:val="%6."/>
      <w:lvlJc w:val="right"/>
      <w:pPr>
        <w:ind w:left="4320" w:hanging="180"/>
      </w:pPr>
    </w:lvl>
    <w:lvl w:ilvl="6" w:tplc="89240655" w:tentative="1">
      <w:start w:val="1"/>
      <w:numFmt w:val="decimal"/>
      <w:lvlText w:val="%7."/>
      <w:lvlJc w:val="left"/>
      <w:pPr>
        <w:ind w:left="5040" w:hanging="360"/>
      </w:pPr>
    </w:lvl>
    <w:lvl w:ilvl="7" w:tplc="89240655" w:tentative="1">
      <w:start w:val="1"/>
      <w:numFmt w:val="lowerLetter"/>
      <w:lvlText w:val="%8."/>
      <w:lvlJc w:val="left"/>
      <w:pPr>
        <w:ind w:left="5760" w:hanging="360"/>
      </w:pPr>
    </w:lvl>
    <w:lvl w:ilvl="8" w:tplc="89240655" w:tentative="1">
      <w:start w:val="1"/>
      <w:numFmt w:val="lowerRoman"/>
      <w:lvlText w:val="%9."/>
      <w:lvlJc w:val="right"/>
      <w:pPr>
        <w:ind w:left="6480" w:hanging="180"/>
      </w:pPr>
    </w:lvl>
  </w:abstractNum>
  <w:abstractNum w:abstractNumId="32358570">
    <w:multiLevelType w:val="hybridMultilevel"/>
    <w:lvl w:ilvl="0" w:tplc="531470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358570">
    <w:abstractNumId w:val="32358570"/>
  </w:num>
  <w:num w:numId="32358571">
    <w:abstractNumId w:val="32358571"/>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69031783" Type="http://schemas.microsoft.com/office/2011/relationships/commentsExtended" Target="commentsExtended.xml"/><Relationship Id="rId763352153" Type="http://schemas.microsoft.com/office/2011/relationships/people" Target="people.xml"/><Relationship Id="rId51736ad2a64f35938" Type="http://schemas.openxmlformats.org/officeDocument/2006/relationships/hyperlink" Target="https://gd.eppo.int/taxon/TETRME/" TargetMode="External"/><Relationship Id="rId45226ad2a64f3597f" Type="http://schemas.openxmlformats.org/officeDocument/2006/relationships/hyperlink" Target="https://gd.eppo.int/taxon/TETRME/categorization" TargetMode="External"/><Relationship Id="rId87936ad2a64f362e1" Type="http://schemas.openxmlformats.org/officeDocument/2006/relationships/hyperlink" Target="https://gd.eppo.int/taxon/TETRME/photos" TargetMode="External"/><Relationship Id="rId79266ad2a64f36576" Type="http://schemas.openxmlformats.org/officeDocument/2006/relationships/hyperlink" Target="https://gd.eppo.int/taxon/TETRME/hosts" TargetMode="External"/><Relationship Id="rId28296ad2a64f38ea5" Type="http://schemas.openxmlformats.org/officeDocument/2006/relationships/hyperlink" Target="https://www.pesticideresistance.org/" TargetMode="External"/><Relationship Id="rId48476ad2a64f38fed" Type="http://schemas.openxmlformats.org/officeDocument/2006/relationships/hyperlink" Target="https://gd.eppo.int/standards/PM5/" TargetMode="External"/><Relationship Id="rId51356ad2a64f39051" Type="http://schemas.openxmlformats.org/officeDocument/2006/relationships/hyperlink" Target="https://gd.eppo.int/taxon/TETRME" TargetMode="External"/><Relationship Id="rId12626ad2a64f3936e" Type="http://schemas.openxmlformats.org/officeDocument/2006/relationships/hyperlink" Target="https://www1.montpellier.inrae.fr/CBGP/spmweb" TargetMode="External"/><Relationship Id="rId44716ad2a64f39471" Type="http://schemas.openxmlformats.org/officeDocument/2006/relationships/hyperlink" Target="https://english.nvwa.nl/" TargetMode="External"/><Relationship Id="rId62066ad2a64f39989" Type="http://schemas.openxmlformats.org/officeDocument/2006/relationships/hyperlink" Target="https://www.infoteca.cnptia.embrapa.br/handle/doc/1042136" TargetMode="External"/><Relationship Id="rId25976ad2a64f39b92" Type="http://schemas.openxmlformats.org/officeDocument/2006/relationships/hyperlink" Target="https://gd.eppo.int" TargetMode="External"/><Relationship Id="rId67236ad2a64f39c80" Type="http://schemas.openxmlformats.org/officeDocument/2006/relationships/hyperlink" Target="https://doi.org/10.1111/epp.70079" TargetMode="External"/><Relationship Id="rId97036ad2a64f36196" Type="http://schemas.openxmlformats.org/officeDocument/2006/relationships/image" Target="media/imgrId97036ad2a64f36196.jpg"/><Relationship Id="rId41006ad2a64f37de1" Type="http://schemas.openxmlformats.org/officeDocument/2006/relationships/image" Target="media/imgrId41006ad2a64f37de1.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