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quadrigibbus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quadrigibbus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Tachypterellus consors cerasi</w:t>
            </w:r>
            <w:r>
              <w:rPr>
                <w:rFonts w:ascii="Calibri" w:hAnsi="Calibri" w:eastAsia="Calibri" w:cs="Calibri"/>
                <w:color w:val="000000"/>
                <w:position w:val="-3"/>
                <w:sz w:val="22"/>
                <w:szCs w:val="22"/>
              </w:rPr>
              <w:t xml:space="preserve"> (List), </w:t>
            </w:r>
            <w:r>
              <w:rPr>
                <w:rFonts w:ascii="Calibri" w:hAnsi="Calibri" w:eastAsia="Calibri" w:cs="Calibri"/>
                <w:i/>
                <w:iCs/>
                <w:color w:val="000000"/>
                <w:position w:val="-3"/>
                <w:sz w:val="22"/>
                <w:szCs w:val="22"/>
              </w:rPr>
              <w:t xml:space="preserve">Tachypterellus quadrigibbus magnus</w:t>
            </w:r>
            <w:r>
              <w:rPr>
                <w:rFonts w:ascii="Calibri" w:hAnsi="Calibri" w:eastAsia="Calibri" w:cs="Calibri"/>
                <w:color w:val="000000"/>
                <w:position w:val="-3"/>
                <w:sz w:val="22"/>
                <w:szCs w:val="22"/>
              </w:rPr>
              <w:t xml:space="preserve"> List, </w:t>
            </w:r>
            <w:r>
              <w:rPr>
                <w:rFonts w:ascii="Calibri" w:hAnsi="Calibri" w:eastAsia="Calibri" w:cs="Calibri"/>
                <w:i/>
                <w:iCs/>
                <w:color w:val="000000"/>
                <w:position w:val="-3"/>
                <w:sz w:val="22"/>
                <w:szCs w:val="22"/>
              </w:rPr>
              <w:t xml:space="preserve">Tachypterellus quadrigibbus</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Tachypterus quadrigibbus</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curculio, large apple curculio, western curculio</w:t>
            </w:r>
            <w:hyperlink r:id="rId29786ac1bd7eb345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9986ac1bd7eb34a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TACYQU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183522" name="name11466ac1bd7eb3aea" descr="14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39.jpg"/>
                          <pic:cNvPicPr/>
                        </pic:nvPicPr>
                        <pic:blipFill>
                          <a:blip r:embed="rId73996ac1bd7eb3ae8" cstate="print"/>
                          <a:stretch>
                            <a:fillRect/>
                          </a:stretch>
                        </pic:blipFill>
                        <pic:spPr>
                          <a:xfrm>
                            <a:off x="0" y="0"/>
                            <a:ext cx="2160000" cy="1281600"/>
                          </a:xfrm>
                          <a:prstGeom prst="rect">
                            <a:avLst/>
                          </a:prstGeom>
                          <a:ln w="0">
                            <a:noFill/>
                          </a:ln>
                        </pic:spPr>
                      </pic:pic>
                    </a:graphicData>
                  </a:graphic>
                </wp:inline>
              </w:drawing>
            </w:r>
            <w:hyperlink r:id="rId88776ac1bd7eb3c5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quadrigibbus</w:t>
      </w:r>
      <w:r>
        <w:rPr>
          <w:rFonts w:ascii="Calibri" w:hAnsi="Calibri" w:eastAsia="Calibri" w:cs="Calibri"/>
          <w:color w:val="000000"/>
          <w:sz w:val="22"/>
          <w:szCs w:val="22"/>
        </w:rPr>
        <w:t xml:space="preserve"> is associated with a wide range of plants in the Rosaceae family and, with </w:t>
      </w:r>
      <w:r>
        <w:rPr>
          <w:rFonts w:ascii="Calibri" w:hAnsi="Calibri" w:eastAsia="Calibri" w:cs="Calibri"/>
          <w:i/>
          <w:iCs/>
          <w:color w:val="000000"/>
          <w:sz w:val="22"/>
          <w:szCs w:val="22"/>
        </w:rPr>
        <w:t xml:space="preserve">Cornus stolonifera</w:t>
      </w:r>
      <w:r>
        <w:rPr>
          <w:rFonts w:ascii="Calibri" w:hAnsi="Calibri" w:eastAsia="Calibri" w:cs="Calibri"/>
          <w:color w:val="000000"/>
          <w:sz w:val="22"/>
          <w:szCs w:val="22"/>
        </w:rPr>
        <w:t xml:space="preserve"> (Cornaceae) (Burke &amp; Anderson, 1989). In addition, Burke (1976) mentioned that this species may also develop in the fruit of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Apples and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are the main host plants. Burke &amp; Anderson (1989) gave the following list of Rosaceae from which the adults have been reared or collected: </w:t>
      </w:r>
      <w:r>
        <w:rPr>
          <w:rFonts w:ascii="Calibri" w:hAnsi="Calibri" w:eastAsia="Calibri" w:cs="Calibri"/>
          <w:i/>
          <w:iCs/>
          <w:color w:val="000000"/>
          <w:sz w:val="22"/>
          <w:szCs w:val="22"/>
        </w:rPr>
        <w:t xml:space="preserve">Crataegus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holmesiana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macrosperma</w:t>
      </w:r>
      <w:r>
        <w:rPr>
          <w:rFonts w:ascii="Calibri" w:hAnsi="Calibri" w:eastAsia="Calibri" w:cs="Calibri"/>
          <w:color w:val="000000"/>
          <w:sz w:val="22"/>
          <w:szCs w:val="22"/>
        </w:rPr>
        <w:t xml:space="preserve">; apples and sweet crab apple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virginiana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demissa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pears;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sp. Maier (1990) noted other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obovalis</w:t>
      </w:r>
      <w:r>
        <w:rPr>
          <w:rFonts w:ascii="Calibri" w:hAnsi="Calibri" w:eastAsia="Calibri" w:cs="Calibri"/>
          <w:color w:val="000000"/>
          <w:sz w:val="22"/>
          <w:szCs w:val="22"/>
        </w:rPr>
        <w:t xml:space="preserve">) that can serve as host plants for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A small number of larvae were also observed on </w:t>
      </w:r>
      <w:r>
        <w:rPr>
          <w:rFonts w:ascii="Calibri" w:hAnsi="Calibri" w:eastAsia="Calibri" w:cs="Calibri"/>
          <w:i/>
          <w:iCs/>
          <w:color w:val="000000"/>
          <w:sz w:val="22"/>
          <w:szCs w:val="22"/>
        </w:rPr>
        <w:t xml:space="preserve">P. pensylvanica</w:t>
      </w:r>
      <w:r>
        <w:rPr>
          <w:rFonts w:ascii="Calibri" w:hAnsi="Calibri" w:eastAsia="Calibri" w:cs="Calibri"/>
          <w:color w:val="000000"/>
          <w:sz w:val="22"/>
          <w:szCs w:val="22"/>
        </w:rPr>
        <w:t xml:space="preserve"> (Maier, 1990).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is a common host in eastern but not in western North America. While apples serve as hosts in the eastern and midwestern portions of the range, cultivated cherries are a significant host only in Colorado.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represent potential hosts throughout the range of the species.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spp. appear to be suitable hosts only in eastern and central North America; in western regions, only </w:t>
      </w:r>
      <w:r>
        <w:rPr>
          <w:rFonts w:ascii="Calibri" w:hAnsi="Calibri" w:eastAsia="Calibri" w:cs="Calibri"/>
          <w:i/>
          <w:iCs/>
          <w:color w:val="000000"/>
          <w:sz w:val="22"/>
          <w:szCs w:val="22"/>
        </w:rPr>
        <w:t xml:space="preserve">Anthonomus consors</w:t>
      </w:r>
      <w:r>
        <w:rPr>
          <w:rFonts w:ascii="Calibri" w:hAnsi="Calibri" w:eastAsia="Calibri" w:cs="Calibri"/>
          <w:color w:val="000000"/>
          <w:sz w:val="22"/>
          <w:szCs w:val="22"/>
        </w:rPr>
        <w:t xml:space="preserve"> is associated with this plant genus (Burke &amp; Anderson, 1989).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cultivated hosts are grown throughout the region, and the genera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are well represented in the wild flora.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holmesiana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macrosperma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 var. demissa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The species is endemic in North America and widely distributed across Canada, the United States of America and Central Mexico (Burke &amp; Anderson, 1989).</w:t>
      </w:r>
    </w:p>
    <w:p>
      <w:r>
        <w:drawing>
          <wp:inline distT="0" distB="0" distL="0" distR="0">
            <wp:extent cx="6120000" cy="3067200"/>
            <wp:docPr id="14609852" name="name50846ac1bd7eb4ae8" descr="TACYQ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CYQU_distribution_map.jpg"/>
                    <pic:cNvPicPr/>
                  </pic:nvPicPr>
                  <pic:blipFill>
                    <a:blip r:embed="rId39266ac1bd7eb4ae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Québec, Saskatchewan), Mexico, United States of America (Alabama, Arizona, Arkansas, California, Colorado, Connecticut, Delaware, Florida, Georgia, Idaho, Illinois, Indiana, Iowa, Kansas, Kentucky, Louisiana, Maine, Maryland, Massachusetts, Michigan, Minnesota, Mississippi, Missouri, Montana, Nebraska, New Hampshire, New Jersey, New Mexico, New York, North Carolina, North Dakota, Ohio, Oklahoma, Oregon, Pennsylvania, Rhode Island, South Carolina, South Dakota, Tennessee, Texas, Utah,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weevils overwinter on the ground beneath the trees. They begin to emerge when the ground surface temperature is about 16°C or above for at least 24 h and fly strongly when the temperature is much higher. In the Champlain Valley, New York State (USA), emergence usually starts in early May. Adults disperse actively in the spring, seeking the most suitable hosts. At first, they feed on leaf petioles, flower buds, and then on blossoms and finally on small fruits as soon as they have set.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considerable migration in the spring from one host to another as fruit is set, the weevil showing a preference for smaller fruit (Hammer, 1936). Ritcher (1936) showed that weevils reared from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and apple both preferred to oviposit on the host from which they were reared. However, if the preferred host is not available, the weevils will readily disperse to, and oviposit on, the same or a different host some distance away (List, 1932; Hammer, 1936).</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takes place soon thereafter and then egg laying which may be prolonged up to 60 days or more; the mean period is 34.6 days, during which a mean of 65.8 eggs can be laid per female (Crandall, 1905). The eggs are deposited in cavities made in maturing fruits, only one egg per large apple. On cherries, the eggs may be deposited either directly in the seeds or in the flesh of the fruit; most females apparently do the latter (List, 1932). Eggs may be deposited in both ovaries and flesh of apples (Crandall, 1905).</w:t>
      </w:r>
    </w:p>
    <w:p>
      <w:pPr>
        <w:widowControl w:val="on"/>
        <w:pBdr/>
        <w:spacing w:before="220" w:after="220" w:line="240" w:lineRule="auto"/>
        <w:ind w:left="0" w:right="0"/>
        <w:jc w:val="both"/>
      </w:pPr>
      <w:r>
        <w:rPr>
          <w:rFonts w:ascii="Calibri" w:hAnsi="Calibri" w:eastAsia="Calibri" w:cs="Calibri"/>
          <w:color w:val="000000"/>
          <w:sz w:val="22"/>
          <w:szCs w:val="22"/>
        </w:rPr>
        <w:t xml:space="preserve">Incubation requires about 7 days and the larvae feed by enlarging the oviposition cavity. According to Burke &amp; Anderson (1989), the larvae feed primarily upon the seed(s), although they may also be found in the flesh of the fruit. Apparently, they do not tunnel through the fruit like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but feed within a cavity (Hammer, 1936).</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majority of larvae in apples that fall, as well as those in apples remaining on the trees, develop successfully. There are three larval instars and pupation usually occurs in the fruit while it is still on the tree. The adult must dig an exit hole to emerge from its host. </w:t>
      </w:r>
    </w:p>
    <w:p>
      <w:pPr>
        <w:widowControl w:val="on"/>
        <w:pBdr/>
        <w:spacing w:before="220" w:after="220" w:line="240" w:lineRule="auto"/>
        <w:ind w:left="0" w:right="0"/>
        <w:jc w:val="both"/>
      </w:pPr>
      <w:r>
        <w:rPr>
          <w:rFonts w:ascii="Calibri" w:hAnsi="Calibri" w:eastAsia="Calibri" w:cs="Calibri"/>
          <w:color w:val="000000"/>
          <w:sz w:val="22"/>
          <w:szCs w:val="22"/>
        </w:rPr>
        <w:t xml:space="preserve">Data on development rates in different types of apples are given by Hammer (1936). In Maine (USA), 80% of adults had emerged by mid-August (Lathrop, 1955) and the latest emergence occurs in mid-September in New York state (Hammer, 1936). This species is univoltine. Aspects of the biology of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were given by Fulton (1928), Hammer (1933; 1936), Ritcher (1936) and Lathrop (1955).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first signs of injury are usually tiny punctures through the skin of the fruitlets. Beneath the punctures, the weevils dig out cavities for feeding or oviposition. If for the latter, they are closed with a pellet of frass. As the fruit grows these punctures are left at the bottom of funnel-shaped pits and the apple becomes misshapen. The egg puncture is wider toward the bottom, whereas the feeding puncture is somewhat parallel-sided; however, the two types of punctures are virtually indistinguishable on the surface of the fruit (Burke, 1976). Larvae, pupae and adults can be found in mature apples. Feeding on maturing fruit by the new generation of adults produces collapsed brown spots that can coalesce to form areas up to 2.5 cm in diameter (Hammer, 1932). Damage is well illustrated by Fulton (1928) and Hammer (1932; 1936). Pathogens and other pests may enter through punctures (Hammer, 1936). Adult and larval damage on berries and seed of saskatoons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have been described by Steeves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left"/>
      </w:pPr>
      <w:r>
        <w:rPr>
          <w:rFonts w:ascii="Calibri" w:hAnsi="Calibri" w:eastAsia="Calibri" w:cs="Calibri"/>
          <w:color w:val="000000"/>
          <w:sz w:val="22"/>
          <w:szCs w:val="22"/>
        </w:rPr>
        <w:t xml:space="preserve">White, ovoid, laid in cavity in the fruit whose opening is sealed with frass, one egg per cavity (Hammer, 1936).</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left"/>
      </w:pPr>
      <w:r>
        <w:rPr>
          <w:rFonts w:ascii="Calibri" w:hAnsi="Calibri" w:eastAsia="Calibri" w:cs="Calibri"/>
          <w:color w:val="000000"/>
          <w:sz w:val="22"/>
          <w:szCs w:val="22"/>
        </w:rPr>
        <w:t xml:space="preserve">Final instar: 7.5-9.0 mm body length; body white or cream, legless, robust, curved, asperities very small, tubercle-like, generally distributed over entire surface; head light yellowish-brown, sides rather strongly rounded, width 0.77-0.88 mm (mean 0.82 mm), mandibles brown or black. For a key to the known larvae of the tribe Anthonomini, a detailed description of the larva of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and a good habitus figure, see Ahmad &amp; Burke (1972).</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Length 4.7-5.5 mm (Burke, 1968), whitish, darkening as development progresses; elytra each with a large, conical tubercle at about the middle; four pairs of discotergal setae on most abdominal terga; abdominal segment 9 bearing one posterior process; in a cavity in the fruit (Hammer, 1936). For a key to the known pupae of the tribe Anthonomini, a detailed description of the pupa of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and a good habitus figure, see Burke (1968).</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Body length including rostrum 5.0-11.0 mm (Hammer, 1936), excluding rostrum 2.5-5.5 mm (Burke &amp; Anderson, 1989); brown, lacking the whitish elytral markings of </w:t>
      </w:r>
      <w:r>
        <w:rPr>
          <w:rFonts w:ascii="Calibri" w:hAnsi="Calibri" w:eastAsia="Calibri" w:cs="Calibri"/>
          <w:i/>
          <w:iCs/>
          <w:color w:val="000000"/>
          <w:sz w:val="22"/>
          <w:szCs w:val="22"/>
        </w:rPr>
        <w:t xml:space="preserve">Conotrachelus nenuphar </w:t>
      </w:r>
      <w:r>
        <w:rPr>
          <w:rFonts w:ascii="Calibri" w:hAnsi="Calibri" w:eastAsia="Calibri" w:cs="Calibri"/>
          <w:color w:val="000000"/>
          <w:sz w:val="22"/>
          <w:szCs w:val="22"/>
        </w:rPr>
        <w:t xml:space="preserve">(EPPO, 2022); antennal club elongate, as long as, or longer than, six preceding segments of funicle combined (as compared with the related </w:t>
      </w:r>
      <w:r>
        <w:rPr>
          <w:rFonts w:ascii="Calibri" w:hAnsi="Calibri" w:eastAsia="Calibri" w:cs="Calibri"/>
          <w:i/>
          <w:iCs/>
          <w:color w:val="000000"/>
          <w:sz w:val="22"/>
          <w:szCs w:val="22"/>
        </w:rPr>
        <w:t xml:space="preserve">A. consors</w:t>
      </w:r>
      <w:r>
        <w:rPr>
          <w:rFonts w:ascii="Calibri" w:hAnsi="Calibri" w:eastAsia="Calibri" w:cs="Calibri"/>
          <w:color w:val="000000"/>
          <w:sz w:val="22"/>
          <w:szCs w:val="22"/>
        </w:rPr>
        <w:t xml:space="preserve"> in which the club is stout, distinctly shorter than the six preceding segments of the funicle combined); rostrum long, slender, curved, one third to one half of overall body length (Hammer, 1936); scutellum narrow, convex dorsally; pronotum and elytra with dorsal pubescence dense and coarse; pronotum distinctly narrower than elytra at base; elytra with distinct, small to large tubercle on interval 3 at declivity, transverse, sub-basal depression poorly to moderately strongly developed; alternate elytral intervals slightly more convex, irregular in width; humeri strongly rounded (Burke &amp; Anderson, 1989).</w:t>
      </w:r>
    </w:p>
    <w:p>
      <w:pPr>
        <w:widowControl w:val="on"/>
        <w:pBdr/>
        <w:spacing w:before="220" w:after="220" w:line="240" w:lineRule="auto"/>
        <w:ind w:left="0" w:right="0"/>
        <w:jc w:val="left"/>
      </w:pPr>
      <w:r>
        <w:rPr>
          <w:rFonts w:ascii="Calibri" w:hAnsi="Calibri" w:eastAsia="Calibri" w:cs="Calibri"/>
          <w:color w:val="000000"/>
          <w:sz w:val="22"/>
          <w:szCs w:val="22"/>
        </w:rPr>
        <w:t xml:space="preserve">Size is very variable and host-dependent (Burke &amp; Anderson, 1989); sexual dimorphism is slight with the females usually slightly larger than males and females having a slightly greater length of the rostrum relative to body length; elytral tubercle development is variable and is possibly related to body size but allometry has not been proved (Burke &amp; Anderson, 1989).</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Trees and other host plants should be inspected just before and during fruit set for the presence of adult weevils. Fruit can be inspected for the presence of punctures caused by egg laying. Since the insect has a thanatosis behavior (death feigning), it is easy to collect adults on trees in the spring by using a beat sheet (Hammer, 1936). This method will work efficiently only if the temperature is higher than 21°C, when adults are active. Yellow sticky traps can be installed prior to blossom to detect the presence of adults. A sweep net can also be used to collect adults on smaller host plants such as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as the weevil can be difficult to observe on the plant.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strong fliers and can disperse the species locally. Larvae, pupae or newly emerged adults could be transported in apples, but there are no records of their interception. Adults could occur as contaminants of fresh fruit and in soil and debris around trees that have fruited, but such pre-diapause individuals are unlikely to have mated.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Riley (1871) noted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as destructive to cultivated apples and pears. It has since been reported as a pest of cultivated apples in several northeastern and mid-western states of the USA as well as in Eastern Canada (Crandall, 1905; Fulton, 1928; List, 1932; Hammer, 1936). According to Metcalf &amp; Flint (1962) it can cause very severe damage to apples, locally inflicting more than 50% crop losses. In Maine, injury to apples may occasionally be severe in heavily infested orchards (Lathrop, 1955). List (1932) mentioned that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was first recorded damaging cultivated cherries in Colorado (USA) in 1914 and later became a serious pest. Hoerner &amp; List (1952) reported it causing serious damage to cherries in Northern Colorado in 1945. Buckell (1930) described damage to cultivated pears by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in the Salmon Arm area of British Columbia (Canada) during the growing seasons of 1927-1929. Considerable damage occurred to pears, but apples and cherries in the same orchard showed no sign of injury. It may be noted that most of the references cited here are quite old. The species is currently considered as a secondary pest in apple in Eastern Canada and the US, rarely causing damage of economic significance (Bloem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Morin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injury on pears has been identified in a limited number of orchards in Ontario and British Columbia (Agriculture and Agri-Food Canada, 2020), and research would be needed to reassess the frequency and distribution of this pest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Apparently, there is no recently published literature on the control of this weevil. Buckell (1930) recommended that thickets of wild crab apple and hawthorn in the vicinity of orchards should be destroyed to decrease population buildup on alternative plants. The weevils often attack the foliage or tender twigs just before or during the blossoming period, and therefore the pink-bud application should be delayed for as long as possible. As soon as the fruits begin to form, the weevils start to injure them. This occurs before nearly all the petals have fallen and therefore the calyx application should be made sooner than is usually the case or when 60% of the petals have fallen. According to Hammer (1932), insecticide sprays applied during the adult feeding and oviposition period in the spring appeared to give measurable control. Hammer (1933) suggested that fruit drops should be picked up at least twice, but even where this is done, many of the weevils will emerge from apples on the trees and thus lower the efficiency of this method of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Hammer (1936) listed seven species of parasite of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in New York State and mentioned the occurrence of parasitic fungi. It was also mentioned that the larvae are killed by larvae of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when these occur in the same small fruits. Bugbee (1967) reported </w:t>
      </w:r>
      <w:r>
        <w:rPr>
          <w:rFonts w:ascii="Calibri" w:hAnsi="Calibri" w:eastAsia="Calibri" w:cs="Calibri"/>
          <w:i/>
          <w:iCs/>
          <w:color w:val="000000"/>
          <w:sz w:val="22"/>
          <w:szCs w:val="22"/>
        </w:rPr>
        <w:t xml:space="preserve">Eurytoma fusca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mali</w:t>
      </w:r>
      <w:r>
        <w:rPr>
          <w:rFonts w:ascii="Calibri" w:hAnsi="Calibri" w:eastAsia="Calibri" w:cs="Calibri"/>
          <w:color w:val="000000"/>
          <w:sz w:val="22"/>
          <w:szCs w:val="22"/>
        </w:rPr>
        <w:t xml:space="preserve"> (Hymenoptera: Eurytomidae) as parasites of this weevil. Burke (1976) summarized in table form the reported hymenopterous parasites of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is not currently listed as a quarantine pest by EPPO. Considering the potential risk it may present to economically important fruit crops in the European Union territory (EFSA, 2018), it is currently regulated by the European Union. Within EPPO, it was considered that measures already recommended for other North American fruit pests would adequately protect against its introduction. Thus, it was considered as a quarantine pest against which it was not necessary to take specific measures (including listing). Conditions in the EPPO region seem suitable for the survival and multiplication of the species including the presence of wild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to support reservoir populations. The fact that there is little recent information about it from North America suggests strongly that modern insecticide treatment regimes reduce it to a non-economically significant level (as has happened with other fruit tree pests throughout the world). The same would very probably be true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could be recommended that host fruit should come from an area where </w:t>
      </w:r>
      <w:r>
        <w:rPr>
          <w:rFonts w:ascii="Calibri" w:hAnsi="Calibri" w:eastAsia="Calibri" w:cs="Calibri"/>
          <w:i/>
          <w:iCs/>
          <w:color w:val="000000"/>
          <w:sz w:val="22"/>
          <w:szCs w:val="22"/>
        </w:rPr>
        <w:t xml:space="preserve">A. quadrigibbus</w:t>
      </w:r>
      <w:r>
        <w:rPr>
          <w:rFonts w:ascii="Calibri" w:hAnsi="Calibri" w:eastAsia="Calibri" w:cs="Calibri"/>
          <w:color w:val="000000"/>
          <w:sz w:val="22"/>
          <w:szCs w:val="22"/>
        </w:rPr>
        <w:t xml:space="preserve"> does not occur and/or where routine intensive control measures are being applied. Plants of host species transported with roots should be free from soil, or the soil should be treated against the pest, and they should not carry fruit.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Agriculture and Agri-Food Canada (2020) Crop profile for pear in Canada, 2019. Pest Management Program, Catalogue No. A118-10/36-2019E-PDF</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 &amp; Burke HR (1972) Larvae of the weevil tribe Anthonomini (Coleoptera: Curculionidae). </w:t>
      </w:r>
      <w:r>
        <w:rPr>
          <w:rFonts w:ascii="Calibri" w:hAnsi="Calibri" w:eastAsia="Calibri" w:cs="Calibri"/>
          <w:i/>
          <w:iCs/>
          <w:color w:val="000000"/>
          <w:sz w:val="22"/>
          <w:szCs w:val="22"/>
        </w:rPr>
        <w:t xml:space="preserve">Miscellaneous Publications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31-81.</w:t>
      </w:r>
    </w:p>
    <w:p>
      <w:pPr>
        <w:widowControl w:val="on"/>
        <w:pBdr/>
        <w:spacing w:before="220" w:after="220" w:line="240" w:lineRule="auto"/>
        <w:ind w:left="0" w:right="0"/>
        <w:jc w:val="left"/>
      </w:pPr>
      <w:r>
        <w:rPr>
          <w:rFonts w:ascii="Calibri" w:hAnsi="Calibri" w:eastAsia="Calibri" w:cs="Calibri"/>
          <w:color w:val="000000"/>
          <w:sz w:val="22"/>
          <w:szCs w:val="22"/>
        </w:rPr>
        <w:t xml:space="preserve">Bloem S, Mizell III RF &amp; O’Brien CW (2002) Old traps for new weevils: new records for curculionids (Coleoptera: Curculionidae), brentids (Coleoptera: Brentidae) and anthribids (Coleoptera: Anthribidae) from Jefferson Co.,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632-644.</w:t>
      </w:r>
    </w:p>
    <w:p>
      <w:pPr>
        <w:widowControl w:val="on"/>
        <w:pBdr/>
        <w:spacing w:before="220" w:after="220" w:line="240" w:lineRule="auto"/>
        <w:ind w:left="0" w:right="0"/>
        <w:jc w:val="left"/>
      </w:pPr>
      <w:r>
        <w:rPr>
          <w:rFonts w:ascii="Calibri" w:hAnsi="Calibri" w:eastAsia="Calibri" w:cs="Calibri"/>
          <w:color w:val="000000"/>
          <w:sz w:val="22"/>
          <w:szCs w:val="22"/>
        </w:rPr>
        <w:t xml:space="preserve">Buckell ER (1930) The apple curculio as a pear pest in British Columbia.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47-49.</w:t>
      </w:r>
    </w:p>
    <w:p>
      <w:pPr>
        <w:widowControl w:val="on"/>
        <w:pBdr/>
        <w:spacing w:before="220" w:after="220" w:line="240" w:lineRule="auto"/>
        <w:ind w:left="0" w:right="0"/>
        <w:jc w:val="left"/>
      </w:pPr>
      <w:r>
        <w:rPr>
          <w:rFonts w:ascii="Calibri" w:hAnsi="Calibri" w:eastAsia="Calibri" w:cs="Calibri"/>
          <w:color w:val="000000"/>
          <w:sz w:val="22"/>
          <w:szCs w:val="22"/>
        </w:rPr>
        <w:t xml:space="preserve">Bugbee RE (1967) Revision of chalcid wasps of genus </w:t>
      </w:r>
      <w:r>
        <w:rPr>
          <w:rFonts w:ascii="Calibri" w:hAnsi="Calibri" w:eastAsia="Calibri" w:cs="Calibri"/>
          <w:i/>
          <w:iCs/>
          <w:color w:val="000000"/>
          <w:sz w:val="22"/>
          <w:szCs w:val="22"/>
        </w:rPr>
        <w:t xml:space="preserve">Eurytoma</w:t>
      </w:r>
      <w:r>
        <w:rPr>
          <w:rFonts w:ascii="Calibri" w:hAnsi="Calibri" w:eastAsia="Calibri" w:cs="Calibri"/>
          <w:color w:val="000000"/>
          <w:sz w:val="22"/>
          <w:szCs w:val="22"/>
        </w:rPr>
        <w:t xml:space="preserve"> in America north of Mexico. </w:t>
      </w:r>
      <w:r>
        <w:rPr>
          <w:rFonts w:ascii="Calibri" w:hAnsi="Calibri" w:eastAsia="Calibri" w:cs="Calibri"/>
          <w:i/>
          <w:iCs/>
          <w:color w:val="000000"/>
          <w:sz w:val="22"/>
          <w:szCs w:val="22"/>
        </w:rPr>
        <w:t xml:space="preserve">Proceedings of the United States National Museum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433-552.</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HR (1968) Pupae of the weevil tribe Anthonomini (Coleoptera: Curculionidae). </w:t>
      </w:r>
      <w:r>
        <w:rPr>
          <w:rFonts w:ascii="Calibri" w:hAnsi="Calibri" w:eastAsia="Calibri" w:cs="Calibri"/>
          <w:i/>
          <w:iCs/>
          <w:color w:val="000000"/>
          <w:sz w:val="22"/>
          <w:szCs w:val="22"/>
        </w:rPr>
        <w:t xml:space="preserve">Technical Monographs, Texas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1-92.</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HR (1976) Bionomics of the anthonomine weevils.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283-303.</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HR &amp; Anderson RS (1989) Systematics of species of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Germar previously assigned to </w:t>
      </w:r>
      <w:r>
        <w:rPr>
          <w:rFonts w:ascii="Calibri" w:hAnsi="Calibri" w:eastAsia="Calibri" w:cs="Calibri"/>
          <w:i/>
          <w:iCs/>
          <w:color w:val="000000"/>
          <w:sz w:val="22"/>
          <w:szCs w:val="22"/>
        </w:rPr>
        <w:t xml:space="preserve">Tachypterellus</w:t>
      </w:r>
      <w:r>
        <w:rPr>
          <w:rFonts w:ascii="Calibri" w:hAnsi="Calibri" w:eastAsia="Calibri" w:cs="Calibri"/>
          <w:color w:val="000000"/>
          <w:sz w:val="22"/>
          <w:szCs w:val="22"/>
        </w:rPr>
        <w:t xml:space="preserve"> Fall and Cockerell (Coleoptera: Curculionidae).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426-437.</w:t>
      </w:r>
    </w:p>
    <w:p>
      <w:pPr>
        <w:widowControl w:val="on"/>
        <w:pBdr/>
        <w:spacing w:before="220" w:after="220" w:line="240" w:lineRule="auto"/>
        <w:ind w:left="0" w:right="0"/>
        <w:jc w:val="left"/>
      </w:pPr>
      <w:r>
        <w:rPr>
          <w:rFonts w:ascii="Calibri" w:hAnsi="Calibri" w:eastAsia="Calibri" w:cs="Calibri"/>
          <w:color w:val="000000"/>
          <w:sz w:val="22"/>
          <w:szCs w:val="22"/>
        </w:rPr>
        <w:t xml:space="preserve">Crandall CS (1905) The curculio and the apple. </w:t>
      </w:r>
      <w:r>
        <w:rPr>
          <w:rFonts w:ascii="Calibri" w:hAnsi="Calibri" w:eastAsia="Calibri" w:cs="Calibri"/>
          <w:i/>
          <w:iCs/>
          <w:color w:val="000000"/>
          <w:sz w:val="22"/>
          <w:szCs w:val="22"/>
        </w:rPr>
        <w:t xml:space="preserve">Bulletin of the University of Illinois Agricultural Experiment Station</w:t>
      </w:r>
      <w:r>
        <w:rPr>
          <w:rFonts w:ascii="Calibri" w:hAnsi="Calibri" w:eastAsia="Calibri" w:cs="Calibri"/>
          <w:color w:val="000000"/>
          <w:sz w:val="22"/>
          <w:szCs w:val="22"/>
        </w:rPr>
        <w:t xml:space="preserve"> 98, 467-560. (Cited by Burke &amp; Anderson (1989)).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EPPO datasheets on pests recommended for regulation. Available online. </w:t>
      </w:r>
      <w:hyperlink r:id="rId56046ac1bd7eb5a65" w:history="1">
        <w:r>
          <w:rPr>
            <w:rFonts w:ascii="Calibri" w:hAnsi="Calibri" w:eastAsia="Calibri" w:cs="Calibri"/>
            <w:color w:val="0000CC"/>
            <w:sz w:val="22"/>
            <w:szCs w:val="22"/>
            <w:u w:val="single"/>
          </w:rPr>
          <w:t xml:space="preserve">https://gd.eppo.int/taxon/CONHNE/datasheet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Plant Health Panel (2018) Jeger M, Bragard C, Caffier D,Candresse T, Chatzivassiliou E, Dehnen-Schmutz K, Gilioli G, Grégoire J-C, Jaques Miret JA, Navarro MN,Niere B, Parnell S, Potting R, Rafoss T, Rossi V, Urek G, Van Bruggen A, Van der Werf W, West J, Winter S,Gardi C &amp; MacLeod A. Scientific Opinion on the pest categorisation of </w:t>
      </w:r>
      <w:r>
        <w:rPr>
          <w:rFonts w:ascii="Calibri" w:hAnsi="Calibri" w:eastAsia="Calibri" w:cs="Calibri"/>
          <w:i/>
          <w:iCs/>
          <w:color w:val="000000"/>
          <w:sz w:val="22"/>
          <w:szCs w:val="22"/>
        </w:rPr>
        <w:t xml:space="preserve">Anthonomus quadrigibbus. 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5245, 24 pp. </w:t>
      </w:r>
      <w:hyperlink r:id="rId53246ac1bd7eb5ad5" w:history="1">
        <w:r>
          <w:rPr>
            <w:rFonts w:ascii="Calibri" w:hAnsi="Calibri" w:eastAsia="Calibri" w:cs="Calibri"/>
            <w:color w:val="0000CC"/>
            <w:sz w:val="22"/>
            <w:szCs w:val="22"/>
            <w:u w:val="single"/>
          </w:rPr>
          <w:t xml:space="preserve">https://doi.org/10.2903/j.efsa.2018.5245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Fulton BB (1928) The apple curculio and its control by hogs.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249-261.</w:t>
      </w:r>
    </w:p>
    <w:p>
      <w:pPr>
        <w:widowControl w:val="on"/>
        <w:pBdr/>
        <w:spacing w:before="220" w:after="220" w:line="240" w:lineRule="auto"/>
        <w:ind w:left="0" w:right="0"/>
        <w:jc w:val="left"/>
      </w:pPr>
      <w:r>
        <w:rPr>
          <w:rFonts w:ascii="Calibri" w:hAnsi="Calibri" w:eastAsia="Calibri" w:cs="Calibri"/>
          <w:color w:val="000000"/>
          <w:sz w:val="22"/>
          <w:szCs w:val="22"/>
        </w:rPr>
        <w:t xml:space="preserve">Hammer OH (1932) Studies on control of the apple curculio in the Champlain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569-575.</w:t>
      </w:r>
    </w:p>
    <w:p>
      <w:pPr>
        <w:widowControl w:val="on"/>
        <w:pBdr/>
        <w:spacing w:before="220" w:after="220" w:line="240" w:lineRule="auto"/>
        <w:ind w:left="0" w:right="0"/>
        <w:jc w:val="left"/>
      </w:pPr>
      <w:r>
        <w:rPr>
          <w:rFonts w:ascii="Calibri" w:hAnsi="Calibri" w:eastAsia="Calibri" w:cs="Calibri"/>
          <w:color w:val="000000"/>
          <w:sz w:val="22"/>
          <w:szCs w:val="22"/>
        </w:rPr>
        <w:t xml:space="preserve">Hammer OH (1933) Further studies on the control of the apple curculio in the Champlain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420-424.</w:t>
      </w:r>
    </w:p>
    <w:p>
      <w:pPr>
        <w:widowControl w:val="on"/>
        <w:pBdr/>
        <w:spacing w:before="220" w:after="220" w:line="240" w:lineRule="auto"/>
        <w:ind w:left="0" w:right="0"/>
        <w:jc w:val="left"/>
      </w:pPr>
      <w:r>
        <w:rPr>
          <w:rFonts w:ascii="Calibri" w:hAnsi="Calibri" w:eastAsia="Calibri" w:cs="Calibri"/>
          <w:color w:val="000000"/>
          <w:sz w:val="22"/>
          <w:szCs w:val="22"/>
        </w:rPr>
        <w:t xml:space="preserve">Hammer OH (1936) The biology of the apple curculio (</w:t>
      </w:r>
      <w:r>
        <w:rPr>
          <w:rFonts w:ascii="Calibri" w:hAnsi="Calibri" w:eastAsia="Calibri" w:cs="Calibri"/>
          <w:i/>
          <w:iCs/>
          <w:color w:val="000000"/>
          <w:sz w:val="22"/>
          <w:szCs w:val="22"/>
        </w:rPr>
        <w:t xml:space="preserve">Tachypterellus quadrigibbus</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Technical Bulletin of the New York State Agricultural Experiment Station</w:t>
      </w:r>
      <w:r>
        <w:rPr>
          <w:rFonts w:ascii="Calibri" w:hAnsi="Calibri" w:eastAsia="Calibri" w:cs="Calibri"/>
          <w:color w:val="000000"/>
          <w:sz w:val="22"/>
          <w:szCs w:val="22"/>
        </w:rPr>
        <w:t xml:space="preserve"> 240, 1-50. (Abstract in </w:t>
      </w:r>
      <w:r>
        <w:rPr>
          <w:rFonts w:ascii="Calibri" w:hAnsi="Calibri" w:eastAsia="Calibri" w:cs="Calibri"/>
          <w:i/>
          <w:iCs/>
          <w:color w:val="000000"/>
          <w:sz w:val="22"/>
          <w:szCs w:val="22"/>
        </w:rPr>
        <w:t xml:space="preserve">Review of Applied Entomology, Series A</w:t>
      </w:r>
      <w:r>
        <w:rPr>
          <w:rFonts w:ascii="Calibri" w:hAnsi="Calibri" w:eastAsia="Calibri" w:cs="Calibri"/>
          <w:color w:val="000000"/>
          <w:sz w:val="22"/>
          <w:szCs w:val="22"/>
        </w:rPr>
        <w:t xml:space="preserve"> 25, 343-345).</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List GM (1952) Controlling cherry fruitworm in Colorado.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Lathrop FH (1955) Apple insects in Maine. </w:t>
      </w:r>
      <w:r>
        <w:rPr>
          <w:rFonts w:ascii="Calibri" w:hAnsi="Calibri" w:eastAsia="Calibri" w:cs="Calibri"/>
          <w:i/>
          <w:iCs/>
          <w:color w:val="000000"/>
          <w:sz w:val="22"/>
          <w:szCs w:val="22"/>
        </w:rPr>
        <w:t xml:space="preserve">Bulletin of Maine Agricultural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26-27.</w:t>
      </w:r>
    </w:p>
    <w:p>
      <w:pPr>
        <w:widowControl w:val="on"/>
        <w:pBdr/>
        <w:spacing w:before="220" w:after="220" w:line="240" w:lineRule="auto"/>
        <w:ind w:left="0" w:right="0"/>
        <w:jc w:val="left"/>
      </w:pPr>
      <w:r>
        <w:rPr>
          <w:rFonts w:ascii="Calibri" w:hAnsi="Calibri" w:eastAsia="Calibri" w:cs="Calibri"/>
          <w:color w:val="000000"/>
          <w:sz w:val="22"/>
          <w:szCs w:val="22"/>
        </w:rPr>
        <w:t xml:space="preserve">List GM (1932) A cherry pest in Colorado. </w:t>
      </w:r>
      <w:r>
        <w:rPr>
          <w:rFonts w:ascii="Calibri" w:hAnsi="Calibri" w:eastAsia="Calibri" w:cs="Calibri"/>
          <w:i/>
          <w:iCs/>
          <w:color w:val="000000"/>
          <w:sz w:val="22"/>
          <w:szCs w:val="22"/>
        </w:rPr>
        <w:t xml:space="preserve">Bulletin of the Colorado State University Agricultural Experiment Station</w:t>
      </w:r>
      <w:r>
        <w:rPr>
          <w:rFonts w:ascii="Calibri" w:hAnsi="Calibri" w:eastAsia="Calibri" w:cs="Calibri"/>
          <w:color w:val="000000"/>
          <w:sz w:val="22"/>
          <w:szCs w:val="22"/>
        </w:rPr>
        <w:t xml:space="preserve"> 385, 1-106. (Cited by Burke &amp; Anderson (1989)).</w:t>
      </w:r>
    </w:p>
    <w:p>
      <w:pPr>
        <w:widowControl w:val="on"/>
        <w:pBdr/>
        <w:spacing w:before="220" w:after="220" w:line="240" w:lineRule="auto"/>
        <w:ind w:left="0" w:right="0"/>
        <w:jc w:val="left"/>
      </w:pPr>
      <w:r>
        <w:rPr>
          <w:rFonts w:ascii="Calibri" w:hAnsi="Calibri" w:eastAsia="Calibri" w:cs="Calibri"/>
          <w:color w:val="000000"/>
          <w:sz w:val="22"/>
          <w:szCs w:val="22"/>
        </w:rPr>
        <w:t xml:space="preserve">Maier CT (1990) Native and exotic rosaceous hosts of apple, plum, and quince curculio larvae (Coleoptera: Curculionidae) in the Northeastern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1326–1332. </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CL, Flint WP (1962) </w:t>
      </w:r>
      <w:r>
        <w:rPr>
          <w:rFonts w:ascii="Calibri" w:hAnsi="Calibri" w:eastAsia="Calibri" w:cs="Calibri"/>
          <w:i/>
          <w:iCs/>
          <w:color w:val="000000"/>
          <w:sz w:val="22"/>
          <w:szCs w:val="22"/>
        </w:rPr>
        <w:t xml:space="preserve">Destructive and useful insects</w:t>
      </w:r>
      <w:r>
        <w:rPr>
          <w:rFonts w:ascii="Calibri" w:hAnsi="Calibri" w:eastAsia="Calibri" w:cs="Calibri"/>
          <w:color w:val="000000"/>
          <w:sz w:val="22"/>
          <w:szCs w:val="22"/>
        </w:rPr>
        <w:t xml:space="preserve">. 4th edition (revised). McGraw 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Morin Y, Chouinard G &amp; Gervais S (2020) Les charançons occasionnels du fruit. Réseau-pommier, production fruitière intégrée, Fiche 88. </w:t>
      </w:r>
      <w:hyperlink r:id="rId47356ac1bd7eb5e5d" w:history="1">
        <w:r>
          <w:rPr>
            <w:rFonts w:ascii="Calibri" w:hAnsi="Calibri" w:eastAsia="Calibri" w:cs="Calibri"/>
            <w:color w:val="0000CC"/>
            <w:sz w:val="22"/>
            <w:szCs w:val="22"/>
            <w:u w:val="single"/>
          </w:rPr>
          <w:t xml:space="preserve">https://reseaupommier.irda.qc.ca/?p=6588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Riley CV (1871) The apple curculio. </w:t>
      </w:r>
      <w:r>
        <w:rPr>
          <w:rFonts w:ascii="Calibri" w:hAnsi="Calibri" w:eastAsia="Calibri" w:cs="Calibri"/>
          <w:i/>
          <w:iCs/>
          <w:color w:val="000000"/>
          <w:sz w:val="22"/>
          <w:szCs w:val="22"/>
        </w:rPr>
        <w:t xml:space="preserve">Third annual report of the noxious, beneficial and other insects of the State of Missouri</w:t>
      </w:r>
      <w:r>
        <w:rPr>
          <w:rFonts w:ascii="Calibri" w:hAnsi="Calibri" w:eastAsia="Calibri" w:cs="Calibri"/>
          <w:color w:val="000000"/>
          <w:sz w:val="22"/>
          <w:szCs w:val="22"/>
        </w:rPr>
        <w:t xml:space="preserve"> 29-35. (Cited by Burke &amp; Anderson (1989)).</w:t>
      </w:r>
    </w:p>
    <w:p>
      <w:pPr>
        <w:widowControl w:val="on"/>
        <w:pBdr/>
        <w:spacing w:before="220" w:after="220" w:line="240" w:lineRule="auto"/>
        <w:ind w:left="0" w:right="0"/>
        <w:jc w:val="left"/>
      </w:pPr>
      <w:r>
        <w:rPr>
          <w:rFonts w:ascii="Calibri" w:hAnsi="Calibri" w:eastAsia="Calibri" w:cs="Calibri"/>
          <w:color w:val="000000"/>
          <w:sz w:val="22"/>
          <w:szCs w:val="22"/>
        </w:rPr>
        <w:t xml:space="preserve">Ritcher PO (1936) Larger apple curculio in Wisconsin.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697-701.</w:t>
      </w:r>
    </w:p>
    <w:p>
      <w:pPr>
        <w:widowControl w:val="on"/>
        <w:pBdr/>
        <w:spacing w:before="220" w:after="220" w:line="240" w:lineRule="auto"/>
        <w:ind w:left="0" w:right="0"/>
        <w:jc w:val="left"/>
      </w:pPr>
      <w:r>
        <w:rPr>
          <w:rFonts w:ascii="Calibri" w:hAnsi="Calibri" w:eastAsia="Calibri" w:cs="Calibri"/>
          <w:color w:val="000000"/>
          <w:sz w:val="22"/>
          <w:szCs w:val="22"/>
        </w:rPr>
        <w:t xml:space="preserve">Steeves TA, Lehmkuhl DM &amp; Bethune TD (1979) Damage to saskatoons,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by the apple curculio, </w:t>
      </w:r>
      <w:r>
        <w:rPr>
          <w:rFonts w:ascii="Calibri" w:hAnsi="Calibri" w:eastAsia="Calibri" w:cs="Calibri"/>
          <w:i/>
          <w:iCs/>
          <w:color w:val="000000"/>
          <w:sz w:val="22"/>
          <w:szCs w:val="22"/>
        </w:rPr>
        <w:t xml:space="preserve">Tachypterellus quadrigibbus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641-648.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Annie-Ève Gagnon (Agriculture and Agri-Food Canada) and Alexis Matte (Université de Sherbrooke, Canada).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quadrigibbus</w:t>
      </w:r>
      <w:r>
        <w:rPr>
          <w:rFonts w:ascii="Calibri" w:hAnsi="Calibri" w:eastAsia="Calibri" w:cs="Calibri"/>
          <w:color w:val="000000"/>
          <w:sz w:val="22"/>
          <w:szCs w:val="22"/>
        </w:rPr>
        <w:t xml:space="preserve">. EPPO datasheets on pests recommended for regulation. Available online. </w:t>
      </w:r>
      <w:hyperlink r:id="rId29336ac1bd7eb60b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in 'Quarantine Pests for Europe'. It was revised in the second edition of the book in 1997, and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84380488" name="name79936ac1bd7eb629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9316ac1bd7eb629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67852">
    <w:multiLevelType w:val="hybridMultilevel"/>
    <w:lvl w:ilvl="0" w:tplc="36665514">
      <w:start w:val="1"/>
      <w:numFmt w:val="decimal"/>
      <w:lvlText w:val="%1."/>
      <w:lvlJc w:val="left"/>
      <w:pPr>
        <w:ind w:left="720" w:hanging="360"/>
      </w:pPr>
    </w:lvl>
    <w:lvl w:ilvl="1" w:tplc="36665514" w:tentative="1">
      <w:start w:val="1"/>
      <w:numFmt w:val="lowerLetter"/>
      <w:lvlText w:val="%2."/>
      <w:lvlJc w:val="left"/>
      <w:pPr>
        <w:ind w:left="1440" w:hanging="360"/>
      </w:pPr>
    </w:lvl>
    <w:lvl w:ilvl="2" w:tplc="36665514" w:tentative="1">
      <w:start w:val="1"/>
      <w:numFmt w:val="lowerRoman"/>
      <w:lvlText w:val="%3."/>
      <w:lvlJc w:val="right"/>
      <w:pPr>
        <w:ind w:left="2160" w:hanging="180"/>
      </w:pPr>
    </w:lvl>
    <w:lvl w:ilvl="3" w:tplc="36665514" w:tentative="1">
      <w:start w:val="1"/>
      <w:numFmt w:val="decimal"/>
      <w:lvlText w:val="%4."/>
      <w:lvlJc w:val="left"/>
      <w:pPr>
        <w:ind w:left="2880" w:hanging="360"/>
      </w:pPr>
    </w:lvl>
    <w:lvl w:ilvl="4" w:tplc="36665514" w:tentative="1">
      <w:start w:val="1"/>
      <w:numFmt w:val="lowerLetter"/>
      <w:lvlText w:val="%5."/>
      <w:lvlJc w:val="left"/>
      <w:pPr>
        <w:ind w:left="3600" w:hanging="360"/>
      </w:pPr>
    </w:lvl>
    <w:lvl w:ilvl="5" w:tplc="36665514" w:tentative="1">
      <w:start w:val="1"/>
      <w:numFmt w:val="lowerRoman"/>
      <w:lvlText w:val="%6."/>
      <w:lvlJc w:val="right"/>
      <w:pPr>
        <w:ind w:left="4320" w:hanging="180"/>
      </w:pPr>
    </w:lvl>
    <w:lvl w:ilvl="6" w:tplc="36665514" w:tentative="1">
      <w:start w:val="1"/>
      <w:numFmt w:val="decimal"/>
      <w:lvlText w:val="%7."/>
      <w:lvlJc w:val="left"/>
      <w:pPr>
        <w:ind w:left="5040" w:hanging="360"/>
      </w:pPr>
    </w:lvl>
    <w:lvl w:ilvl="7" w:tplc="36665514" w:tentative="1">
      <w:start w:val="1"/>
      <w:numFmt w:val="lowerLetter"/>
      <w:lvlText w:val="%8."/>
      <w:lvlJc w:val="left"/>
      <w:pPr>
        <w:ind w:left="5760" w:hanging="360"/>
      </w:pPr>
    </w:lvl>
    <w:lvl w:ilvl="8" w:tplc="36665514" w:tentative="1">
      <w:start w:val="1"/>
      <w:numFmt w:val="lowerRoman"/>
      <w:lvlText w:val="%9."/>
      <w:lvlJc w:val="right"/>
      <w:pPr>
        <w:ind w:left="6480" w:hanging="180"/>
      </w:pPr>
    </w:lvl>
  </w:abstractNum>
  <w:abstractNum w:abstractNumId="85567851">
    <w:multiLevelType w:val="hybridMultilevel"/>
    <w:lvl w:ilvl="0" w:tplc="9987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67851">
    <w:abstractNumId w:val="85567851"/>
  </w:num>
  <w:num w:numId="85567852">
    <w:abstractNumId w:val="855678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0104685" Type="http://schemas.microsoft.com/office/2011/relationships/commentsExtended" Target="commentsExtended.xml"/><Relationship Id="rId661771901" Type="http://schemas.microsoft.com/office/2011/relationships/people" Target="people.xml"/><Relationship Id="rId29786ac1bd7eb345f" Type="http://schemas.openxmlformats.org/officeDocument/2006/relationships/hyperlink" Target="https://gd.eppo.int/taxon/TACYQU/" TargetMode="External"/><Relationship Id="rId49986ac1bd7eb34a7" Type="http://schemas.openxmlformats.org/officeDocument/2006/relationships/hyperlink" Target="https://gd.eppo.int/taxon/TACYQU/categorization" TargetMode="External"/><Relationship Id="rId88776ac1bd7eb3c57" Type="http://schemas.openxmlformats.org/officeDocument/2006/relationships/hyperlink" Target="https://gd.eppo.int/taxon/TACYQU/photos" TargetMode="External"/><Relationship Id="rId56046ac1bd7eb5a65" Type="http://schemas.openxmlformats.org/officeDocument/2006/relationships/hyperlink" Target="https://gd.eppo.int/taxon/CONHNE/datasheet" TargetMode="External"/><Relationship Id="rId53246ac1bd7eb5ad5" Type="http://schemas.openxmlformats.org/officeDocument/2006/relationships/hyperlink" Target="https://doi.org/10.2903/j.efsa.2018.5245" TargetMode="External"/><Relationship Id="rId47356ac1bd7eb5e5d" Type="http://schemas.openxmlformats.org/officeDocument/2006/relationships/hyperlink" Target="https://reseaupommier.irda.qc.ca/?p=6588" TargetMode="External"/><Relationship Id="rId29336ac1bd7eb60be" Type="http://schemas.openxmlformats.org/officeDocument/2006/relationships/hyperlink" Target="https://gd.eppo.int" TargetMode="External"/><Relationship Id="rId73996ac1bd7eb3ae8" Type="http://schemas.openxmlformats.org/officeDocument/2006/relationships/image" Target="media/imgrId73996ac1bd7eb3ae8.jpg"/><Relationship Id="rId39266ac1bd7eb4ae6" Type="http://schemas.openxmlformats.org/officeDocument/2006/relationships/image" Target="media/imgrId39266ac1bd7eb4ae6.jpg"/><Relationship Id="rId49316ac1bd7eb6299" Type="http://schemas.openxmlformats.org/officeDocument/2006/relationships/image" Target="media/imgrId49316ac1bd7eb629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