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Synchytrium endobioticum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Synchytrium endobioticum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(Schilbersky) Percival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Chytridiomycota: Chytridiomycetes: Chytridiales: Synchytriaceae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Chrysophlyctis endobiotica</w:t>
            </w:r>
            <w:r>
              <w:rPr>
                <w:rFonts w:ascii="Calibri" w:hAnsi="Calibri" w:eastAsia="Calibri" w:cs="Calibri"/>
                <w:color w:val="000000"/>
                <w:position w:val="-3"/>
                <w:sz w:val="22"/>
                <w:szCs w:val="22"/>
              </w:rPr>
              <w:t xml:space="preserve"> Schilberszky, </w:t>
            </w:r>
            <w:r>
              <w:rPr>
                <w:rFonts w:ascii="Calibri" w:hAnsi="Calibri" w:eastAsia="Calibri" w:cs="Calibri"/>
                <w:i/>
                <w:iCs/>
                <w:color w:val="000000"/>
                <w:position w:val="-3"/>
                <w:sz w:val="22"/>
                <w:szCs w:val="22"/>
              </w:rPr>
              <w:t xml:space="preserve">Synchytrium solani</w:t>
            </w:r>
            <w:r>
              <w:rPr>
                <w:rFonts w:ascii="Calibri" w:hAnsi="Calibri" w:eastAsia="Calibri" w:cs="Calibri"/>
                <w:color w:val="000000"/>
                <w:position w:val="-3"/>
                <w:sz w:val="22"/>
                <w:szCs w:val="22"/>
              </w:rPr>
              <w:t xml:space="preserve"> Massee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black scab of potato, black wart of potato, wart disease of potato, wart of potato</w:t>
            </w:r>
            <w:hyperlink r:id="rId843069b905cec3da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681869b905cec3e3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SYNCEN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7476118" name="name898869b905cec42cf" descr="39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72.jpg"/>
                          <pic:cNvPicPr/>
                        </pic:nvPicPr>
                        <pic:blipFill>
                          <a:blip r:embed="rId632069b905cec42cc" cstate="print"/>
                          <a:stretch>
                            <a:fillRect/>
                          </a:stretch>
                        </pic:blipFill>
                        <pic:spPr>
                          <a:xfrm>
                            <a:off x="0" y="0"/>
                            <a:ext cx="2160000" cy="1281600"/>
                          </a:xfrm>
                          <a:prstGeom prst="rect">
                            <a:avLst/>
                          </a:prstGeom>
                          <a:ln w="0">
                            <a:noFill/>
                          </a:ln>
                        </pic:spPr>
                      </pic:pic>
                    </a:graphicData>
                  </a:graphic>
                </wp:inline>
              </w:drawing>
            </w:r>
            <w:hyperlink r:id="rId172669b905cec43e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pathotypes exist in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In the past some countries have not followed the usual system of numerical coding of pathotypes. Therefore, a standardized coding system was developed by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is the only cultivated host, but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are also infected in Mexico. A number of solanaceous plants, including tomatoes, can be artificially inoculated. Potatoes are the host of concern throughout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originates in the Andean zone of South America, from where it was introduced into Europe in the 1880s. It spread widely in Europe, but statutory measures have restricted its distribution to other parts of the world.</w:t>
      </w:r>
    </w:p>
    <w:p>
      <w:r>
        <w:drawing>
          <wp:inline distT="0" distB="0" distL="0" distR="0">
            <wp:extent cx="6120000" cy="3067200"/>
            <wp:docPr id="58510729" name="name213669b905cec53f3" descr="SYNCE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NCEN_distribution_map.jpg"/>
                    <pic:cNvPicPr/>
                  </pic:nvPicPr>
                  <pic:blipFill>
                    <a:blip r:embed="rId740269b905cec53f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Belarus, Bulgaria, Czechia, Denmark, Estonia, Finland, Georgia, Germany, Greece (mainland), Ireland, Italy (mainland), Luxembourg, Montenegro, Netherlands, Poland, Romania, Russian Federation (Central Russia, Northern Russia, Southern Russia), Slovakia, Sweden, Tunisia, Türkiye, Ukraine, United Kingdom (England,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Bhutan, China (Guizhou), India (Sikkim, West Bengal), Nepal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(Newfoundland, Prince Edward Island)</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Falkland Islands,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is an obligate parasite which does not produce hyphae, but produces sporangia containing 200-300 motile zoospores. In the spring, at temperatures above 8°C and given sufficient moisture, the winter sporangia (also called resting spores), in decaying warts in the soil germinate and release uninucleate zoospores. The zoospores possess a single flagellum enabling them to move in soil water and reach the living host. The flagellum is then lost, and the zoospore penetrates the host cell. This becomes greatly enlarged and the enclosed fungus forms a short-lived, quickly reproducing stage, the summer sporangium, from which numerous zoospores are rapidly discharged to reinfect surrounding cells, which again produce summer sporangia (Langerfeld, 1984a).</w:t>
      </w:r>
    </w:p>
    <w:p>
      <w:pPr>
        <w:widowControl w:val="on"/>
        <w:pBdr/>
        <w:spacing w:before="220" w:after="220" w:line="240" w:lineRule="auto"/>
        <w:ind w:left="0" w:right="0"/>
        <w:jc w:val="both"/>
      </w:pPr>
      <w:r>
        <w:rPr>
          <w:rFonts w:ascii="Calibri" w:hAnsi="Calibri" w:eastAsia="Calibri" w:cs="Calibri"/>
          <w:color w:val="000000"/>
          <w:sz w:val="22"/>
          <w:szCs w:val="22"/>
        </w:rPr>
        <w:t xml:space="preserve">This cycle may be repeated as long as infection conditions are suitable, so that the host tissue is extensively invaded. The cells around the penetrated cells also swell, and the tissue proliferates, producing a characteristic cauliflower-like appearance.</w:t>
      </w:r>
    </w:p>
    <w:p>
      <w:pPr>
        <w:widowControl w:val="on"/>
        <w:pBdr/>
        <w:spacing w:before="220" w:after="220" w:line="240" w:lineRule="auto"/>
        <w:ind w:left="0" w:right="0"/>
        <w:jc w:val="both"/>
      </w:pPr>
      <w:r>
        <w:rPr>
          <w:rFonts w:ascii="Calibri" w:hAnsi="Calibri" w:eastAsia="Calibri" w:cs="Calibri"/>
          <w:color w:val="000000"/>
          <w:sz w:val="22"/>
          <w:szCs w:val="22"/>
        </w:rPr>
        <w:t xml:space="preserve">Under certain conditions of stress, such as water shortage, the zoospores may fuse together in pairs to form a zygote; the host cell in which it forms does not swell but divides. The host cell wall remains closely attached, forming an outer layer to the resistant, thick-walled resting spore. This matures and is released into the soil from rotting warts. Resting spores can remain viable for at least 30 years and can be found in the soil at depths of up to 50 cm (Laidlaw, 1985). The disease can be spread in infected seed tubers which may have incipient warts that pass undetected, or in infested soil attached to tubers. The resting spores resist digestion by animals and can thus be spread in faeces.</w:t>
      </w:r>
    </w:p>
    <w:p>
      <w:pPr>
        <w:widowControl w:val="on"/>
        <w:pBdr/>
        <w:spacing w:before="220" w:after="220" w:line="240" w:lineRule="auto"/>
        <w:ind w:left="0" w:right="0"/>
        <w:jc w:val="both"/>
      </w:pPr>
      <w:r>
        <w:rPr>
          <w:rFonts w:ascii="Calibri" w:hAnsi="Calibri" w:eastAsia="Calibri" w:cs="Calibri"/>
          <w:color w:val="000000"/>
          <w:sz w:val="22"/>
          <w:szCs w:val="22"/>
        </w:rPr>
        <w:t xml:space="preserve">Many pathotypes of the fungus exist, defined by their virulence on differential potato cultivars (Stachewicz, 1989). An overview of the worldwide distribution of pathotypes was given by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Pathotype 1(D1) is the most common in the EPPO region and, in addition, the only pathotype occurring in most countries. Other pathotypes, now numbered up to 39(P1) (Przetakiewicz, 2015) occur mainly in the rainy mountainous areas of Central and Eastern Europe (Alps, Carpathians), for example in the Czech Republic and Germany (Langerfeld, 1984b), but a new pathotype, coded 38(Nevsehir), has also been found in Turkey (Çakir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Aerial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These are not usually apparent, although there may be a reduction in plant vigour. Small greenish warts may form in the position of the aerial buds at the stem bases (van de Vossenberg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Leaves may also be infected.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Subterranean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affects the tuber initials and tubers, but not the roots. Early infection of young developing tubers results in them becoming so distorted and spongy as to be scarcely recognizable (Langerfeld, 1984a). In older tubers, only the eyes are infected; they develop into characteristic, warty, cauliflower-like protuberances; these are initially whitish or green if exposed to light, but gradually darken and eventually rot and disintegrate. The whole tuber may be entirely replaced by the warty proliferation. Similar warts occur on stolons. Warts which develop in a potato store, i.e. in the dark, may be the same colour as the tuber's skin.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conspicuous morphological character of </w:t>
      </w:r>
      <w:r>
        <w:rPr>
          <w:rFonts w:ascii="Calibri" w:hAnsi="Calibri" w:eastAsia="Calibri" w:cs="Calibri"/>
          <w:i/>
          <w:iCs/>
          <w:color w:val="000000"/>
          <w:sz w:val="22"/>
          <w:szCs w:val="22"/>
        </w:rPr>
        <w:t xml:space="preserve">S. endobioticum </w:t>
      </w:r>
      <w:r>
        <w:rPr>
          <w:rFonts w:ascii="Calibri" w:hAnsi="Calibri" w:eastAsia="Calibri" w:cs="Calibri"/>
          <w:color w:val="000000"/>
          <w:sz w:val="22"/>
          <w:szCs w:val="22"/>
        </w:rPr>
        <w:t xml:space="preserve">is the resting spore (winter sporangium). Resting spores are mostly spherical, thick-walled, about 50 µm in diameter (25-75 µm); resting spores are present in warts and after the warts disintegrate the resting spores end up in the soil.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symptoms of the disease are easily observed during harvest of the potato crop, when infected eyes of the tubers show the characteristic, warty, cauliflower-like protuberances (EPPO, 2007). This is the case with susceptible cultivars; however, inconspicuous warts may be present in cultivars with a certain degree of resistance, and thus potentially be overlooked during visual inspection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detection of resting spores in soil a number of methods are described (EPPO, 2017a). The method of Pratt (1976a) is based on wet-sieving of soil using a stack of sieves. A disadvantage of the method is the use of the noxious chemical chloroform to extract the spores from soil. In a similar wet-sieving method described by van Leeuwen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calcium chloride is used instead. A fully automated machine for extraction of resting spores from soil, called Hendricks centrifuge, is described by Wander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Molecular methods to detect the organism in plant tissue and soil have been developed and validated (van Gent-Pelzer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EPPO, 2017a).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has a very limited capacity for natural spread (i.e. passive dispersal by water/wind; Hampson, 1996), which is principally why it has been possible to control it so effectively by statutory means. It may be carried in international trade in infected potato tubers. Indeed, infected tubers were intercepted 16 times over the period 1998-2017 in the EU. The organism can also be carried in soil, alone or accompanying plants (including non-host plants) or used equipment, vehicles, and machinery, from land on which potato wart has occurred in the past (EFSA, 2018). In particular,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can spread via discarded potatoes, soil and water from the potato processing industries (EFSA, 2018;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Wart disease is so important that, for almost 100 years, quarantine and domestic legislation has been in force world-wide to prevent its spread. Numerous EPPO publications were devoted to it in the 1950s and 1960s, and in recent decades discussions and publications showed a distinct upsurge (van Leeuwen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van de Vossenberg, 2019). At the start of the present century some innovating publications appeared (e.g.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proposing the use of field-resistant cultivars in areas affected by the disease), and several international meetings were organized/convened (e.g. EPPO, 2005). In the same period a sudden rise in the number of European countries affected by the disease was observed (Çakir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Dimitrova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Vloutoglou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2005, in Turkey, a total of 1000 ha in central Anatolia was already affected by the disease, while the disease was only first detected end 2003 in this region (Çakir, 2005). </w:t>
      </w:r>
    </w:p>
    <w:p>
      <w:pPr>
        <w:widowControl w:val="on"/>
        <w:pBdr/>
        <w:spacing w:before="220" w:after="220" w:line="240" w:lineRule="auto"/>
        <w:ind w:left="0" w:right="0"/>
        <w:jc w:val="both"/>
      </w:pPr>
      <w:r>
        <w:rPr>
          <w:rFonts w:ascii="Calibri" w:hAnsi="Calibri" w:eastAsia="Calibri" w:cs="Calibri"/>
          <w:color w:val="000000"/>
          <w:sz w:val="22"/>
          <w:szCs w:val="22"/>
        </w:rPr>
        <w:t xml:space="preserve">Once 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crop has been found with potato wart, the whole crop may be rendered unmarketable. Moreover, the fungus is so persistent (resting spores in soil) that potatoes cannot be grown again safely in the field for many years, nor can the land be used for any plants intended for export. Actual direct losses are minimal, except where a new pathotype is involved (Çakir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Since the distribution of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is more limited outside Europe, European countries may face indirect losses arising from restrictions on the export of plants from infested areas.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effective plant protection products available for the treatment of tubers. As recommended by EPPO in a national regulatory control system (EPPO, 2017b), all tubers and haulms of potatoes that were growing on an infected plot should be ‘treated’ so as to destroy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(e.g. by steaming the tubers and incinerating plant debris, burying and treating with slaked lime) or processed under safe conditions. In scheduled plots it should be prohibited to grow potatoes or to grow (or place in the soil) any plant for planting. Only officially specified resistant potato cultivars are allowed to be planted in a buffer zone around infested land (e.g. as also required in the EU with Council Directive 69/464/EEC (EU, 1969)). Because of these stringent quarantine and sanitation measures mainly applied domestically, potato wart is now very well contained 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Wart resistance remains an important element to be considered in potato breeding programmes. Three methods are recommended for testing of wart resistance, these are all laboratory assays: Glynne-Lemmerzahl method, SASA testing method (modified Glynne-Lemmerzahl) and Spieckermann method (EPPO, 2017a; EPPO,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is of quarantine significance for all the regional plant protection organizations which have established quarantine lists. The pest is currently present in several EPPO countries. EFSA suggests that climate would be suitable for its establishment wherever potato is grown in the EU (EFSA, 2018). Though present in many countries, it has a very restricted distribution within them, which justifies its quarantine status.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resting spores persist so long in soil that it has not been possible to evaluate any differences in survival potential under differing soil and climatic conditions and in the presence of other plants.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Potatoes should derive from a stock found free from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EPPO recommends that seed potatoes (except micropropagative material and minitubers) and ware potatoes for import should not be grown in fields where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has occurred and is still present (EPPO, 2017b,d). Possible similar measures could apply for any kind of host plants with roots (including bulbs and tubers) for import.</w:t>
      </w:r>
    </w:p>
    <w:p>
      <w:pPr>
        <w:widowControl w:val="on"/>
        <w:pBdr/>
        <w:spacing w:before="220" w:after="220" w:line="240" w:lineRule="auto"/>
        <w:ind w:left="0" w:right="0"/>
        <w:jc w:val="both"/>
      </w:pPr>
      <w:r>
        <w:rPr>
          <w:rFonts w:ascii="Calibri" w:hAnsi="Calibri" w:eastAsia="Calibri" w:cs="Calibri"/>
          <w:color w:val="000000"/>
          <w:sz w:val="22"/>
          <w:szCs w:val="22"/>
        </w:rPr>
        <w:t xml:space="preserve">In practice, this means an extensive system of ‘scheduling’ of wart-infested fields (EPPO, 2017b) which goes back to the wart epidemic in the first decades of the 20th century. An EPPO-recommended method for ‘descheduling’ fields, i.e. determining that the pathogen has disappeared, has been published (EPPO, 2017c). However,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resting spores are extremely long-lived (Pratt, 1976b; Laidlaw, 1985) and there is still debate as to how soon fields can safely be descheduled. Countries in which only pathotype 1(D1) occurs are advised to require that imported potatoes come from areas where the other pathotypes do not occur.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Baayen RP, Bonthuis H, Withagen JCM, Wander JGN, Lamers JL, Meffert JP, Cochius G, van Leeuwen GCM, Hendriks H, Heerink BGJ, van den Boogert PHJF, van de Griend P &amp; Bosch RA (2005) Resistance of potato cultivars to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in field and laboratory tests, risk of secondary infection, and implications for phytosanitary regulations.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35, </w:t>
      </w:r>
      <w:r>
        <w:rPr>
          <w:rFonts w:ascii="Calibri" w:hAnsi="Calibri" w:eastAsia="Calibri" w:cs="Calibri"/>
          <w:color w:val="000000"/>
          <w:sz w:val="22"/>
          <w:szCs w:val="22"/>
        </w:rPr>
        <w:t xml:space="preserve">9-23. </w:t>
      </w:r>
      <w:hyperlink r:id="rId497269b905cec5ee2" w:history="1">
        <w:r>
          <w:rPr>
            <w:rFonts w:ascii="Calibri" w:hAnsi="Calibri" w:eastAsia="Calibri" w:cs="Calibri"/>
            <w:color w:val="0000CC"/>
            <w:sz w:val="22"/>
            <w:szCs w:val="22"/>
            <w:u w:val="single"/>
          </w:rPr>
          <w:t xml:space="preserve">https://doi.org/10.1111/j.1365-2338.2005.00775.x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Baayen RP, Cochius G, Hendriks H, Meffert JP, Bakker J, Bekker M, van den Boogert PHJF, Stachewicz H &amp; van Leeuwen GCM (2006) History of potato wart disease in Europe- a proposal for harmonisation in defining pathotypes.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21-31. </w:t>
      </w:r>
      <w:hyperlink r:id="rId490869b905cec5f7a" w:history="1">
        <w:r>
          <w:rPr>
            <w:rFonts w:ascii="Calibri" w:hAnsi="Calibri" w:eastAsia="Calibri" w:cs="Calibri"/>
            <w:color w:val="0000CC"/>
            <w:sz w:val="22"/>
            <w:szCs w:val="22"/>
            <w:u w:val="single"/>
          </w:rPr>
          <w:t xml:space="preserve">https://doi.org/10.1007/s10658-006-9039-y</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Çakir E (2005) First report of potato wart disease in Turkey.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54, </w:t>
      </w:r>
      <w:r>
        <w:rPr>
          <w:rFonts w:ascii="Calibri" w:hAnsi="Calibri" w:eastAsia="Calibri" w:cs="Calibri"/>
          <w:color w:val="000000"/>
          <w:sz w:val="22"/>
          <w:szCs w:val="22"/>
        </w:rPr>
        <w:t xml:space="preserve">584.</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Çakir E, van Leeuwen GCM, Flath K, Meffert JP, Janssen WAP &amp; Maden S (2009) Identification of pathotypes of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found in infested fields in Turkey.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39, </w:t>
      </w:r>
      <w:r>
        <w:rPr>
          <w:rFonts w:ascii="Calibri" w:hAnsi="Calibri" w:eastAsia="Calibri" w:cs="Calibri"/>
          <w:color w:val="000000"/>
          <w:sz w:val="22"/>
          <w:szCs w:val="22"/>
        </w:rPr>
        <w:t xml:space="preserve">175-178. </w:t>
      </w:r>
      <w:hyperlink r:id="rId265569b905cec6076" w:history="1">
        <w:r>
          <w:rPr>
            <w:rFonts w:ascii="Calibri" w:hAnsi="Calibri" w:eastAsia="Calibri" w:cs="Calibri"/>
            <w:color w:val="0000CC"/>
            <w:sz w:val="22"/>
            <w:szCs w:val="22"/>
            <w:u w:val="single"/>
          </w:rPr>
          <w:t xml:space="preserve">https://doi.org/10.1111/j.1365-2338.2009.02285.x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Dimitrova L, Laginova M, Becheva A &amp; van Leeuwen GCM (2011) Occurrence of potato wart disease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in Bulgaria.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41, </w:t>
      </w:r>
      <w:r>
        <w:rPr>
          <w:rFonts w:ascii="Calibri" w:hAnsi="Calibri" w:eastAsia="Calibri" w:cs="Calibri"/>
          <w:color w:val="000000"/>
          <w:sz w:val="22"/>
          <w:szCs w:val="22"/>
        </w:rPr>
        <w:t xml:space="preserve">195-202. </w:t>
      </w:r>
      <w:hyperlink r:id="rId614969b905cec6113" w:history="1">
        <w:r>
          <w:rPr>
            <w:rFonts w:ascii="Calibri" w:hAnsi="Calibri" w:eastAsia="Calibri" w:cs="Calibri"/>
            <w:color w:val="0000CC"/>
            <w:sz w:val="22"/>
            <w:szCs w:val="22"/>
            <w:u w:val="single"/>
          </w:rPr>
          <w:t xml:space="preserve">https://doi.org/10.1111/j.1365-2338.2011.02453.x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Scientific opinion on the pest categorisation of </w:t>
      </w:r>
      <w:r>
        <w:rPr>
          <w:rFonts w:ascii="Calibri" w:hAnsi="Calibri" w:eastAsia="Calibri" w:cs="Calibri"/>
          <w:i/>
          <w:iCs/>
          <w:color w:val="000000"/>
          <w:sz w:val="22"/>
          <w:szCs w:val="22"/>
        </w:rPr>
        <w:t xml:space="preserve">Synchytrium endobioticum. 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5352.</w:t>
      </w:r>
      <w:r>
        <w:rPr>
          <w:rFonts w:ascii="Calibri" w:hAnsi="Calibri" w:eastAsia="Calibri" w:cs="Calibri"/>
          <w:b/>
          <w:bCs/>
          <w:color w:val="000000"/>
          <w:sz w:val="22"/>
          <w:szCs w:val="22"/>
        </w:rPr>
        <w:t xml:space="preserve"> </w:t>
      </w:r>
      <w:hyperlink r:id="rId900769b905cec61a0" w:history="1">
        <w:r>
          <w:rPr>
            <w:rFonts w:ascii="Calibri" w:hAnsi="Calibri" w:eastAsia="Calibri" w:cs="Calibri"/>
            <w:color w:val="0000CC"/>
            <w:sz w:val="22"/>
            <w:szCs w:val="22"/>
            <w:u w:val="single"/>
          </w:rPr>
          <w:t xml:space="preserve">https://doi.org/10.2903/j.efsa.2018.5352</w:t>
        </w:r>
      </w:hyperlink>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Schenk M, Camilleri M, Diakaki M, Schrader G &amp; Vos S. Pest survey card on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EFSA supporting publication 2019 EN-1591. </w:t>
      </w:r>
      <w:hyperlink r:id="rId627969b905cec6208" w:history="1">
        <w:r>
          <w:rPr>
            <w:rFonts w:ascii="Calibri" w:hAnsi="Calibri" w:eastAsia="Calibri" w:cs="Calibri"/>
            <w:color w:val="0000CC"/>
            <w:sz w:val="22"/>
            <w:szCs w:val="22"/>
            <w:u w:val="single"/>
          </w:rPr>
          <w:t xml:space="preserve">https://doi.org/10.2903/sp.efsa.2019.EN-1591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EPPO Workshop on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Paris, December 2005. </w:t>
      </w:r>
      <w:hyperlink r:id="rId574969b905cec626a" w:history="1">
        <w:r>
          <w:rPr>
            <w:rFonts w:ascii="Calibri" w:hAnsi="Calibri" w:eastAsia="Calibri" w:cs="Calibri"/>
            <w:color w:val="0000CC"/>
            <w:sz w:val="22"/>
            <w:szCs w:val="22"/>
            <w:u w:val="single"/>
          </w:rPr>
          <w:t xml:space="preserve">www.eppo.int/MEETINGS/2005_meetings/wk_synchytrium</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 General crop inspection procedure for potatoes.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37, </w:t>
      </w:r>
      <w:r>
        <w:rPr>
          <w:rFonts w:ascii="Calibri" w:hAnsi="Calibri" w:eastAsia="Calibri" w:cs="Calibri"/>
          <w:color w:val="000000"/>
          <w:sz w:val="22"/>
          <w:szCs w:val="22"/>
        </w:rPr>
        <w:t xml:space="preserve">592-597. Available from </w:t>
      </w:r>
      <w:hyperlink r:id="rId906169b905cec62dc"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 PM 7/28 (2) </w:t>
      </w:r>
      <w:r>
        <w:rPr>
          <w:rFonts w:ascii="Calibri" w:hAnsi="Calibri" w:eastAsia="Calibri" w:cs="Calibri"/>
          <w:i/>
          <w:iCs/>
          <w:color w:val="000000"/>
          <w:sz w:val="22"/>
          <w:szCs w:val="22"/>
        </w:rPr>
        <w:t xml:space="preserve">Synchytrium endobioticum.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420- 440. Available from </w:t>
      </w:r>
      <w:hyperlink r:id="rId554169b905cec635a" w:history="1">
        <w:r>
          <w:rPr>
            <w:rFonts w:ascii="Calibri" w:hAnsi="Calibri" w:eastAsia="Calibri" w:cs="Calibri"/>
            <w:color w:val="0000CC"/>
            <w:sz w:val="22"/>
            <w:szCs w:val="22"/>
            <w:u w:val="single"/>
          </w:rPr>
          <w:t xml:space="preserve">https://gd.eppo.int/standards/PM7/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 PM 9/5 (2) National regulatory control systems for </w:t>
      </w:r>
      <w:r>
        <w:rPr>
          <w:rFonts w:ascii="Calibri" w:hAnsi="Calibri" w:eastAsia="Calibri" w:cs="Calibri"/>
          <w:i/>
          <w:iCs/>
          <w:color w:val="000000"/>
          <w:sz w:val="22"/>
          <w:szCs w:val="22"/>
        </w:rPr>
        <w:t xml:space="preserve">Synchytrium endobioticum. </w:t>
      </w:r>
      <w:r>
        <w:rPr>
          <w:rFonts w:ascii="Calibri" w:hAnsi="Calibri" w:eastAsia="Calibri" w:cs="Calibri"/>
          <w:i/>
          <w:iCs/>
          <w:color w:val="000000"/>
          <w:sz w:val="22"/>
          <w:szCs w:val="22"/>
        </w:rPr>
        <w:t xml:space="preserve">EPPO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511-512. Available from </w:t>
      </w:r>
      <w:hyperlink r:id="rId315569b905cec642b" w:history="1">
        <w:r>
          <w:rPr>
            <w:rFonts w:ascii="Calibri" w:hAnsi="Calibri" w:eastAsia="Calibri" w:cs="Calibri"/>
            <w:color w:val="0000CC"/>
            <w:sz w:val="22"/>
            <w:szCs w:val="22"/>
            <w:u w:val="single"/>
          </w:rPr>
          <w:t xml:space="preserve">https://gd.eppo.int/standards/PM9/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EPPO Standard PM 3/59 (3)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descheduling of previously infested plots.</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366-368. Available from </w:t>
      </w:r>
      <w:hyperlink r:id="rId277469b905cec64ec"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(2017d) EPPO Standard PM 8/1(2) Commodity-specific phytosanitary measures: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47, </w:t>
      </w:r>
      <w:r>
        <w:rPr>
          <w:rFonts w:ascii="Calibri" w:hAnsi="Calibri" w:eastAsia="Calibri" w:cs="Calibri"/>
          <w:color w:val="000000"/>
          <w:sz w:val="22"/>
          <w:szCs w:val="22"/>
        </w:rPr>
        <w:t xml:space="preserve">487-503. Available from </w:t>
      </w:r>
      <w:hyperlink r:id="rId880269b905cec655f" w:history="1">
        <w:r>
          <w:rPr>
            <w:rFonts w:ascii="Calibri" w:hAnsi="Calibri" w:eastAsia="Calibri" w:cs="Calibri"/>
            <w:color w:val="0000CC"/>
            <w:sz w:val="22"/>
            <w:szCs w:val="22"/>
            <w:u w:val="single"/>
          </w:rPr>
          <w:t xml:space="preserve">https://gd.eppo.int/standards/PM8/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3/ Testing of potato varieties to assess resistance to </w:t>
      </w:r>
      <w:r>
        <w:rPr>
          <w:rFonts w:ascii="Calibri" w:hAnsi="Calibri" w:eastAsia="Calibri" w:cs="Calibri"/>
          <w:i/>
          <w:iCs/>
          <w:color w:val="000000"/>
          <w:sz w:val="22"/>
          <w:szCs w:val="22"/>
        </w:rPr>
        <w:t xml:space="preserve">Synchytrium endobioticum. EPPO Bulletin</w:t>
      </w:r>
      <w:r>
        <w:rPr>
          <w:rFonts w:ascii="Calibri" w:hAnsi="Calibri" w:eastAsia="Calibri" w:cs="Calibri"/>
          <w:color w:val="000000"/>
          <w:sz w:val="22"/>
          <w:szCs w:val="22"/>
        </w:rPr>
        <w:t xml:space="preserve">, in press</w:t>
      </w:r>
      <w:r>
        <w:rPr>
          <w:rFonts w:ascii="Calibri" w:hAnsi="Calibri" w:eastAsia="Calibri" w:cs="Calibri"/>
          <w:color w:val="000000"/>
          <w:sz w:val="22"/>
          <w:szCs w:val="22"/>
        </w:rPr>
        <w:t xml:space="preserve">. Available from </w:t>
      </w:r>
      <w:hyperlink r:id="rId173869b905cec65d1"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EU (1969) Council Directive of 8 December 1969 on control of Potato Wart Disease (69/464/EEC). Official Journal of the European Communities </w:t>
      </w:r>
      <w:r>
        <w:rPr>
          <w:rFonts w:ascii="Calibri" w:hAnsi="Calibri" w:eastAsia="Calibri" w:cs="Calibri"/>
          <w:b/>
          <w:bCs/>
          <w:color w:val="000000"/>
          <w:sz w:val="22"/>
          <w:szCs w:val="22"/>
        </w:rPr>
        <w:t xml:space="preserve">No L. 323/1</w:t>
      </w:r>
      <w:r>
        <w:rPr>
          <w:rFonts w:ascii="Calibri" w:hAnsi="Calibri" w:eastAsia="Calibri" w:cs="Calibri"/>
          <w:color w:val="000000"/>
          <w:sz w:val="22"/>
          <w:szCs w:val="22"/>
        </w:rPr>
        <w:t xml:space="preserve">, 561-562 </w:t>
      </w:r>
    </w:p>
    <w:p>
      <w:pPr>
        <w:widowControl w:val="on"/>
        <w:pBdr/>
        <w:spacing w:before="220" w:after="220" w:line="240" w:lineRule="auto"/>
        <w:ind w:left="0" w:right="0"/>
        <w:jc w:val="left"/>
      </w:pPr>
      <w:r>
        <w:rPr>
          <w:rFonts w:ascii="Calibri" w:hAnsi="Calibri" w:eastAsia="Calibri" w:cs="Calibri"/>
          <w:color w:val="000000"/>
          <w:sz w:val="22"/>
          <w:szCs w:val="22"/>
        </w:rPr>
        <w:t xml:space="preserve">van Gent-Pelzer MPE, Krijger M &amp; Bonants PJM (2010) Improved real-time PCR assay for detection of the quarantine potato pathogen,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in zonal centrifuge extracts from soil and in plants.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129-133. </w:t>
      </w:r>
      <w:hyperlink r:id="rId615469b905cec66a5" w:history="1">
        <w:r>
          <w:rPr>
            <w:rFonts w:ascii="Calibri" w:hAnsi="Calibri" w:eastAsia="Calibri" w:cs="Calibri"/>
            <w:color w:val="0000CC"/>
            <w:sz w:val="22"/>
            <w:szCs w:val="22"/>
            <w:u w:val="single"/>
          </w:rPr>
          <w:t xml:space="preserve">https://doi.org/10.1007/s10658-009-9522-3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Hampson MC (1996) A qualitative assessment of wind dispersal of resting spores of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the causal agent of wart disease of potato.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779-782.</w:t>
      </w:r>
    </w:p>
    <w:p>
      <w:pPr>
        <w:widowControl w:val="on"/>
        <w:pBdr/>
        <w:spacing w:before="220" w:after="220" w:line="240" w:lineRule="auto"/>
        <w:ind w:left="0" w:right="0"/>
        <w:jc w:val="left"/>
      </w:pPr>
      <w:r>
        <w:rPr>
          <w:rFonts w:ascii="Calibri" w:hAnsi="Calibri" w:eastAsia="Calibri" w:cs="Calibri"/>
          <w:color w:val="000000"/>
          <w:sz w:val="22"/>
          <w:szCs w:val="22"/>
        </w:rPr>
        <w:t xml:space="preserve">Laidlaw WMR (1985) A method for the detection of the resting sporangia of potato wart disease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in the soil of old outbreak sites.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223-232. </w:t>
      </w:r>
      <w:hyperlink r:id="rId873669b905cec67c3" w:history="1">
        <w:r>
          <w:rPr>
            <w:rFonts w:ascii="Calibri" w:hAnsi="Calibri" w:eastAsia="Calibri" w:cs="Calibri"/>
            <w:color w:val="0000CC"/>
            <w:sz w:val="22"/>
            <w:szCs w:val="22"/>
            <w:u w:val="single"/>
          </w:rPr>
          <w:t xml:space="preserve">https://doi.org/10.1007/BF02357446</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Langerfeld E (1984a) [Comprehensive literature survey of the causal agent of potato wart]. </w:t>
      </w:r>
      <w:r>
        <w:rPr>
          <w:rFonts w:ascii="Calibri" w:hAnsi="Calibri" w:eastAsia="Calibri" w:cs="Calibri"/>
          <w:i/>
          <w:iCs/>
          <w:color w:val="000000"/>
          <w:sz w:val="22"/>
          <w:szCs w:val="22"/>
        </w:rPr>
        <w:t xml:space="preserve">Mitteilungen aus der Biologischen Bundesanstalt für Land- und Forstwirtschaft Berlin-Dahlem</w:t>
      </w:r>
      <w:r>
        <w:rPr>
          <w:rFonts w:ascii="Calibri" w:hAnsi="Calibri" w:eastAsia="Calibri" w:cs="Calibri"/>
          <w:color w:val="000000"/>
          <w:sz w:val="22"/>
          <w:szCs w:val="22"/>
        </w:rPr>
        <w:t xml:space="preserve"> No. 219.</w:t>
      </w:r>
    </w:p>
    <w:p>
      <w:pPr>
        <w:widowControl w:val="on"/>
        <w:pBdr/>
        <w:spacing w:before="220" w:after="220" w:line="240" w:lineRule="auto"/>
        <w:ind w:left="0" w:right="0"/>
        <w:jc w:val="left"/>
      </w:pPr>
      <w:r>
        <w:rPr>
          <w:rFonts w:ascii="Calibri" w:hAnsi="Calibri" w:eastAsia="Calibri" w:cs="Calibri"/>
          <w:color w:val="000000"/>
          <w:sz w:val="22"/>
          <w:szCs w:val="22"/>
        </w:rPr>
        <w:t xml:space="preserve">Langerfeld E (1984b) Potato wart in the Federal Republic of Germany.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135-139.</w:t>
      </w:r>
    </w:p>
    <w:p>
      <w:pPr>
        <w:widowControl w:val="on"/>
        <w:pBdr/>
        <w:spacing w:before="220" w:after="220" w:line="240" w:lineRule="auto"/>
        <w:ind w:left="0" w:right="0"/>
        <w:jc w:val="left"/>
      </w:pPr>
      <w:r>
        <w:rPr>
          <w:rFonts w:ascii="Calibri" w:hAnsi="Calibri" w:eastAsia="Calibri" w:cs="Calibri"/>
          <w:color w:val="000000"/>
          <w:sz w:val="22"/>
          <w:szCs w:val="22"/>
        </w:rPr>
        <w:t xml:space="preserve">van Leeuwen GCM, Wander JGN, Lamers J, Meffert JP, van den Boogert PHJF &amp; Baayen RP (2005) Direct examination of soil for sporangia of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using chloroform, calcium chloride and zinc sulphate as extraction reagents.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35, </w:t>
      </w:r>
      <w:r>
        <w:rPr>
          <w:rFonts w:ascii="Calibri" w:hAnsi="Calibri" w:eastAsia="Calibri" w:cs="Calibri"/>
          <w:color w:val="000000"/>
          <w:sz w:val="22"/>
          <w:szCs w:val="22"/>
        </w:rPr>
        <w:t xml:space="preserve">25-31. </w:t>
      </w:r>
      <w:hyperlink r:id="rId535469b905cec68f1" w:history="1">
        <w:r>
          <w:rPr>
            <w:rFonts w:ascii="Calibri" w:hAnsi="Calibri" w:eastAsia="Calibri" w:cs="Calibri"/>
            <w:color w:val="0000CC"/>
            <w:sz w:val="22"/>
            <w:szCs w:val="22"/>
            <w:u w:val="single"/>
          </w:rPr>
          <w:t xml:space="preserve">https://doi.org/10.1111/j.1365-2338.2005.00777.x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van Leeuwen GCM, van de Vossenberg BTLH &amp; Westenberg M (2016) Final report Euphresco SENDO project Diagnostic methods for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especially for pathotype identification.  </w:t>
      </w:r>
      <w:hyperlink r:id="rId259369b905cec6967" w:history="1">
        <w:r>
          <w:rPr>
            <w:rFonts w:ascii="Calibri" w:hAnsi="Calibri" w:eastAsia="Calibri" w:cs="Calibri"/>
            <w:color w:val="0000CC"/>
            <w:sz w:val="22"/>
            <w:szCs w:val="22"/>
            <w:u w:val="single"/>
          </w:rPr>
          <w:t xml:space="preserve">https://zenodo.org/record/3228343#.XR9CBI86-71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Percival J (1910) Potato wart disease: the life history and cytology of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Zentralblatt für Bakteriologie, Parasitenkunde, Infektionskrankheiten und Hygiene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440-447.</w:t>
      </w:r>
    </w:p>
    <w:p>
      <w:pPr>
        <w:widowControl w:val="on"/>
        <w:pBdr/>
        <w:spacing w:before="220" w:after="220" w:line="240" w:lineRule="auto"/>
        <w:ind w:left="0" w:right="0"/>
        <w:jc w:val="left"/>
      </w:pPr>
      <w:r>
        <w:rPr>
          <w:rFonts w:ascii="Calibri" w:hAnsi="Calibri" w:eastAsia="Calibri" w:cs="Calibri"/>
          <w:color w:val="000000"/>
          <w:sz w:val="22"/>
          <w:szCs w:val="22"/>
        </w:rPr>
        <w:t xml:space="preserve">Pratt MA (1976a) A wet-sieving and flotation technique for the detection of resting sporangia of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21-29.</w:t>
      </w:r>
    </w:p>
    <w:p>
      <w:pPr>
        <w:widowControl w:val="on"/>
        <w:pBdr/>
        <w:spacing w:before="220" w:after="220" w:line="240" w:lineRule="auto"/>
        <w:ind w:left="0" w:right="0"/>
        <w:jc w:val="left"/>
      </w:pPr>
      <w:r>
        <w:rPr>
          <w:rFonts w:ascii="Calibri" w:hAnsi="Calibri" w:eastAsia="Calibri" w:cs="Calibri"/>
          <w:color w:val="000000"/>
          <w:sz w:val="22"/>
          <w:szCs w:val="22"/>
        </w:rPr>
        <w:t xml:space="preserve">Pratt MA (1976b) The longevity of resting sporangia of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107-109.</w:t>
      </w:r>
    </w:p>
    <w:p>
      <w:pPr>
        <w:widowControl w:val="on"/>
        <w:pBdr/>
        <w:spacing w:before="220" w:after="220" w:line="240" w:lineRule="auto"/>
        <w:ind w:left="0" w:right="0"/>
        <w:jc w:val="left"/>
      </w:pPr>
      <w:r>
        <w:rPr>
          <w:rFonts w:ascii="Calibri" w:hAnsi="Calibri" w:eastAsia="Calibri" w:cs="Calibri"/>
          <w:color w:val="000000"/>
          <w:sz w:val="22"/>
          <w:szCs w:val="22"/>
        </w:rPr>
        <w:t xml:space="preserve">Przetakiewicz J (2015) First report of new pathotype 39(P1) of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causing potato wart disease in Poland.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99, </w:t>
      </w:r>
      <w:r>
        <w:rPr>
          <w:rFonts w:ascii="Calibri" w:hAnsi="Calibri" w:eastAsia="Calibri" w:cs="Calibri"/>
          <w:color w:val="000000"/>
          <w:sz w:val="22"/>
          <w:szCs w:val="22"/>
        </w:rPr>
        <w:t xml:space="preserve">285-286. </w:t>
      </w:r>
      <w:hyperlink r:id="rId501469b905cec6bec" w:history="1">
        <w:r>
          <w:rPr>
            <w:rFonts w:ascii="Calibri" w:hAnsi="Calibri" w:eastAsia="Calibri" w:cs="Calibri"/>
            <w:color w:val="0000CC"/>
            <w:sz w:val="22"/>
            <w:szCs w:val="22"/>
            <w:u w:val="single"/>
          </w:rPr>
          <w:t xml:space="preserve">https://doi.org/10.1094/PDIS-06-14-0636-PDN</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Smith DS, Rocheleau H, Chapados JT, Abbott C, Ribero S, Redhead SA, Levesque CA &amp; de Boer SH (2014) Phylogeny of the genus </w:t>
      </w:r>
      <w:r>
        <w:rPr>
          <w:rFonts w:ascii="Calibri" w:hAnsi="Calibri" w:eastAsia="Calibri" w:cs="Calibri"/>
          <w:i/>
          <w:iCs/>
          <w:color w:val="000000"/>
          <w:sz w:val="22"/>
          <w:szCs w:val="22"/>
        </w:rPr>
        <w:t xml:space="preserve">Synchytrium </w:t>
      </w:r>
      <w:r>
        <w:rPr>
          <w:rFonts w:ascii="Calibri" w:hAnsi="Calibri" w:eastAsia="Calibri" w:cs="Calibri"/>
          <w:color w:val="000000"/>
          <w:sz w:val="22"/>
          <w:szCs w:val="22"/>
        </w:rPr>
        <w:t xml:space="preserve">and the development of TaqMan PCR assay for sensitive detection of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in soil.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422-432. </w:t>
      </w:r>
      <w:hyperlink r:id="rId772969b905cec6ca1" w:history="1">
        <w:r>
          <w:rPr>
            <w:rFonts w:ascii="Calibri" w:hAnsi="Calibri" w:eastAsia="Calibri" w:cs="Calibri"/>
            <w:color w:val="0000CC"/>
            <w:sz w:val="22"/>
            <w:szCs w:val="22"/>
            <w:u w:val="single"/>
          </w:rPr>
          <w:t xml:space="preserve">https://doi.org/10.1094/PHYTO-05-13-0144-R</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Stachewicz H (1989) [100 years of potato wart disease ­its distribution and current importance]. </w:t>
      </w:r>
      <w:r>
        <w:rPr>
          <w:rFonts w:ascii="Calibri" w:hAnsi="Calibri" w:eastAsia="Calibri" w:cs="Calibri"/>
          <w:i/>
          <w:iCs/>
          <w:color w:val="000000"/>
          <w:sz w:val="22"/>
          <w:szCs w:val="22"/>
        </w:rPr>
        <w:t xml:space="preserve">Nachrichtenblatt für den Pflanzenschutz in der DDR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109-111.</w:t>
      </w:r>
    </w:p>
    <w:p>
      <w:pPr>
        <w:widowControl w:val="on"/>
        <w:pBdr/>
        <w:spacing w:before="220" w:after="220" w:line="240" w:lineRule="auto"/>
        <w:ind w:left="0" w:right="0"/>
        <w:jc w:val="left"/>
      </w:pPr>
      <w:r>
        <w:rPr>
          <w:rFonts w:ascii="Calibri" w:hAnsi="Calibri" w:eastAsia="Calibri" w:cs="Calibri"/>
          <w:color w:val="000000"/>
          <w:sz w:val="22"/>
          <w:szCs w:val="22"/>
        </w:rPr>
        <w:t xml:space="preserve">Vloutoglou I, van Leeuwen GCM, Eleftheriadis H, Sarigkoli I, Simoglou KB, Tsirogiannis D &amp; Gilpathi D (2012) First report of potato wart disease caused by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(Schilb.) Perc. in Greece: detection, impacts and pathotype identification. </w:t>
      </w:r>
      <w:r>
        <w:rPr>
          <w:rFonts w:ascii="Calibri" w:hAnsi="Calibri" w:eastAsia="Calibri" w:cs="Calibri"/>
          <w:i/>
          <w:iCs/>
          <w:color w:val="000000"/>
          <w:sz w:val="22"/>
          <w:szCs w:val="22"/>
        </w:rPr>
        <w:t xml:space="preserve">Abstracts of 16</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Hellenic Phytopathological Congress, </w:t>
      </w:r>
      <w:r>
        <w:rPr>
          <w:rFonts w:ascii="Calibri" w:hAnsi="Calibri" w:eastAsia="Calibri" w:cs="Calibri"/>
          <w:color w:val="000000"/>
          <w:sz w:val="22"/>
          <w:szCs w:val="22"/>
        </w:rPr>
        <w:t xml:space="preserve">Thessaloniki, Greece, 16-18 October 2012. </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Vossenberg BTLH (2019) From metagenome to gene: Identification of the first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effector through comparative genomics. PhD Thesis, Wageningen University &amp; Research Centre, Wageningen, the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Vossenberg BTLH., van Gent-Pelzer MPE, Boerma M, van der Gouw LP, van der Lee TAJ &amp; Vossen JH (2019) An alternative bioassay for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demonstrates the expression of potato wart resistance in aboveground plant parts.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1043 – 1052. </w:t>
      </w:r>
      <w:hyperlink r:id="rId820669b905cec6e8b" w:history="1">
        <w:r>
          <w:rPr>
            <w:rFonts w:ascii="Calibri" w:hAnsi="Calibri" w:eastAsia="Calibri" w:cs="Calibri"/>
            <w:color w:val="0000CC"/>
            <w:sz w:val="22"/>
            <w:szCs w:val="22"/>
            <w:u w:val="single"/>
          </w:rPr>
          <w:t xml:space="preserve">https://doi.org/10.1094/PHYTO-01-19-0024-R</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Wander JGN, van den Berg W, van den Boogert PHJF, Lamers JG, van Leeuwen GCM, Hendrickx G &amp; Bonants P (2007) A novel technique using the Hendrickx centrifuge for extracting winter sporangia of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from soil.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119, </w:t>
      </w:r>
      <w:r>
        <w:rPr>
          <w:rFonts w:ascii="Calibri" w:hAnsi="Calibri" w:eastAsia="Calibri" w:cs="Calibri"/>
          <w:color w:val="000000"/>
          <w:sz w:val="22"/>
          <w:szCs w:val="22"/>
        </w:rPr>
        <w:t xml:space="preserve">165-174. </w:t>
      </w:r>
      <w:hyperlink r:id="rId720969b905cec6f1f" w:history="1">
        <w:r>
          <w:rPr>
            <w:rFonts w:ascii="Calibri" w:hAnsi="Calibri" w:eastAsia="Calibri" w:cs="Calibri"/>
            <w:color w:val="0000CC"/>
            <w:sz w:val="22"/>
            <w:szCs w:val="22"/>
            <w:u w:val="single"/>
          </w:rPr>
          <w:t xml:space="preserve">https://doi.org/10.1007/s10658-007-9156-2</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Gerard van Leeuwen.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EPPO datasheets on pests recommended for regulation. Available online. </w:t>
      </w:r>
      <w:hyperlink r:id="rId752769b905cec6fe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Synchytrium endobioticum</w:t>
      </w:r>
      <w:r>
        <w:rPr>
          <w:rFonts w:ascii="Calibri" w:hAnsi="Calibri" w:eastAsia="Calibri" w:cs="Calibri"/>
          <w:i/>
          <w:iCs/>
          <w:color w:val="000000"/>
          <w:sz w:val="22"/>
          <w:szCs w:val="22"/>
        </w:rPr>
        <w:t xml:space="preserve">. Bulletin OEPP/EPPO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129-134.</w:t>
      </w:r>
    </w:p>
    <w:p>
      <w:r>
        <w:drawing>
          <wp:inline distT="0" distB="0" distL="0" distR="0">
            <wp:extent cx="1800000" cy="604800"/>
            <wp:docPr id="69871991" name="name235069b905cec717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02369b905cec716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899325">
    <w:multiLevelType w:val="hybridMultilevel"/>
    <w:lvl w:ilvl="0" w:tplc="62178612">
      <w:start w:val="1"/>
      <w:numFmt w:val="decimal"/>
      <w:lvlText w:val="%1."/>
      <w:lvlJc w:val="left"/>
      <w:pPr>
        <w:ind w:left="720" w:hanging="360"/>
      </w:pPr>
    </w:lvl>
    <w:lvl w:ilvl="1" w:tplc="62178612" w:tentative="1">
      <w:start w:val="1"/>
      <w:numFmt w:val="lowerLetter"/>
      <w:lvlText w:val="%2."/>
      <w:lvlJc w:val="left"/>
      <w:pPr>
        <w:ind w:left="1440" w:hanging="360"/>
      </w:pPr>
    </w:lvl>
    <w:lvl w:ilvl="2" w:tplc="62178612" w:tentative="1">
      <w:start w:val="1"/>
      <w:numFmt w:val="lowerRoman"/>
      <w:lvlText w:val="%3."/>
      <w:lvlJc w:val="right"/>
      <w:pPr>
        <w:ind w:left="2160" w:hanging="180"/>
      </w:pPr>
    </w:lvl>
    <w:lvl w:ilvl="3" w:tplc="62178612" w:tentative="1">
      <w:start w:val="1"/>
      <w:numFmt w:val="decimal"/>
      <w:lvlText w:val="%4."/>
      <w:lvlJc w:val="left"/>
      <w:pPr>
        <w:ind w:left="2880" w:hanging="360"/>
      </w:pPr>
    </w:lvl>
    <w:lvl w:ilvl="4" w:tplc="62178612" w:tentative="1">
      <w:start w:val="1"/>
      <w:numFmt w:val="lowerLetter"/>
      <w:lvlText w:val="%5."/>
      <w:lvlJc w:val="left"/>
      <w:pPr>
        <w:ind w:left="3600" w:hanging="360"/>
      </w:pPr>
    </w:lvl>
    <w:lvl w:ilvl="5" w:tplc="62178612" w:tentative="1">
      <w:start w:val="1"/>
      <w:numFmt w:val="lowerRoman"/>
      <w:lvlText w:val="%6."/>
      <w:lvlJc w:val="right"/>
      <w:pPr>
        <w:ind w:left="4320" w:hanging="180"/>
      </w:pPr>
    </w:lvl>
    <w:lvl w:ilvl="6" w:tplc="62178612" w:tentative="1">
      <w:start w:val="1"/>
      <w:numFmt w:val="decimal"/>
      <w:lvlText w:val="%7."/>
      <w:lvlJc w:val="left"/>
      <w:pPr>
        <w:ind w:left="5040" w:hanging="360"/>
      </w:pPr>
    </w:lvl>
    <w:lvl w:ilvl="7" w:tplc="62178612" w:tentative="1">
      <w:start w:val="1"/>
      <w:numFmt w:val="lowerLetter"/>
      <w:lvlText w:val="%8."/>
      <w:lvlJc w:val="left"/>
      <w:pPr>
        <w:ind w:left="5760" w:hanging="360"/>
      </w:pPr>
    </w:lvl>
    <w:lvl w:ilvl="8" w:tplc="62178612" w:tentative="1">
      <w:start w:val="1"/>
      <w:numFmt w:val="lowerRoman"/>
      <w:lvlText w:val="%9."/>
      <w:lvlJc w:val="right"/>
      <w:pPr>
        <w:ind w:left="6480" w:hanging="180"/>
      </w:pPr>
    </w:lvl>
  </w:abstractNum>
  <w:abstractNum w:abstractNumId="92899324">
    <w:multiLevelType w:val="hybridMultilevel"/>
    <w:lvl w:ilvl="0" w:tplc="999046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899324">
    <w:abstractNumId w:val="92899324"/>
  </w:num>
  <w:num w:numId="92899325">
    <w:abstractNumId w:val="9289932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0035633" Type="http://schemas.microsoft.com/office/2011/relationships/commentsExtended" Target="commentsExtended.xml"/><Relationship Id="rId857509055" Type="http://schemas.microsoft.com/office/2011/relationships/people" Target="people.xml"/><Relationship Id="rId843069b905cec3daf" Type="http://schemas.openxmlformats.org/officeDocument/2006/relationships/hyperlink" Target="https://gd.eppo.int/taxon/SYNCEN/" TargetMode="External"/><Relationship Id="rId681869b905cec3e32" Type="http://schemas.openxmlformats.org/officeDocument/2006/relationships/hyperlink" Target="https://gd.eppo.int/taxon/SYNCEN/categorization" TargetMode="External"/><Relationship Id="rId172669b905cec43e7" Type="http://schemas.openxmlformats.org/officeDocument/2006/relationships/hyperlink" Target="https://gd.eppo.int/taxon/SYNCEN/photos" TargetMode="External"/><Relationship Id="rId497269b905cec5ee2" Type="http://schemas.openxmlformats.org/officeDocument/2006/relationships/hyperlink" Target="https://doi.org/10.1111/j.1365-2338.2005.00775.x" TargetMode="External"/><Relationship Id="rId490869b905cec5f7a" Type="http://schemas.openxmlformats.org/officeDocument/2006/relationships/hyperlink" Target="https://doi.org/10.1007/s10658-006-9039-y" TargetMode="External"/><Relationship Id="rId265569b905cec6076" Type="http://schemas.openxmlformats.org/officeDocument/2006/relationships/hyperlink" Target="https://doi.org/10.1111/j.1365-2338.2009.02285.x" TargetMode="External"/><Relationship Id="rId614969b905cec6113" Type="http://schemas.openxmlformats.org/officeDocument/2006/relationships/hyperlink" Target="https://doi.org/10.1111/j.1365-2338.2011.02453.x" TargetMode="External"/><Relationship Id="rId900769b905cec61a0" Type="http://schemas.openxmlformats.org/officeDocument/2006/relationships/hyperlink" Target="https://doi.org/10.2903/j.efsa.2018.5352" TargetMode="External"/><Relationship Id="rId627969b905cec6208" Type="http://schemas.openxmlformats.org/officeDocument/2006/relationships/hyperlink" Target="https://doi.org/10.2903/sp.efsa.2019.EN-1591" TargetMode="External"/><Relationship Id="rId574969b905cec626a" Type="http://schemas.openxmlformats.org/officeDocument/2006/relationships/hyperlink" Target="http://www.eppo.int/MEETINGS/2005_meetings/wk_synchytrium" TargetMode="External"/><Relationship Id="rId906169b905cec62dc" Type="http://schemas.openxmlformats.org/officeDocument/2006/relationships/hyperlink" Target="https://gd.eppo.int/standards/PM3/" TargetMode="External"/><Relationship Id="rId554169b905cec635a" Type="http://schemas.openxmlformats.org/officeDocument/2006/relationships/hyperlink" Target="https://gd.eppo.int/standards/PM7/" TargetMode="External"/><Relationship Id="rId315569b905cec642b" Type="http://schemas.openxmlformats.org/officeDocument/2006/relationships/hyperlink" Target="https://gd.eppo.int/standards/PM9/" TargetMode="External"/><Relationship Id="rId277469b905cec64ec" Type="http://schemas.openxmlformats.org/officeDocument/2006/relationships/hyperlink" Target="https://gd.eppo.int/standards/PM3/" TargetMode="External"/><Relationship Id="rId880269b905cec655f" Type="http://schemas.openxmlformats.org/officeDocument/2006/relationships/hyperlink" Target="https://gd.eppo.int/standards/PM8/" TargetMode="External"/><Relationship Id="rId173869b905cec65d1" Type="http://schemas.openxmlformats.org/officeDocument/2006/relationships/hyperlink" Target="https://gd.eppo.int/standards/PM3/" TargetMode="External"/><Relationship Id="rId615469b905cec66a5" Type="http://schemas.openxmlformats.org/officeDocument/2006/relationships/hyperlink" Target="https://doi.org/10.1007/s10658-009-9522-3" TargetMode="External"/><Relationship Id="rId873669b905cec67c3" Type="http://schemas.openxmlformats.org/officeDocument/2006/relationships/hyperlink" Target="https://doi.org/10.1007/BF02357446" TargetMode="External"/><Relationship Id="rId535469b905cec68f1" Type="http://schemas.openxmlformats.org/officeDocument/2006/relationships/hyperlink" Target="https://doi.org/10.1111/j.1365-2338.2005.00777.x" TargetMode="External"/><Relationship Id="rId259369b905cec6967" Type="http://schemas.openxmlformats.org/officeDocument/2006/relationships/hyperlink" Target="https://zenodo.org/record/3228343#.XR9CBI86-71" TargetMode="External"/><Relationship Id="rId501469b905cec6bec" Type="http://schemas.openxmlformats.org/officeDocument/2006/relationships/hyperlink" Target="https://doi.org/10.1094/PDIS-06-14-0636-PDN" TargetMode="External"/><Relationship Id="rId772969b905cec6ca1" Type="http://schemas.openxmlformats.org/officeDocument/2006/relationships/hyperlink" Target="https://doi.org/10.1094/PHYTO-05-13-0144-R" TargetMode="External"/><Relationship Id="rId820669b905cec6e8b" Type="http://schemas.openxmlformats.org/officeDocument/2006/relationships/hyperlink" Target="https://doi.org/10.1094/PHYTO-01-19-0024-R" TargetMode="External"/><Relationship Id="rId720969b905cec6f1f" Type="http://schemas.openxmlformats.org/officeDocument/2006/relationships/hyperlink" Target="https://doi.org/10.1007/s10658-007-9156-2" TargetMode="External"/><Relationship Id="rId752769b905cec6fe3" Type="http://schemas.openxmlformats.org/officeDocument/2006/relationships/hyperlink" Target="https://gd.eppo.int" TargetMode="External"/><Relationship Id="rId632069b905cec42cc" Type="http://schemas.openxmlformats.org/officeDocument/2006/relationships/image" Target="media/imgrId632069b905cec42cc.jpg"/><Relationship Id="rId740269b905cec53f0" Type="http://schemas.openxmlformats.org/officeDocument/2006/relationships/image" Target="media/imgrId740269b905cec53f0.jpg"/><Relationship Id="rId202369b905cec716f" Type="http://schemas.openxmlformats.org/officeDocument/2006/relationships/image" Target="media/imgrId202369b905cec716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