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Solanum carolinense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Solanum carolinense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Linnaeus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Plantae: Magnoliophyta: Angiospermae: Lamiids: Solanales: Solanaceae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Solanum floridanum</w:t>
            </w:r>
            <w:r>
              <w:rPr>
                <w:rFonts w:ascii="Calibri" w:hAnsi="Calibri" w:eastAsia="Calibri" w:cs="Calibri"/>
                <w:color w:val="000000"/>
                <w:position w:val="-3"/>
                <w:sz w:val="22"/>
                <w:szCs w:val="22"/>
              </w:rPr>
              <w:t xml:space="preserve"> Raf., </w:t>
            </w:r>
            <w:r>
              <w:rPr>
                <w:rFonts w:ascii="Calibri" w:hAnsi="Calibri" w:eastAsia="Calibri" w:cs="Calibri"/>
                <w:i/>
                <w:iCs/>
                <w:color w:val="000000"/>
                <w:position w:val="-3"/>
                <w:sz w:val="22"/>
                <w:szCs w:val="22"/>
              </w:rPr>
              <w:t xml:space="preserve">Solanum obliquatum</w:t>
            </w:r>
            <w:r>
              <w:rPr>
                <w:rFonts w:ascii="Calibri" w:hAnsi="Calibri" w:eastAsia="Calibri" w:cs="Calibri"/>
                <w:color w:val="000000"/>
                <w:position w:val="-3"/>
                <w:sz w:val="22"/>
                <w:szCs w:val="22"/>
              </w:rPr>
              <w:t xml:space="preserve"> Raf.</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Carolina horse nettle, bull nettle, horse nettle (US), sand brier</w:t>
            </w:r>
            <w:hyperlink r:id="rId79156ab96c59bf7f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 Alert list (formerly)</w:t>
            </w:r>
            <w:hyperlink r:id="rId99376ab96c59bf84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SOLCA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3516712" name="name68446ab96c59c01da" descr="32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5.jpg"/>
                          <pic:cNvPicPr/>
                        </pic:nvPicPr>
                        <pic:blipFill>
                          <a:blip r:embed="rId77716ab96c59c01d7" cstate="print"/>
                          <a:stretch>
                            <a:fillRect/>
                          </a:stretch>
                        </pic:blipFill>
                        <pic:spPr>
                          <a:xfrm>
                            <a:off x="0" y="0"/>
                            <a:ext cx="2160000" cy="1281600"/>
                          </a:xfrm>
                          <a:prstGeom prst="rect">
                            <a:avLst/>
                          </a:prstGeom>
                          <a:ln w="0">
                            <a:noFill/>
                          </a:ln>
                        </pic:spPr>
                      </pic:pic>
                    </a:graphicData>
                  </a:graphic>
                </wp:inline>
              </w:drawing>
            </w:r>
            <w:hyperlink r:id="rId25566ab96c59c0339"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native to North America (USDA, NRCS, 2021). The species occurs in all states of the USA except Nevada, Montana, North Dakota, Hawaii and Alaska (USDA, NRCS, 2021;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It also can be found in the southernmost parts of Canada (Quebec, Ontario) as well as in Nova Scotia (Bassett &amp; Munro, 1986; VASCAN,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database USDA, NRCS (2021) indicates ‘native’ for all states, although it is clear that the species has spread and has now invaded other parts of the USA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USDA GRIN (2021), for example, recognizes 32 states including 1 province in Canada (Ontario) and 1 state in Mexico (Sonora) as native.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pointed out that the native range prior to European settlement could not be determined with full certainty. In their study, they interfered its native distribution based on herbarium specimens and stated that its distribution ‘… extends from central Florida north to New York and Massachusetts and west to Texas, Oklahoma, Kansas, and Nebraska to about the 97th meridian west’.</w:t>
      </w:r>
    </w:p>
    <w:p>
      <w:pPr>
        <w:widowControl w:val="on"/>
        <w:pBdr/>
        <w:spacing w:before="220" w:after="220" w:line="240" w:lineRule="auto"/>
        <w:ind w:left="0" w:right="0"/>
        <w:jc w:val="both"/>
      </w:pPr>
      <w:r>
        <w:rPr>
          <w:rFonts w:ascii="Calibri" w:hAnsi="Calibri" w:eastAsia="Calibri" w:cs="Calibri"/>
          <w:color w:val="000000"/>
          <w:sz w:val="22"/>
          <w:szCs w:val="22"/>
        </w:rPr>
        <w:t xml:space="preserve">The occurrence of the species in Mexico, Haiti and in South America is not entirely conclusive. Websites such as </w:t>
      </w:r>
      <w:hyperlink r:id="rId84556ab96c59c0558" w:history="1">
        <w:r>
          <w:rPr>
            <w:rFonts w:ascii="Calibri" w:hAnsi="Calibri" w:eastAsia="Calibri" w:cs="Calibri"/>
            <w:color w:val="0000CC"/>
            <w:sz w:val="22"/>
            <w:szCs w:val="22"/>
            <w:u w:val="single"/>
          </w:rPr>
          <w:t xml:space="preserve">inaturalist.org</w:t>
        </w:r>
      </w:hyperlink>
      <w:r>
        <w:rPr>
          <w:rFonts w:ascii="Calibri" w:hAnsi="Calibri" w:eastAsia="Calibri" w:cs="Calibri"/>
          <w:color w:val="000000"/>
          <w:sz w:val="22"/>
          <w:szCs w:val="22"/>
        </w:rPr>
        <w:t xml:space="preserve"> and databases (CABI, 2021; GBIF, 2021; USDA GRIN, 2021) list findings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However, Martínez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do not list the species in Mexico.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stated that there is no evidence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collected in Brazil since the time of Pohl's collections [from 1852] (Stehmann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The authors also do not recognize any further occurrences in Mexico, Central or South America.</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was first introduced into the EPPO region presumably in the second half of the 20th century. Early records were of small, transient populations scattered across the EPPO region (e.g. in Belgium, Croatia, Georgia, the Netherlands, and Norway).</w:t>
      </w:r>
    </w:p>
    <w:p>
      <w:r>
        <w:drawing>
          <wp:inline distT="0" distB="0" distL="0" distR="0">
            <wp:extent cx="6120000" cy="3067200"/>
            <wp:docPr id="96042061" name="name84656ab96c59c131c" descr="SOLC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CA_distribution_map.jpg"/>
                    <pic:cNvPicPr/>
                  </pic:nvPicPr>
                  <pic:blipFill>
                    <a:blip r:embed="rId32936ab96c59c131a"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Austria, Belgium, Croatia, Czechia, Finland, France (mainland), Georgia, Germany, Italy (mainland), Netherlands, Norway, Romania, Russian Federation (Far East), Spain (mainland), Switzerland, United Kingdom</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China (Zhejiang), India (Tamil Nadu), Japan (Hokkaido, Honshu, Ryukyu Archipelago), Korea, Republic of, Nepal</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(Nova Scotia, Ontario, Québec), United States of America (Alabama, Arizona, Arkansas, California, Colorado, Connecticut, Delaware, District of Columbia, Florida, Georgia, Idaho, Illinois, Indiana, Iowa, Kansas, Kentucky, Louisiana, Maine, Maryland, Massachusetts, Michigan, Minnesota, Mississippi, Missouri, Nebraska, New Hampshire, New Jersey, New Mexico, New York, North Carolina, Ohio, Oklahoma, Oregon, Pennsylvania, Rhode Island, South Carolina, South Dakota, Tennessee, Texas, Utah, Vermont, Virginia, Washington, West Virginia, Wisconsin, Wyoming)</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New Zealand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MORPHOLOGY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Plant type</w:t>
      </w:r>
    </w:p>
    <w:p>
      <w:pPr>
        <w:widowControl w:val="on"/>
        <w:pBdr/>
        <w:spacing w:before="220" w:after="220" w:line="240" w:lineRule="auto"/>
        <w:ind w:left="0" w:right="0"/>
        <w:jc w:val="left"/>
      </w:pPr>
      <w:r>
        <w:rPr>
          <w:rFonts w:ascii="Calibri" w:hAnsi="Calibri" w:eastAsia="Calibri" w:cs="Calibri"/>
          <w:color w:val="000000"/>
          <w:sz w:val="22"/>
          <w:szCs w:val="22"/>
        </w:rPr>
        <w:t xml:space="preserve">Perennial herb.</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Description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following description is primarily based on Bassett and Munro (1986) and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is a perennial herb, up to 1.2 m tall, unbranched or branched near the base, with both vertical and horizontal roots, the latter spreading horizontally up to 5 m. Stems are armed with slender yellowish spines (prickles) up to 6 mm long. Leaves are also sparsely to moderately armed with prickles up to 6.5 mm long on the major veins abaxially and adaxially. Leave blades 2–15 × 2–10 cm in size, margins lobed with 1–4 lobes per side, sometimes very deeply lobed almost to the midrib, apex is acute to obtuse, and the petioles are 0.4–4 cm in size. Inflorescences consist of 1–20 flowers. They are white, lilac, or purple and star-shaped with five yellow poricidal anthers. Fruits are 1–2 × 1–1.8 cm in size, light green with darker green mottling or pale greenish-white when immature, bright yellow at maturity and glabrous. Seeds are 1.7–2.4 × 1.6–1.8 mm in size, flattened-reniform, lenticular, yellow, and the surface is finely foveolate.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BIOLOGY AND ECOLOGY</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General</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north-east of the USA, the growing season (i.e. seed emergence)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begins in the middle of May (Ilnicki &amp; Fertig, 1962). In Northern Florida, the growing season typically begins in April and ends in October (Hakes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Bassett and Munro (1986) stated that the species reaches anthesis by early July, while fruits begin to mature by mid-September in Canada. In Japan, the period of shoot emergence is from late April to early June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Miyazaki &amp; Ito, 2004).</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propagates by creeping roots and seeds. The extensive root system consists of a taproot and horizontally growing roots (Ilnicki &amp; Fertig, 1962; Miyazaki, 2008). The taproot can reach a depth of 240 cm and the roots grow horizontally in soil depths up to 45 cm and become several metres long (Ilnicki &amp; Fertig, 1962). Miyazaki (2008) demonstrated that different sections of the root system had different functions: the bending part forms new shoots; the horizontal part extends into the surrounding area; and the vertical part is used for storage. Shoots are produced from adventitious root buds. In this way, the species can form large clusters (up to 10 m from the parent plant) covering large areas within a few years. Belowground parts over-winter, and new shoots (= ramets) emerge in the spring. Root fragments form buds within a few weeks and thus new plants. Ilnicki &amp; Fertig (1962) demonstrated that fragments ≥2 cm in length and ≥3.5 mm in diameter show a 100% regeneration success. Root fragments grown in a greenhouse at 23–32°C showed regeneration at a level of 63% for 1 cm length and 94% for 2 cm length (Wehtje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is a prolific seed producer. It can produce ca. 40–170 seeds per fruit, with a single plant producing up to ca. 5000 seeds (Bassett &amp; Munro, 1986; Ilnicki &amp; Fertig, 1962). Seeds can germinate and plants emerge from depths of 10 cm (Ilnicki &amp; Fertig, 1962). Seeds retain viability for at least 3 years when buried at depths of 8–12 cm according to Brown and Porter (1942). Solomon (1983) remarked that seeds remained viable for at least 7 years when stored under laboratory conditions.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is pollinated by a variety of generalist insects. In North America, non-specialist bees (</w:t>
      </w:r>
      <w:r>
        <w:rPr>
          <w:rFonts w:ascii="Calibri" w:hAnsi="Calibri" w:eastAsia="Calibri" w:cs="Calibri"/>
          <w:i/>
          <w:iCs/>
          <w:color w:val="000000"/>
          <w:sz w:val="22"/>
          <w:szCs w:val="22"/>
        </w:rPr>
        <w:t xml:space="preserve">Lasioglossum</w:t>
      </w:r>
      <w:r>
        <w:rPr>
          <w:rFonts w:ascii="Calibri" w:hAnsi="Calibri" w:eastAsia="Calibri" w:cs="Calibri"/>
          <w:color w:val="000000"/>
          <w:sz w:val="22"/>
          <w:szCs w:val="22"/>
        </w:rPr>
        <w:t xml:space="preserve"> spp., </w:t>
      </w:r>
      <w:r>
        <w:rPr>
          <w:rFonts w:ascii="Calibri" w:hAnsi="Calibri" w:eastAsia="Calibri" w:cs="Calibri"/>
          <w:i/>
          <w:iCs/>
          <w:color w:val="000000"/>
          <w:sz w:val="22"/>
          <w:szCs w:val="22"/>
        </w:rPr>
        <w:t xml:space="preserve">Bombus </w:t>
      </w:r>
      <w:r>
        <w:rPr>
          <w:rFonts w:ascii="Calibri" w:hAnsi="Calibri" w:eastAsia="Calibri" w:cs="Calibri"/>
          <w:color w:val="000000"/>
          <w:sz w:val="22"/>
          <w:szCs w:val="22"/>
        </w:rPr>
        <w:t xml:space="preserve">spp. </w:t>
      </w:r>
      <w:r>
        <w:rPr>
          <w:rFonts w:ascii="Calibri" w:hAnsi="Calibri" w:eastAsia="Calibri" w:cs="Calibri"/>
          <w:i/>
          <w:iCs/>
          <w:color w:val="000000"/>
          <w:sz w:val="22"/>
          <w:szCs w:val="22"/>
        </w:rPr>
        <w:t xml:space="preserve">Xylocopa </w:t>
      </w:r>
      <w:r>
        <w:rPr>
          <w:rFonts w:ascii="Calibri" w:hAnsi="Calibri" w:eastAsia="Calibri" w:cs="Calibri"/>
          <w:color w:val="000000"/>
          <w:sz w:val="22"/>
          <w:szCs w:val="22"/>
        </w:rPr>
        <w:t xml:space="preserve">spp.) are described as the main pollinators of this species (Quesada-Aguilar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poricidal anthers must be vibrated by pollinators to release pollen (i.e., buzz pollination; Hardin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1972).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an andromonoecious species (i.e. plants bear either hermaphrodite flowers or male flowers or both) with a system of gametophytic self-incompatibility (GSI;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which is quite uncommon among other weed species.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showed that there is some plasticity in the strength of GSI in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flowers become more self-compatible as they age and self-fertility increases on plants when cross pollen is scarce. Moreover, genotypes differ in their degree of self- fertility indicating ‘… that there is broad sense heritability for plasticity in the strength of self-incompatibility’ (Travers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See Kariyat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for further details.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Habitats</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grows in various habitats, such as prairies, deciduous woodlands, swamps, and pine forests, and in disturbed areas such as road- sides, grazed and mowed pastures, ditches, cultivated fields, urban waste areas, and utility and railroad embankments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species is a weed in many crops (Table 1 </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color w:val="000000"/>
          <w:sz w:val="22"/>
          <w:szCs w:val="22"/>
        </w:rPr>
        <w:t xml:space="preserve">
Table 1. Main crops which</w:t>
      </w:r>
      <w:r>
        <w:rPr>
          <w:rFonts w:ascii="Calibri" w:hAnsi="Calibri" w:eastAsia="Calibri" w:cs="Calibri"/>
          <w:i/>
          <w:iCs/>
          <w:color w:val="000000"/>
          <w:sz w:val="22"/>
          <w:szCs w:val="22"/>
        </w:rPr>
        <w:t xml:space="preserve"> Solanum carolinense</w:t>
      </w:r>
      <w:r>
        <w:rPr>
          <w:rFonts w:ascii="Calibri" w:hAnsi="Calibri" w:eastAsia="Calibri" w:cs="Calibri"/>
          <w:color w:val="000000"/>
          <w:sz w:val="22"/>
          <w:szCs w:val="22"/>
        </w:rPr>
        <w:t xml:space="preserve"> is associated with.</w:t>
      </w:r>
      <w:r>
        <w:br/>
        <w:br/>
      </w:r>
    </w:p>
    <w:tbl>
      <w:tblPr>
        <w:tblStyle w:val="NormalTablePHPDOCX"/>
        <w:tblCellMar>
          <w:left w:type="dxa" w:w="0"/>
          <w:right w:type="dxa" w:w="0"/>
        </w:tblCellMar>
        <w:tblW w:w="3050" w:type="pct"/>
        <w:tblCellSpacing w:w="30" w:type="dxa"/>
        <w:tblInd w:w="0" w:type="auto"/>
        <w:tblBorders/>
      </w:tblPr>
      <w:tblGrid>
        <w:gridCol w:w="1071.15"/>
        <w:gridCol w:w="941.98"/>
        <w:gridCol w:w="2982.56"/>
      </w:tblGrid>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Crop</w:t>
            </w:r>
          </w:p>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Country (ISO code)</w:t>
            </w:r>
          </w:p>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References</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Arachis hypogaea</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Beta vulgaris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IT</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Vidotto and Selvaggi (2028)</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Cucurbita pepo</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Follak (2020)</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Glycine max</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 IT, RU, 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Follak (2020); 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Gossypium hirsutum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Medicago sativa</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Van Wychen (2015); Van Wychen (2020)</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Phaseolus vulgaris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Frank (1990)</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Solanum tuberosum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Triticum aestivum</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Hackett et al. (1987); Van Wychen (2015)</w:t>
            </w:r>
          </w:p>
          <w:p/>
        </w:tc>
      </w:tr>
      <w:tr>
        <w:trPr>
          <w:trHeight w:val="0" w:hRule="atLeast"/>
        </w:trPr>
        <w:tc>
          <w:tcPr>
            <w:tcW w:w="1071.15"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i/>
                <w:iCs/>
                <w:color w:val="000000"/>
                <w:position w:val="-3"/>
                <w:sz w:val="22"/>
                <w:szCs w:val="22"/>
              </w:rPr>
              <w:t xml:space="preserve">Zea mays</w:t>
            </w:r>
          </w:p>
        </w:tc>
        <w:tc>
          <w:tcPr>
            <w:tcW w:w="941.98"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AT, FR, IT, US</w:t>
            </w:r>
          </w:p>
        </w:tc>
        <w:tc>
          <w:tcPr>
            <w:tcW w:w="2982.56"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color w:val="000000"/>
                <w:position w:val="-3"/>
                <w:sz w:val="22"/>
                <w:szCs w:val="22"/>
              </w:rPr>
              <w:t xml:space="preserve">Whaley and Vangessel (2002); Vidotto and Selvaggi (2018)</w:t>
            </w:r>
          </w:p>
        </w:tc>
      </w:tr>
      <w:tr>
        <w:trPr>
          <w:trHeight w:val="0" w:hRule="atLeast"/>
        </w:trPr>
        <w:tc>
          <w:tcPr>
            <w:tcMar>
              <w:top w:w="15" w:type="dxa"/>
              <w:left w:w="15" w:type="dxa"/>
              <w:bottom w:w="15" w:type="dxa"/>
              <w:right w:w="15" w:type="dxa"/>
            </w:tcMar>
            <w:vAlign w:val="center"/>
          </w:tcPr>
          <w:p/>
        </w:tc>
      </w:tr>
    </w:tbl>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 species is recorded as growing in different habitats including banks of major rivers (e.g. Waal; Dirkse </w:t>
      </w:r>
      <w:r>
        <w:rPr>
          <w:rFonts w:ascii="Calibri" w:hAnsi="Calibri" w:eastAsia="Calibri" w:cs="Calibri"/>
          <w:i/>
          <w:iCs/>
          <w:color w:val="000000"/>
          <w:sz w:val="22"/>
          <w:szCs w:val="22"/>
        </w:rPr>
        <w:t xml:space="preserve">et a</w:t>
      </w:r>
      <w:r>
        <w:rPr>
          <w:rFonts w:ascii="Calibri" w:hAnsi="Calibri" w:eastAsia="Calibri" w:cs="Calibri"/>
          <w:i/>
          <w:iCs/>
          <w:color w:val="000000"/>
          <w:sz w:val="22"/>
          <w:szCs w:val="22"/>
        </w:rPr>
        <w:t xml:space="preserve">l</w:t>
      </w:r>
      <w:r>
        <w:rPr>
          <w:rFonts w:ascii="Calibri" w:hAnsi="Calibri" w:eastAsia="Calibri" w:cs="Calibri"/>
          <w:color w:val="000000"/>
          <w:sz w:val="22"/>
          <w:szCs w:val="22"/>
        </w:rPr>
        <w:t xml:space="preserve">., 2007), ruderal habitats (e.g. roadsides, port areas; Junghans, 2013; Pérez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pastures and crop fields (Follak, 2020; Hohla &amp; Zahlheimer, 2018;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Austria, it invades roadsides and crop fields, such as maize, oil-pumpkin and soybean (Follak, 2020). In Italy, the species has been recorded in crops, such as sugar beet, beans and soybean, mainly in Northern Italy (Saglia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Additionally, the species has also been reported from disturbed sites such as roadsides and ditches (Barberis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Zanotti, 1993). In the Netherlands, since 2004,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found in several localities on sandy riverbanks particularly along the River Waal (Dirkse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FLORON Verspreidingsatlas Vaatplanten, 2021).</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its presence on banks of rivers,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not recorded in natural habitats in the EPPO region.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Environmental requirements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occurs over a wide climatic range. In North America,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occurs predominantly between northern latitudes of 28° to 45° and western longitudes of 70° to 98° (GBIF, 2021; Wahlert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distribution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limited in cool environments by intense frost, and the length of the growing season (Bassett &amp; Munro, 1986). Stems are frost sensitive and tops usually die following frost in autumn. Roots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tolerate low temperatures of 3°C (in 6 cm soil depth), but were killed at temperatures between −2 and −4°C (Bassett &amp; Munro, 1986; Wehtje </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1987).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reported that roots (0.5 mm in diameter and 35 cm in length) from seedlings were not killed at −4°C for 12 h.</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needs warm temperatures for germination, sprouting and growth. The plant grows rapidly during hot weather (Ilnicki &amp; Fertig, 1962). Miyazaki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demonstrated that under controlled conditions, sprouting of detached roots was highest at temperatures between 15 and 30°C. This temperature range for optimal growth is in accordance with results of Onen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under western Japanese conditions (Osaka Prefecture).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pointed out that germination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does not occur at temperatures below 14°C under field conditions. Seeds were killed by exposure to heat at 55°C for 72 h and at 60°C for 24 h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1999b).</w:t>
      </w:r>
    </w:p>
    <w:p>
      <w:pPr>
        <w:widowControl w:val="on"/>
        <w:pBdr/>
        <w:spacing w:before="220" w:after="220" w:line="240" w:lineRule="auto"/>
        <w:ind w:left="0" w:right="0"/>
        <w:jc w:val="both"/>
      </w:pPr>
      <w:r>
        <w:rPr>
          <w:rFonts w:ascii="Calibri" w:hAnsi="Calibri" w:eastAsia="Calibri" w:cs="Calibri"/>
          <w:color w:val="000000"/>
          <w:sz w:val="22"/>
          <w:szCs w:val="22"/>
        </w:rPr>
        <w:t xml:space="preserve">Seedlings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are resistant to shading. Urakawa &amp; Koide (2004b) reported that the growth of shoots and roots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did not decrease by shading (50% of sunlight), while it sharply declined under shading of ≥75% of sunlight.</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 data indicated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tolerate a broad range of soil types and textures, but thrives on light textured, well-drained soils (Ilnicki &amp; Fertig, 1962). It can also grow under high moisture conditions, as it can persist on riverbanks, along field margins of paddy rice fields, in ditches and other moist to periodically saturated locations (e.g. Imaizumi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Moreover, the species was found to be drought resistant, which was attributed to its deeply penetrating roots (Bassett &amp; Munro, 1986; Ilnicki &amp; Fertig, 1962).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Natural enemies</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EPPO region, there are no host specific natural enemies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Generalist natural enemies will potentially attack the plant, but these are unlikely to cause enough damage to influence establishment.</w:t>
      </w:r>
    </w:p>
    <w:p>
      <w:pPr>
        <w:widowControl w:val="on"/>
        <w:pBdr/>
        <w:spacing w:before="220" w:after="220" w:line="240" w:lineRule="auto"/>
        <w:ind w:left="0" w:right="0"/>
        <w:jc w:val="both"/>
      </w:pPr>
      <w:r>
        <w:rPr>
          <w:rFonts w:ascii="Calibri" w:hAnsi="Calibri" w:eastAsia="Calibri" w:cs="Calibri"/>
          <w:b/>
          <w:bCs/>
          <w:color w:val="000000"/>
          <w:sz w:val="22"/>
          <w:szCs w:val="22"/>
        </w:rPr>
        <w:t xml:space="preserve">Uses and benefits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not used for anything in particular.</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may be a contaminant in grain imported for (1) animal feed mixtures and (2) human consumption, including for processing. The grain imported for human consumption is likely to be less contaminated than that for animal consumption as regulations are stricter. In EPPO countries, it is assumed that the species was introduced from North America together with soybean.</w:t>
      </w:r>
    </w:p>
    <w:p>
      <w:pPr>
        <w:widowControl w:val="on"/>
        <w:pBdr/>
        <w:spacing w:before="220" w:after="220" w:line="240" w:lineRule="auto"/>
        <w:ind w:left="0" w:right="0"/>
        <w:jc w:val="both"/>
      </w:pPr>
      <w:r>
        <w:rPr>
          <w:rFonts w:ascii="Calibri" w:hAnsi="Calibri" w:eastAsia="Calibri" w:cs="Calibri"/>
          <w:color w:val="000000"/>
          <w:sz w:val="22"/>
          <w:szCs w:val="22"/>
        </w:rPr>
        <w:t xml:space="preserve">In Norway, the species was introduced as a contaminant of imported soybean most likely from the USA (Ouren, 1987). For Germany, Jehlik (1989) and Junghans (2013) noted that contaminated soybean originating from America was the probable source of transient populations of the species. In Romania it is reported by Costea (1996) as probably originated from shipping, especially from trade (‘soya-bean waste’). Kurokawa (2001) assumed that it has further been most likely introduced to Japan from the USA via contamination of grain.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olanum carolinense</w:t>
      </w:r>
      <w:r>
        <w:rPr>
          <w:rFonts w:ascii="Calibri" w:hAnsi="Calibri" w:eastAsia="Calibri" w:cs="Calibri"/>
          <w:color w:val="000000"/>
          <w:sz w:val="22"/>
          <w:szCs w:val="22"/>
        </w:rPr>
        <w:t xml:space="preserve"> can infest many crops, in particular maize and soybean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Van Wychen, 2015; Wiles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and these crops are harvested at a period when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are present. Seed lots can therefore be infested by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Seed lots of soybean and maize are most at risk of being contaminated. Seed of wheat was not included in pathways for movement as wheat would be harvested too early in the season for seed of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to be present.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Zanotti (1993) assumed that the occurrence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Germany and Italy was due to the cultivation of contaminated maize varieties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from abroad. In Austria,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first appeared in a maize field following soybean, where the seeds were thought to have been obtained from Canada (Follak, pers. communication 2021).</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survey (2020) revealed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the fourth most common and the second most trouble- some weed in pastures, rangeland, or other hay fields in the USA (Van Wychen, 2020). Indeed, it is considered that the spread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(both berries and seed) in the USA has occurred through the movement of hay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 Imported hay from the USA may be contaminated with fruits or seeds (Anonymous, 1896). Kurokawa (2001) checked samples of imported hay into Japan. Although many seeds were recognized in each sample, they were not those of the recently observed non-native noxious weed species (incl.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Likewise, Asai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did not detect seeds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imported hay including </w:t>
      </w:r>
      <w:r>
        <w:rPr>
          <w:rFonts w:ascii="Calibri" w:hAnsi="Calibri" w:eastAsia="Calibri" w:cs="Calibri"/>
          <w:i/>
          <w:iCs/>
          <w:color w:val="000000"/>
          <w:sz w:val="22"/>
          <w:szCs w:val="22"/>
        </w:rPr>
        <w:t xml:space="preserve">Phleum pratense</w:t>
      </w:r>
      <w:r>
        <w:rPr>
          <w:rFonts w:ascii="Calibri" w:hAnsi="Calibri" w:eastAsia="Calibri" w:cs="Calibri"/>
          <w:color w:val="000000"/>
          <w:sz w:val="22"/>
          <w:szCs w:val="22"/>
        </w:rPr>
        <w:t xml:space="preserve">, alfalfa, Sudan grass) from the USA and Canada.</w:t>
      </w:r>
    </w:p>
    <w:p>
      <w:pPr>
        <w:widowControl w:val="on"/>
        <w:pBdr/>
        <w:spacing w:before="220" w:after="220" w:line="240" w:lineRule="auto"/>
        <w:ind w:left="0" w:right="0"/>
        <w:jc w:val="both"/>
      </w:pPr>
      <w:r>
        <w:rPr>
          <w:rFonts w:ascii="Calibri" w:hAnsi="Calibri" w:eastAsia="Calibri" w:cs="Calibri"/>
          <w:color w:val="000000"/>
          <w:sz w:val="22"/>
          <w:szCs w:val="22"/>
        </w:rPr>
        <w:t xml:space="preserve">In North America, and in Japan,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shown to have spread over long distances presumably by both natural and human assisted mechanisms. In the USA, long distance spread has been speculated to be due to the inter-state movement of hay (Robbins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1952).</w:t>
      </w:r>
    </w:p>
    <w:p>
      <w:pPr>
        <w:widowControl w:val="on"/>
        <w:pBdr/>
        <w:spacing w:before="220" w:after="220" w:line="240" w:lineRule="auto"/>
        <w:ind w:left="0" w:right="0"/>
        <w:jc w:val="both"/>
      </w:pPr>
      <w:r>
        <w:rPr>
          <w:rFonts w:ascii="Calibri" w:hAnsi="Calibri" w:eastAsia="Calibri" w:cs="Calibri"/>
          <w:color w:val="000000"/>
          <w:sz w:val="22"/>
          <w:szCs w:val="22"/>
        </w:rPr>
        <w:t xml:space="preserve">In Japan, Imaizumi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reported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been recorded in pastures and orchards from the 1970s onwards. The species was limited to a small area in 1981 and from the 1990s onwards, it has become more widespread and infested areas have increased rapidly. In 1994,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was reported on approximately 25% of all surveyed pastures (Nishida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1999a). In 2013, a survey recorded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had infested 76.3% of the total surveyed area of forage crop fields (11 200 ha; cited in Tominaga &amp; Kurokawab, 2020).</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in Austria, Follak (2020) noted that the movement of root fragments via agricultural machinery was strongly suspected to be the main dispersal vector from field-to-field. This was underlined by the fact that most observed populations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occurred at field margins and headlands along farm tracks and roads (southern Styria, Austria). It was observed that the species has spread at least 2 km within 10 years.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IMPACTS</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Effects on plants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infests many crops, in particular spring crops such as peanuts, maize, cotton, potato, alfalfa, green beans, tomato, vegetables, and soybeans (e.g. Van Wychen, 2015, 2020; Webster, 2008). Unfortunately, competition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with crops is not well documented. Only a few studies focused on the impact of the species on crop yield. The extent of yield loss depends largely on the density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but also on the crop type, and low-growing crops seem to be more affected.</w:t>
      </w:r>
    </w:p>
    <w:p>
      <w:pPr>
        <w:widowControl w:val="on"/>
        <w:pBdr/>
        <w:spacing w:before="220" w:after="220" w:line="240" w:lineRule="auto"/>
        <w:ind w:left="0" w:right="0"/>
        <w:jc w:val="both"/>
      </w:pPr>
      <w:r>
        <w:rPr>
          <w:rFonts w:ascii="Calibri" w:hAnsi="Calibri" w:eastAsia="Calibri" w:cs="Calibri"/>
          <w:color w:val="000000"/>
          <w:sz w:val="22"/>
          <w:szCs w:val="22"/>
        </w:rPr>
        <w:t xml:space="preserve">Some authors have documented effects of various densities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on yield of peanut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L.) and snap 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L.). The impacts are expressed as crop yield reductions. The study of Hackett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seemed to indicate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not a major problem in peanuts. They showed that in 1 year 32 specimens in a 10 m of row (the highest density) reduced yield, but in the second year the same density did not have any effect on the yield of the peanuts. In contrast, Frank (1990) demonstrated that the yield of snap bean was greatly reduced due to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Eight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w:t>
      </w:r>
      <w:r>
        <w:rPr>
          <w:rFonts w:ascii="Calibri" w:hAnsi="Calibri" w:eastAsia="Calibri" w:cs="Calibri"/>
          <w:color w:val="000000"/>
          <w:sz w:val="22"/>
          <w:szCs w:val="22"/>
        </w:rPr>
        <w:t xml:space="preserve"> specimens planted in a 4.6-m row the first year and 16 specimens per row for the second year reduced snap bean yield 36% and 55%, respectively.</w:t>
      </w:r>
    </w:p>
    <w:p>
      <w:pPr>
        <w:widowControl w:val="on"/>
        <w:pBdr/>
        <w:spacing w:before="220" w:after="220" w:line="240" w:lineRule="auto"/>
        <w:ind w:left="0" w:right="0"/>
        <w:jc w:val="both"/>
      </w:pPr>
      <w:r>
        <w:rPr>
          <w:rFonts w:ascii="Calibri" w:hAnsi="Calibri" w:eastAsia="Calibri" w:cs="Calibri"/>
          <w:color w:val="000000"/>
          <w:sz w:val="22"/>
          <w:szCs w:val="22"/>
        </w:rPr>
        <w:t xml:space="preserve">Whaley and Vangessel (2002) noted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was not a strong competitor with maize. At all sites (Delaware, USA), no significant differences or trends in maize yield were observed in field trials (untreated control vs. different herbicide control options).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demonstrated similar findings, although a trend of higher yields was observed in plots with herbicide treatments.</w:t>
      </w:r>
    </w:p>
    <w:p>
      <w:pPr>
        <w:widowControl w:val="on"/>
        <w:pBdr/>
        <w:spacing w:before="220" w:after="220" w:line="240" w:lineRule="auto"/>
        <w:ind w:left="0" w:right="0"/>
        <w:jc w:val="both"/>
      </w:pPr>
      <w:r>
        <w:rPr>
          <w:rFonts w:ascii="Calibri" w:hAnsi="Calibri" w:eastAsia="Calibri" w:cs="Calibri"/>
          <w:color w:val="000000"/>
          <w:sz w:val="22"/>
          <w:szCs w:val="22"/>
        </w:rPr>
        <w:t xml:space="preserve">A recent survey (2020) revealed that the species is the fourth most common and the second most troublesome weed (just after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in pastures, rangeland, or other hay production in the USA (Van Wychen, 2020). In pastures,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considered as a drought-resistant competitor and is presumed to reduce the yield and quality of forage crops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For example, population density of </w:t>
      </w:r>
      <w:r>
        <w:rPr>
          <w:rFonts w:ascii="Calibri" w:hAnsi="Calibri" w:eastAsia="Calibri" w:cs="Calibri"/>
          <w:i/>
          <w:iCs/>
          <w:color w:val="000000"/>
          <w:sz w:val="22"/>
          <w:szCs w:val="22"/>
        </w:rPr>
        <w:t xml:space="preserve">S&lt;. carolinense</w:t>
      </w:r>
      <w:r>
        <w:rPr>
          <w:rFonts w:ascii="Calibri" w:hAnsi="Calibri" w:eastAsia="Calibri" w:cs="Calibri"/>
          <w:color w:val="000000"/>
          <w:sz w:val="22"/>
          <w:szCs w:val="22"/>
        </w:rPr>
        <w:t xml:space="preserve"> on an experimental site averaged 86 stems in 10 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in a tall fescue dominated pasture (Richmond/USA; Tolson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Pasture weeds, such as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reduce desirable forage biomass through direct competition for resources or displacement of valuable forage species. However, specific data on forage yield losses are not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The potential economic impact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the EPPO region for farmers could be significant if the species spreads and establishes in further areas. The studies conducted in North America indicate the degree to which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may impact crop and forage yield. Thus, effective weed control is essential in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infested crops and pastures.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occurs already locally in crop (maize, soybean, oil-pumpkin) fields in the EPPO region (Austria: Follak, 2020; Italy: Selvaggi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Germany: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though extensive data on the area of distribution and infestation levels are not available.</w:t>
      </w:r>
    </w:p>
    <w:p>
      <w:pPr>
        <w:widowControl w:val="on"/>
        <w:pBdr/>
        <w:spacing w:before="220" w:after="220" w:line="240" w:lineRule="auto"/>
        <w:ind w:left="0" w:right="0"/>
        <w:jc w:val="both"/>
      </w:pPr>
      <w:r>
        <w:rPr>
          <w:rFonts w:ascii="Calibri" w:hAnsi="Calibri" w:eastAsia="Calibri" w:cs="Calibri"/>
          <w:color w:val="000000"/>
          <w:sz w:val="22"/>
          <w:szCs w:val="22"/>
        </w:rPr>
        <w:t xml:space="preserve">Specific studies on yield loss or additional operating costs are not accessible, with the exception of Todua (1975), who showed in Georgia (Abkhazia) that the yield of essential oil crops (</w:t>
      </w:r>
      <w:r>
        <w:rPr>
          <w:rFonts w:ascii="Calibri" w:hAnsi="Calibri" w:eastAsia="Calibri" w:cs="Calibri"/>
          <w:i/>
          <w:iCs/>
          <w:color w:val="000000"/>
          <w:sz w:val="22"/>
          <w:szCs w:val="22"/>
        </w:rPr>
        <w:t xml:space="preserve">Pelargonium roseum</w:t>
      </w:r>
      <w:r>
        <w:rPr>
          <w:rFonts w:ascii="Calibri" w:hAnsi="Calibri" w:eastAsia="Calibri" w:cs="Calibri"/>
          <w:color w:val="000000"/>
          <w:sz w:val="22"/>
          <w:szCs w:val="22"/>
        </w:rPr>
        <w:t xml:space="preserve"> Wild) was decreased with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 addition, the yield of tea (</w:t>
      </w:r>
      <w:r>
        <w:rPr>
          <w:rFonts w:ascii="Calibri" w:hAnsi="Calibri" w:eastAsia="Calibri" w:cs="Calibri"/>
          <w:i/>
          <w:iCs/>
          <w:color w:val="000000"/>
          <w:sz w:val="22"/>
          <w:szCs w:val="22"/>
        </w:rPr>
        <w:t xml:space="preserve">Camellia sinensis</w:t>
      </w:r>
      <w:r>
        <w:rPr>
          <w:rFonts w:ascii="Calibri" w:hAnsi="Calibri" w:eastAsia="Calibri" w:cs="Calibri"/>
          <w:color w:val="000000"/>
          <w:sz w:val="22"/>
          <w:szCs w:val="22"/>
        </w:rPr>
        <w:t xml:space="preserve">) in plantations was shown to decrease with the presence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and the quality of tea deteriorated.</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can be managed in crops and pastures in the same way as other weeds by herbicide use or mechanical measures. However, the control of the species by ploughing, cultivation and mowing is considered difficult because of its extensive root system and high capacity of regeneration. Moreover,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only moderately susceptible to several herbicides and multiple applications are required for adequate control (e.g. Armel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species will most likely show the same behaviour in the EPPO region. Therefore, additional weed management actions, such as specific herbicide programs (e.g. Whaley &amp; Vangessel, 2002) or multiple tillage passes, may be required and this could raise control costs.</w:t>
      </w:r>
    </w:p>
    <w:p>
      <w:pPr>
        <w:widowControl w:val="on"/>
        <w:pBdr/>
        <w:spacing w:before="0" w:after="0" w:line="240" w:lineRule="auto"/>
        <w:ind w:left="0" w:right="0"/>
        <w:jc w:val="both"/>
      </w:pPr>
      <w:r>
        <w:rPr>
          <w:rFonts w:ascii="Calibri" w:hAnsi="Calibri" w:eastAsia="Calibri" w:cs="Calibri"/>
          <w:i/>
          <w:iCs/>
          <w:color w:val="000000"/>
          <w:sz w:val="22"/>
          <w:szCs w:val="22"/>
        </w:rPr>
        <w:t xml:space="preserve">Solanum carolinens</w:t>
      </w:r>
      <w:r>
        <w:rPr>
          <w:rFonts w:ascii="Calibri" w:hAnsi="Calibri" w:eastAsia="Calibri" w:cs="Calibri"/>
          <w:color w:val="000000"/>
          <w:sz w:val="22"/>
          <w:szCs w:val="22"/>
        </w:rPr>
        <w:t xml:space="preserve">e is a host to many pests that can cause damage to a variety of crops. The species is a reservoir for pathogens, such as </w:t>
      </w:r>
      <w:r>
        <w:rPr>
          <w:rFonts w:ascii="Calibri" w:hAnsi="Calibri" w:eastAsia="Calibri" w:cs="Calibri"/>
          <w:i/>
          <w:iCs/>
          <w:color w:val="000000"/>
          <w:sz w:val="22"/>
          <w:szCs w:val="22"/>
        </w:rPr>
        <w:t xml:space="preserve">Alternaria solani</w:t>
      </w:r>
      <w:r>
        <w:rPr>
          <w:rFonts w:ascii="Calibri" w:hAnsi="Calibri" w:eastAsia="Calibri" w:cs="Calibri"/>
          <w:color w:val="000000"/>
          <w:sz w:val="22"/>
          <w:szCs w:val="22"/>
        </w:rPr>
        <w:t xml:space="preserve"> Sorauer, </w:t>
      </w:r>
      <w:r>
        <w:rPr>
          <w:rFonts w:ascii="Calibri" w:hAnsi="Calibri" w:eastAsia="Calibri" w:cs="Calibri"/>
          <w:i/>
          <w:iCs/>
          <w:color w:val="000000"/>
          <w:sz w:val="22"/>
          <w:szCs w:val="22"/>
        </w:rPr>
        <w:t xml:space="preserve">Septoria lycopersici</w:t>
      </w:r>
      <w:r>
        <w:rPr>
          <w:rFonts w:ascii="Calibri" w:hAnsi="Calibri" w:eastAsia="Calibri" w:cs="Calibri"/>
          <w:color w:val="000000"/>
          <w:sz w:val="22"/>
          <w:szCs w:val="22"/>
        </w:rPr>
        <w:t xml:space="preserve"> Speg., tobacco mosaic virus (TMV) and cucumber mosaic virus (CMV). Some of the important phytophagous insect pests include </w:t>
      </w:r>
      <w:r>
        <w:rPr>
          <w:rFonts w:ascii="Calibri" w:hAnsi="Calibri" w:eastAsia="Calibri" w:cs="Calibri"/>
          <w:i/>
          <w:iCs/>
          <w:color w:val="000000"/>
          <w:sz w:val="22"/>
          <w:szCs w:val="22"/>
        </w:rPr>
        <w:t xml:space="preserve">Leptinotarsa decemlineata</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Leptinotarsa juncta</w:t>
      </w:r>
      <w:r>
        <w:rPr>
          <w:rFonts w:ascii="Calibri" w:hAnsi="Calibri" w:eastAsia="Calibri" w:cs="Calibri"/>
          <w:color w:val="000000"/>
          <w:sz w:val="22"/>
          <w:szCs w:val="22"/>
        </w:rPr>
        <w:t xml:space="preserve"> (Germar), </w:t>
      </w:r>
      <w:r>
        <w:rPr>
          <w:rFonts w:ascii="Calibri" w:hAnsi="Calibri" w:eastAsia="Calibri" w:cs="Calibri"/>
          <w:i/>
          <w:iCs/>
          <w:color w:val="000000"/>
          <w:sz w:val="22"/>
          <w:szCs w:val="22"/>
        </w:rPr>
        <w:t xml:space="preserve">Gargaphia solani</w:t>
      </w:r>
      <w:r>
        <w:rPr>
          <w:rFonts w:ascii="Calibri" w:hAnsi="Calibri" w:eastAsia="Calibri" w:cs="Calibri"/>
          <w:color w:val="000000"/>
          <w:sz w:val="22"/>
          <w:szCs w:val="22"/>
        </w:rPr>
        <w:t xml:space="preserve"> (Heidemann), </w:t>
      </w:r>
      <w:r>
        <w:rPr>
          <w:rFonts w:ascii="Calibri" w:hAnsi="Calibri" w:eastAsia="Calibri" w:cs="Calibri"/>
          <w:i/>
          <w:iCs/>
          <w:color w:val="000000"/>
          <w:sz w:val="22"/>
          <w:szCs w:val="22"/>
        </w:rPr>
        <w:t xml:space="preserve">Trichobaris trinotata</w:t>
      </w:r>
      <w:r>
        <w:rPr>
          <w:rFonts w:ascii="Calibri" w:hAnsi="Calibri" w:eastAsia="Calibri" w:cs="Calibri"/>
          <w:color w:val="000000"/>
          <w:sz w:val="22"/>
          <w:szCs w:val="22"/>
        </w:rPr>
        <w:t xml:space="preserve"> (Say), </w:t>
      </w:r>
      <w:r>
        <w:rPr>
          <w:rFonts w:ascii="Calibri" w:hAnsi="Calibri" w:eastAsia="Calibri" w:cs="Calibri"/>
          <w:i/>
          <w:iCs/>
          <w:color w:val="000000"/>
          <w:sz w:val="22"/>
          <w:szCs w:val="22"/>
        </w:rPr>
        <w:t xml:space="preserve">Epitrix fuscula</w:t>
      </w:r>
      <w:r>
        <w:rPr>
          <w:rFonts w:ascii="Calibri" w:hAnsi="Calibri" w:eastAsia="Calibri" w:cs="Calibri"/>
          <w:color w:val="000000"/>
          <w:sz w:val="22"/>
          <w:szCs w:val="22"/>
        </w:rPr>
        <w:t xml:space="preserve"> (Crotch), </w:t>
      </w:r>
      <w:r>
        <w:rPr>
          <w:rFonts w:ascii="Calibri" w:hAnsi="Calibri" w:eastAsia="Calibri" w:cs="Calibri"/>
          <w:i/>
          <w:iCs/>
          <w:color w:val="000000"/>
          <w:sz w:val="22"/>
          <w:szCs w:val="22"/>
        </w:rPr>
        <w:t xml:space="preserve">Epitrix cucumeris </w:t>
      </w:r>
      <w:r>
        <w:rPr>
          <w:rFonts w:ascii="Calibri" w:hAnsi="Calibri" w:eastAsia="Calibri" w:cs="Calibri"/>
          <w:color w:val="000000"/>
          <w:sz w:val="22"/>
          <w:szCs w:val="22"/>
        </w:rPr>
        <w:t xml:space="preserve">(Harris), </w:t>
      </w:r>
      <w:r>
        <w:rPr>
          <w:rFonts w:ascii="Calibri" w:hAnsi="Calibri" w:eastAsia="Calibri" w:cs="Calibri"/>
          <w:i/>
          <w:iCs/>
          <w:color w:val="000000"/>
          <w:sz w:val="22"/>
          <w:szCs w:val="22"/>
        </w:rPr>
        <w:t xml:space="preserve">Manduca sexta</w:t>
      </w:r>
      <w:r>
        <w:rPr>
          <w:rFonts w:ascii="Calibri" w:hAnsi="Calibri" w:eastAsia="Calibri" w:cs="Calibri"/>
          <w:color w:val="000000"/>
          <w:sz w:val="22"/>
          <w:szCs w:val="22"/>
        </w:rPr>
        <w:t xml:space="preserve"> (Haworth), </w:t>
      </w:r>
      <w:r>
        <w:rPr>
          <w:rFonts w:ascii="Calibri" w:hAnsi="Calibri" w:eastAsia="Calibri" w:cs="Calibri"/>
          <w:i/>
          <w:iCs/>
          <w:color w:val="000000"/>
          <w:sz w:val="22"/>
          <w:szCs w:val="22"/>
        </w:rPr>
        <w:t xml:space="preserve">Zonosemata electa</w:t>
      </w:r>
      <w:r>
        <w:rPr>
          <w:rFonts w:ascii="Calibri" w:hAnsi="Calibri" w:eastAsia="Calibri" w:cs="Calibri"/>
          <w:color w:val="000000"/>
          <w:sz w:val="22"/>
          <w:szCs w:val="22"/>
        </w:rPr>
        <w:t xml:space="preserve"> (Say), and </w:t>
      </w:r>
      <w:r>
        <w:rPr>
          <w:rFonts w:ascii="Calibri" w:hAnsi="Calibri" w:eastAsia="Calibri" w:cs="Calibri"/>
          <w:i/>
          <w:iCs/>
          <w:color w:val="000000"/>
          <w:sz w:val="22"/>
          <w:szCs w:val="22"/>
        </w:rPr>
        <w:t xml:space="preserve">Phthorimaea operculella</w:t>
      </w:r>
      <w:r>
        <w:rPr>
          <w:rFonts w:ascii="Calibri" w:hAnsi="Calibri" w:eastAsia="Calibri" w:cs="Calibri"/>
          <w:color w:val="000000"/>
          <w:sz w:val="22"/>
          <w:szCs w:val="22"/>
        </w:rPr>
        <w:t xml:space="preserve"> (Bassett &amp; Munro,  1986; Nichols et al., 1992; Wahlert et al., 2015; Wise, 2018; Wise &amp; Sacchi, 1996).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br/>
        <w:t xml:space="preserve">Environmental and social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currently no studies available on the potential negative impact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on biodiversity. In general, for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most natural habitats of high conservation value have a low potential to be invaded, thus negative effects of this plant on biodiversity are considered of low importance. However, in South Korea,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invaded island ecosystems and the interior of natural forests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is considered toxic to live- stock (Bassett &amp; Munro, 1986). Fortunately, the species is not palatable and is not readily grazed unless animals are confined in overgrazed fields. The species contains glycoalkaloids, primarily asolasonine and asolamargine (Cipollini &amp; Levey, 1997). Glycoalkaloids may induce gastrointestinal and systemic effects, with potential neurotoxicity. Bassett and Munro (1986) presented a small amount of anecdotal data on intoxication of livestock.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 pro-active and integrated weed management strategy is required to effectively manage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It should be noted that in natural environments, management practices should be tailored to the habitat invaded. NPPOs should provide land managers, farmers and stakeholders with identification guides including information on preventive measures and control techniques.</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of the species is difficult, because of its extensive root system, its ability to grow from small root fragments and the number of seeds produced. It is most successful when multiple tactics are employed, such as the combination of preventive methods, chemical, mechanical, and cultural control techniques.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Mechanical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Frequent mowing is ineffective in the control of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(Gorrell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 In this respect, Ilnicki and Fertig (1962) demonstrated that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likely forms a rosette growth pattern and thus keeps the root system sufficiently supplied with carbohydrates when mowed frequently at very low heights. </w:t>
      </w:r>
    </w:p>
    <w:p>
      <w:pPr>
        <w:widowControl w:val="on"/>
        <w:pBdr/>
        <w:spacing w:before="220" w:after="220" w:line="240" w:lineRule="auto"/>
        <w:ind w:left="0" w:right="0"/>
        <w:jc w:val="both"/>
      </w:pPr>
      <w:r>
        <w:rPr>
          <w:rFonts w:ascii="Calibri" w:hAnsi="Calibri" w:eastAsia="Calibri" w:cs="Calibri"/>
          <w:color w:val="000000"/>
          <w:sz w:val="22"/>
          <w:szCs w:val="22"/>
        </w:rPr>
        <w:t xml:space="preserve">Deep tillage practices (ploughing) normally reduce perennial weed populations, because the underground root system (i.e. the development of below-ground storage organs) is disturbed. Tillage by ploughs, disks, or cultivators may increase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infestations by relocating root fragments to new areas of the crop field or by breaking the dormancy of adventitious buds, resulting in new shoot growth (Wehtje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Herbicides are the most common method of controlling the species in fields and pastures. Applications with certain mixtures and treatments of glyphosate, auxintype herbicides (e.g. dicamba, picloram, aminopyralid), sulfonylureas (primisulfuron, nicosulfuron) and trik- etones (mesotrione) are somewhat effective (e.g. Armel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Beeler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Klingenhagen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Prostko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Whaley &amp; Vangessel,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REGULATORY STATUS</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EPPO region,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included on the EPPO A2 list of pests recommended for regulation as a quarantine pest. In addition,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carolinense </w:t>
      </w:r>
      <w:r>
        <w:rPr>
          <w:rFonts w:ascii="Calibri" w:hAnsi="Calibri" w:eastAsia="Calibri" w:cs="Calibri"/>
          <w:color w:val="000000"/>
          <w:sz w:val="22"/>
          <w:szCs w:val="22"/>
        </w:rPr>
        <w:t xml:space="preserve">is ‘black- listed’ (banned from sale) in the Italian region of Piemonte (Piedmont) according to D.G.R. no. 46-5100 of 18 December 2012 and under monitoring in the network of protected areas (Natura, 2000).</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is listed under ‘Primary Noxious Weed Seeds’ under the Weed Seeds Order of the Seeds Act (</w:t>
      </w:r>
      <w:hyperlink r:id="rId82596ab96c59c4379" w:history="1">
        <w:r>
          <w:rPr>
            <w:rFonts w:ascii="Calibri" w:hAnsi="Calibri" w:eastAsia="Calibri" w:cs="Calibri"/>
            <w:color w:val="0000CC"/>
            <w:sz w:val="22"/>
            <w:szCs w:val="22"/>
            <w:u w:val="single"/>
          </w:rPr>
          <w:t xml:space="preserve">http://www.gazette.gc.ca/rp-pr/</w:t>
        </w:r>
      </w:hyperlink>
      <w:r>
        <w:rPr>
          <w:rFonts w:ascii="Calibri" w:hAnsi="Calibri" w:eastAsia="Calibri" w:cs="Calibri"/>
          <w:color w:val="000000"/>
          <w:sz w:val="22"/>
          <w:szCs w:val="22"/>
        </w:rPr>
        <w:t xml:space="preserve"> </w:t>
      </w:r>
      <w:hyperlink r:id="rId14486ab96c59c439f" w:history="1">
        <w:r>
          <w:rPr>
            <w:rFonts w:ascii="Calibri" w:hAnsi="Calibri" w:eastAsia="Calibri" w:cs="Calibri"/>
            <w:color w:val="0000CC"/>
            <w:sz w:val="22"/>
            <w:szCs w:val="22"/>
            <w:u w:val="single"/>
          </w:rPr>
          <w:t xml:space="preserve">p2/2016/2016-05-18/html/sor-dors93-eng.html</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w:t>
      </w:r>
      <w:r>
        <w:rPr>
          <w:rFonts w:ascii="Calibri" w:hAnsi="Calibri" w:eastAsia="Calibri" w:cs="Calibri"/>
          <w:i/>
          <w:iCs/>
          <w:color w:val="000000"/>
          <w:sz w:val="22"/>
          <w:szCs w:val="22"/>
        </w:rPr>
        <w:t xml:space="preserve">S . carolinense </w:t>
      </w:r>
      <w:r>
        <w:rPr>
          <w:rFonts w:ascii="Calibri" w:hAnsi="Calibri" w:eastAsia="Calibri" w:cs="Calibri"/>
          <w:color w:val="000000"/>
          <w:sz w:val="22"/>
          <w:szCs w:val="22"/>
        </w:rPr>
        <w:t xml:space="preserve"> is declared as a ‘noxious weed’ in Alaska, Michigan, Maryland, Iowa and Nevada (</w:t>
      </w:r>
      <w:hyperlink r:id="rId18106ab96c59c4411" w:history="1">
        <w:r>
          <w:rPr>
            <w:rFonts w:ascii="Calibri" w:hAnsi="Calibri" w:eastAsia="Calibri" w:cs="Calibri"/>
            <w:color w:val="0000CC"/>
            <w:sz w:val="22"/>
            <w:szCs w:val="22"/>
            <w:u w:val="single"/>
          </w:rPr>
          <w:t xml:space="preserve">https://</w:t>
        </w:r>
      </w:hyperlink>
      <w:r>
        <w:rPr>
          <w:rFonts w:ascii="Calibri" w:hAnsi="Calibri" w:eastAsia="Calibri" w:cs="Calibri"/>
          <w:color w:val="000000"/>
          <w:sz w:val="22"/>
          <w:szCs w:val="22"/>
        </w:rPr>
        <w:t xml:space="preserve"> </w:t>
      </w:r>
      <w:hyperlink r:id="rId86796ab96c59c4432" w:history="1">
        <w:r>
          <w:rPr>
            <w:rFonts w:ascii="Calibri" w:hAnsi="Calibri" w:eastAsia="Calibri" w:cs="Calibri"/>
            <w:color w:val="0000CC"/>
            <w:sz w:val="22"/>
            <w:szCs w:val="22"/>
            <w:u w:val="single"/>
          </w:rPr>
          <w:t xml:space="preserve">www.invasive.org/browse/subinfo.cfm?sub=6440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In New Zealand,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has the status of a ‘Quarantine pest’ (Official New Zealand Pest Register: </w:t>
      </w:r>
      <w:hyperlink r:id="rId72606ab96c59c4492" w:history="1">
        <w:r>
          <w:rPr>
            <w:rFonts w:ascii="Calibri" w:hAnsi="Calibri" w:eastAsia="Calibri" w:cs="Calibri"/>
            <w:color w:val="0000CC"/>
            <w:sz w:val="22"/>
            <w:szCs w:val="22"/>
            <w:u w:val="single"/>
          </w:rPr>
          <w:t xml:space="preserve">https://pierpestregister.mpi.govt.nz/PestsRegister/Impor</w:t>
        </w:r>
      </w:hyperlink>
      <w:r>
        <w:rPr>
          <w:rFonts w:ascii="Calibri" w:hAnsi="Calibri" w:eastAsia="Calibri" w:cs="Calibri"/>
          <w:color w:val="000000"/>
          <w:sz w:val="22"/>
          <w:szCs w:val="22"/>
        </w:rPr>
        <w:t xml:space="preserve"> </w:t>
      </w:r>
      <w:hyperlink r:id="rId68266ab96c59c44b2" w:history="1">
        <w:r>
          <w:rPr>
            <w:rFonts w:ascii="Calibri" w:hAnsi="Calibri" w:eastAsia="Calibri" w:cs="Calibri"/>
            <w:color w:val="0000CC"/>
            <w:sz w:val="22"/>
            <w:szCs w:val="22"/>
            <w:u w:val="single"/>
          </w:rPr>
          <w:t xml:space="preserve">tCommodity/</w:t>
        </w:r>
      </w:hyperlink>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(2022) recommends phytosanitary measures for grains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Triticum aestivum</w:t>
      </w:r>
      <w:r>
        <w:rPr>
          <w:rFonts w:ascii="Calibri" w:hAnsi="Calibri" w:eastAsia="Calibri" w:cs="Calibri"/>
          <w:color w:val="000000"/>
          <w:sz w:val="22"/>
          <w:szCs w:val="22"/>
        </w:rPr>
        <w:t xml:space="preserve">. Grains should be produced in a pest-free area (PFA) for&amp;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or produced in a Pest free production site (PFPS) or Pest free place of production (PFPP) for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coupled with sorting of the consignment, or grain should be sampled according to ISPM 31 and inspected, and the grain lot found free from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or the grain should be devitalized according to an appropriate method. Certified seed of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should be used.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Anonymous (1896) Two hundred weeds: How to know them and how to kill them. Yearbook of the United States Department of Agriculture 1895, pp. 592–611. Washington DC, Government Printing Office, </w:t>
      </w:r>
      <w:hyperlink r:id="rId17396ab96c59c4651" w:history="1">
        <w:r>
          <w:rPr>
            <w:rFonts w:ascii="Calibri" w:hAnsi="Calibri" w:eastAsia="Calibri" w:cs="Calibri"/>
            <w:color w:val="0000CC"/>
            <w:sz w:val="22"/>
            <w:szCs w:val="22"/>
            <w:u w:val="single"/>
          </w:rPr>
          <w:t xml:space="preserve">https://wssa.net/wp-content/uploads/antique/</w:t>
        </w:r>
      </w:hyperlink>
      <w:r>
        <w:rPr>
          <w:rFonts w:ascii="Calibri" w:hAnsi="Calibri" w:eastAsia="Calibri" w:cs="Calibri"/>
          <w:color w:val="000000"/>
          <w:sz w:val="22"/>
          <w:szCs w:val="22"/>
        </w:rPr>
        <w:t xml:space="preserve"> </w:t>
      </w:r>
      <w:hyperlink r:id="rId87536ab96c59c4672" w:history="1">
        <w:r>
          <w:rPr>
            <w:rFonts w:ascii="Calibri" w:hAnsi="Calibri" w:eastAsia="Calibri" w:cs="Calibri"/>
            <w:color w:val="0000CC"/>
            <w:sz w:val="22"/>
            <w:szCs w:val="22"/>
            <w:u w:val="single"/>
          </w:rPr>
          <w:t xml:space="preserve">USDA%20yearbook%201895.pdf</w:t>
        </w:r>
      </w:hyperlink>
      <w:r>
        <w:rPr>
          <w:rFonts w:ascii="Calibri" w:hAnsi="Calibri" w:eastAsia="Calibri" w:cs="Calibri"/>
          <w:color w:val="000000"/>
          <w:sz w:val="22"/>
          <w:szCs w:val="22"/>
        </w:rPr>
        <w:t xml:space="preserve"> (accessed 25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Armel GR, Wilson HP, Richardson RJ, Hines TE (2003) Mesotrione combinations for postemergence control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65–72.</w:t>
      </w:r>
    </w:p>
    <w:p>
      <w:pPr>
        <w:widowControl w:val="on"/>
        <w:pBdr/>
        <w:spacing w:before="220" w:after="220" w:line="240" w:lineRule="auto"/>
        <w:ind w:left="0" w:right="0"/>
        <w:jc w:val="left"/>
      </w:pPr>
      <w:r>
        <w:rPr>
          <w:rFonts w:ascii="Calibri" w:hAnsi="Calibri" w:eastAsia="Calibri" w:cs="Calibri"/>
          <w:color w:val="000000"/>
          <w:sz w:val="22"/>
          <w:szCs w:val="22"/>
        </w:rPr>
        <w:t xml:space="preserve">Asai M, Kurokawa S, Shimizu N, Enomoto T (2007) Hay imported into Japan in 1995 contained exotic weeds. </w:t>
      </w:r>
      <w:r>
        <w:rPr>
          <w:rFonts w:ascii="Calibri" w:hAnsi="Calibri" w:eastAsia="Calibri" w:cs="Calibri"/>
          <w:i/>
          <w:iCs/>
          <w:color w:val="000000"/>
          <w:sz w:val="22"/>
          <w:szCs w:val="22"/>
        </w:rPr>
        <w:t xml:space="preserve">Journal of Weed</w:t>
      </w:r>
      <w:r>
        <w:rPr>
          <w:rFonts w:ascii="Calibri" w:hAnsi="Calibri" w:eastAsia="Calibri" w:cs="Calibri"/>
          <w:i/>
          <w:iCs/>
          <w:color w:val="000000"/>
          <w:sz w:val="22"/>
          <w:szCs w:val="22"/>
        </w:rPr>
        <w:t xml:space="preserve"> Science and Technology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Barberis G, Nepi C, Peccenini S, Peruzzi L (eds.) (2014) Notulae alla flora esotica d'Italia: 10 (202-226) -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In: </w:t>
      </w:r>
      <w:r>
        <w:rPr>
          <w:rFonts w:ascii="Calibri" w:hAnsi="Calibri" w:eastAsia="Calibri" w:cs="Calibri"/>
          <w:i/>
          <w:iCs/>
          <w:color w:val="000000"/>
          <w:sz w:val="22"/>
          <w:szCs w:val="22"/>
        </w:rPr>
        <w:t xml:space="preserve">Notulae alla checklist della Flora vascolare Italiana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17 </w:t>
      </w:r>
      <w:r>
        <w:rPr>
          <w:rFonts w:ascii="Calibri" w:hAnsi="Calibri" w:eastAsia="Calibri" w:cs="Calibri"/>
          <w:color w:val="000000"/>
          <w:sz w:val="22"/>
          <w:szCs w:val="22"/>
        </w:rPr>
        <w:t xml:space="preserve">(2027–2070).</w:t>
      </w:r>
    </w:p>
    <w:p>
      <w:pPr>
        <w:widowControl w:val="on"/>
        <w:pBdr/>
        <w:spacing w:before="220" w:after="220" w:line="240" w:lineRule="auto"/>
        <w:ind w:left="0" w:right="0"/>
        <w:jc w:val="left"/>
      </w:pPr>
      <w:r>
        <w:rPr>
          <w:rFonts w:ascii="Calibri" w:hAnsi="Calibri" w:eastAsia="Calibri" w:cs="Calibri"/>
          <w:color w:val="000000"/>
          <w:sz w:val="22"/>
          <w:szCs w:val="22"/>
        </w:rPr>
        <w:t xml:space="preserve">Bassett IJ, Munro DB (1986) The biology of Canadian weeds 78.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L. and </w:t>
      </w:r>
      <w:r>
        <w:rPr>
          <w:rFonts w:ascii="Calibri" w:hAnsi="Calibri" w:eastAsia="Calibri" w:cs="Calibri"/>
          <w:i/>
          <w:iCs/>
          <w:color w:val="000000"/>
          <w:sz w:val="22"/>
          <w:szCs w:val="22"/>
        </w:rPr>
        <w:t xml:space="preserve">Solanum rostratum </w:t>
      </w:r>
      <w:r>
        <w:rPr>
          <w:rFonts w:ascii="Calibri" w:hAnsi="Calibri" w:eastAsia="Calibri" w:cs="Calibri"/>
          <w:color w:val="000000"/>
          <w:sz w:val="22"/>
          <w:szCs w:val="22"/>
        </w:rPr>
        <w:t xml:space="preserve">Dunal. </w:t>
      </w:r>
      <w:r>
        <w:rPr>
          <w:rFonts w:ascii="Calibri" w:hAnsi="Calibri" w:eastAsia="Calibri" w:cs="Calibri"/>
          <w:i/>
          <w:iCs/>
          <w:color w:val="000000"/>
          <w:sz w:val="22"/>
          <w:szCs w:val="22"/>
        </w:rPr>
        <w:t xml:space="preserve">Canadian</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Journal of Plant Science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977–991.</w:t>
      </w:r>
    </w:p>
    <w:p>
      <w:pPr>
        <w:widowControl w:val="on"/>
        <w:pBdr/>
        <w:spacing w:before="220" w:after="220" w:line="240" w:lineRule="auto"/>
        <w:ind w:left="0" w:right="0"/>
        <w:jc w:val="left"/>
      </w:pPr>
      <w:r>
        <w:rPr>
          <w:rFonts w:ascii="Calibri" w:hAnsi="Calibri" w:eastAsia="Calibri" w:cs="Calibri"/>
          <w:color w:val="000000"/>
          <w:sz w:val="22"/>
          <w:szCs w:val="22"/>
        </w:rPr>
        <w:t xml:space="preserve">Beeler JE, Rhodes GN, Bates GE, Main CL, Mueller TC (2004)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control in tall fescue (</w:t>
      </w:r>
      <w:r>
        <w:rPr>
          <w:rFonts w:ascii="Calibri" w:hAnsi="Calibri" w:eastAsia="Calibri" w:cs="Calibri"/>
          <w:i/>
          <w:iCs/>
          <w:color w:val="000000"/>
          <w:sz w:val="22"/>
          <w:szCs w:val="22"/>
        </w:rPr>
        <w:t xml:space="preserve">Festuca</w:t>
      </w:r>
      <w:r>
        <w:rPr>
          <w:rFonts w:ascii="Calibri" w:hAnsi="Calibri" w:eastAsia="Calibri" w:cs="Calibri"/>
          <w:i/>
          <w:iCs/>
          <w:color w:val="000000"/>
          <w:sz w:val="22"/>
          <w:szCs w:val="22"/>
        </w:rPr>
        <w:t xml:space="preserve"> arundinacea</w:t>
      </w:r>
      <w:r>
        <w:rPr>
          <w:rFonts w:ascii="Calibri" w:hAnsi="Calibri" w:eastAsia="Calibri" w:cs="Calibri"/>
          <w:color w:val="000000"/>
          <w:sz w:val="22"/>
          <w:szCs w:val="22"/>
        </w:rPr>
        <w:t xml:space="preserve">) and clover (</w:t>
      </w:r>
      <w:r>
        <w:rPr>
          <w:rFonts w:ascii="Calibri" w:hAnsi="Calibri" w:eastAsia="Calibri" w:cs="Calibri"/>
          <w:i/>
          <w:iCs/>
          <w:color w:val="000000"/>
          <w:sz w:val="22"/>
          <w:szCs w:val="22"/>
        </w:rPr>
        <w:t xml:space="preserve">Trifolium </w:t>
      </w:r>
      <w:r>
        <w:rPr>
          <w:rFonts w:ascii="Calibri" w:hAnsi="Calibri" w:eastAsia="Calibri" w:cs="Calibri"/>
          <w:color w:val="000000"/>
          <w:sz w:val="22"/>
          <w:szCs w:val="22"/>
        </w:rPr>
        <w:t xml:space="preserve">sp.) pastures with mixtures of 2,4-D and picloram. </w:t>
      </w:r>
      <w:r>
        <w:rPr>
          <w:rFonts w:ascii="Calibri" w:hAnsi="Calibri" w:eastAsia="Calibri" w:cs="Calibri"/>
          <w:i/>
          <w:iCs/>
          <w:color w:val="000000"/>
          <w:sz w:val="22"/>
          <w:szCs w:val="22"/>
        </w:rPr>
        <w:t xml:space="preserve">W</w:t>
      </w:r>
      <w:r>
        <w:rPr>
          <w:rFonts w:ascii="Calibri" w:hAnsi="Calibri" w:eastAsia="Calibri" w:cs="Calibri"/>
          <w:i/>
          <w:iCs/>
          <w:color w:val="000000"/>
          <w:sz w:val="22"/>
          <w:szCs w:val="22"/>
        </w:rPr>
        <w:t xml:space="preserve">eed Technology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1091–1095.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EO, Porter RH (1942) The viability and germination of seeds of </w:t>
      </w:r>
      <w:r>
        <w:rPr>
          <w:rFonts w:ascii="Calibri" w:hAnsi="Calibri" w:eastAsia="Calibri" w:cs="Calibri"/>
          <w:i/>
          <w:iCs/>
          <w:color w:val="000000"/>
          <w:sz w:val="22"/>
          <w:szCs w:val="22"/>
        </w:rPr>
        <w:t xml:space="preserve">Convolvulus arvensis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 and other perennial weeds. </w:t>
      </w:r>
      <w:r>
        <w:rPr>
          <w:rFonts w:ascii="Calibri" w:hAnsi="Calibri" w:eastAsia="Calibri" w:cs="Calibri"/>
          <w:i/>
          <w:iCs/>
          <w:color w:val="000000"/>
          <w:sz w:val="22"/>
          <w:szCs w:val="22"/>
        </w:rPr>
        <w:t xml:space="preserve">Iowa Agricultural Experiment Station Research Bulletin </w:t>
      </w:r>
      <w:r>
        <w:rPr>
          <w:rFonts w:ascii="Calibri" w:hAnsi="Calibri" w:eastAsia="Calibri" w:cs="Calibri"/>
          <w:b/>
          <w:bCs/>
          <w:color w:val="000000"/>
          <w:sz w:val="22"/>
          <w:szCs w:val="22"/>
        </w:rPr>
        <w:t xml:space="preserve">294</w:t>
      </w:r>
      <w:r>
        <w:rPr>
          <w:rFonts w:ascii="Calibri" w:hAnsi="Calibri" w:eastAsia="Calibri" w:cs="Calibri"/>
          <w:color w:val="000000"/>
          <w:sz w:val="22"/>
          <w:szCs w:val="22"/>
        </w:rPr>
        <w:t xml:space="preserve">, 475–504.</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(2021) Datasheet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(horsenettle). Invasive Species Compendium. </w:t>
      </w:r>
      <w:hyperlink r:id="rId14176ab96c59c4a89" w:history="1">
        <w:r>
          <w:rPr>
            <w:rFonts w:ascii="Calibri" w:hAnsi="Calibri" w:eastAsia="Calibri" w:cs="Calibri"/>
            <w:color w:val="0000CC"/>
            <w:sz w:val="22"/>
            <w:szCs w:val="22"/>
            <w:u w:val="single"/>
          </w:rPr>
          <w:t xml:space="preserve">https://www.cabi.org/isc/datasheet/50510</w:t>
        </w:r>
      </w:hyperlink>
      <w:r>
        <w:rPr>
          <w:rFonts w:ascii="Calibri" w:hAnsi="Calibri" w:eastAsia="Calibri" w:cs="Calibri"/>
          <w:color w:val="000000"/>
          <w:sz w:val="22"/>
          <w:szCs w:val="22"/>
        </w:rPr>
        <w:t xml:space="preserve">. Accessed 30 November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Costea M (1996) The recording of some new adventive taxa for Romania in the harbour Constanţa. </w:t>
      </w:r>
      <w:r>
        <w:rPr>
          <w:rFonts w:ascii="Calibri" w:hAnsi="Calibri" w:eastAsia="Calibri" w:cs="Calibri"/>
          <w:i/>
          <w:iCs/>
          <w:color w:val="000000"/>
          <w:sz w:val="22"/>
          <w:szCs w:val="22"/>
        </w:rPr>
        <w:t xml:space="preserve">Revue Roumaine de Biologie</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91–96.</w:t>
      </w:r>
    </w:p>
    <w:p>
      <w:pPr>
        <w:widowControl w:val="on"/>
        <w:pBdr/>
        <w:spacing w:before="220" w:after="220" w:line="240" w:lineRule="auto"/>
        <w:ind w:left="0" w:right="0"/>
        <w:jc w:val="left"/>
      </w:pPr>
      <w:r>
        <w:rPr>
          <w:rFonts w:ascii="Calibri" w:hAnsi="Calibri" w:eastAsia="Calibri" w:cs="Calibri"/>
          <w:color w:val="000000"/>
          <w:sz w:val="22"/>
          <w:szCs w:val="22"/>
        </w:rPr>
        <w:t xml:space="preserve">Dirkse GM, Holverda WJ, Hochstenbach SMH, Reijerse AI (2007)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L. en </w:t>
      </w:r>
      <w:r>
        <w:rPr>
          <w:rFonts w:ascii="Calibri" w:hAnsi="Calibri" w:eastAsia="Calibri" w:cs="Calibri"/>
          <w:i/>
          <w:iCs/>
          <w:color w:val="000000"/>
          <w:sz w:val="22"/>
          <w:szCs w:val="22"/>
        </w:rPr>
        <w:t xml:space="preserve">Pimpinella peregrina </w:t>
      </w:r>
      <w:r>
        <w:rPr>
          <w:rFonts w:ascii="Calibri" w:hAnsi="Calibri" w:eastAsia="Calibri" w:cs="Calibri"/>
          <w:color w:val="000000"/>
          <w:sz w:val="22"/>
          <w:szCs w:val="22"/>
        </w:rPr>
        <w:t xml:space="preserve">L. in Nederland. </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rteria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21–27.</w:t>
      </w:r>
    </w:p>
    <w:p>
      <w:pPr>
        <w:widowControl w:val="on"/>
        <w:pBdr/>
        <w:spacing w:before="220" w:after="220" w:line="240" w:lineRule="auto"/>
        <w:ind w:left="0" w:right="0"/>
        <w:jc w:val="left"/>
      </w:pPr>
      <w:r>
        <w:rPr>
          <w:rFonts w:ascii="Calibri" w:hAnsi="Calibri" w:eastAsia="Calibri" w:cs="Calibri"/>
          <w:color w:val="000000"/>
          <w:sz w:val="22"/>
          <w:szCs w:val="22"/>
        </w:rPr>
        <w:t xml:space="preserve">FLORON Verspreidingsatlas Vaatplanten (2021)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L. </w:t>
      </w:r>
      <w:hyperlink r:id="rId91696ab96c59c4c41" w:history="1">
        <w:r>
          <w:rPr>
            <w:rFonts w:ascii="Calibri" w:hAnsi="Calibri" w:eastAsia="Calibri" w:cs="Calibri"/>
            <w:color w:val="0000CC"/>
            <w:sz w:val="22"/>
            <w:szCs w:val="22"/>
            <w:u w:val="single"/>
          </w:rPr>
          <w:t xml:space="preserve">https://www.verspreidingsatlas.nl/5540#</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Follak S (2020) Distribution and small-scale spread of the invasive weed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in Austria.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322–326.</w:t>
      </w:r>
    </w:p>
    <w:p>
      <w:pPr>
        <w:widowControl w:val="on"/>
        <w:pBdr/>
        <w:spacing w:before="220" w:after="220" w:line="240" w:lineRule="auto"/>
        <w:ind w:left="0" w:right="0"/>
        <w:jc w:val="left"/>
      </w:pPr>
      <w:r>
        <w:rPr>
          <w:rFonts w:ascii="Calibri" w:hAnsi="Calibri" w:eastAsia="Calibri" w:cs="Calibri"/>
          <w:color w:val="000000"/>
          <w:sz w:val="22"/>
          <w:szCs w:val="22"/>
        </w:rPr>
        <w:t xml:space="preserve">Frank JR (1990) Influence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on snapbean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220–223.</w:t>
      </w:r>
    </w:p>
    <w:p>
      <w:pPr>
        <w:widowControl w:val="on"/>
        <w:pBdr/>
        <w:spacing w:before="220" w:after="220" w:line="240" w:lineRule="auto"/>
        <w:ind w:left="0" w:right="0"/>
        <w:jc w:val="left"/>
      </w:pPr>
      <w:r>
        <w:rPr>
          <w:rFonts w:ascii="Calibri" w:hAnsi="Calibri" w:eastAsia="Calibri" w:cs="Calibri"/>
          <w:color w:val="000000"/>
          <w:sz w:val="22"/>
          <w:szCs w:val="22"/>
        </w:rPr>
        <w:t xml:space="preserve">GBIF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Global Biodiversity Information Facility. </w:t>
      </w:r>
      <w:hyperlink r:id="rId70876ab96c59c4da4" w:history="1">
        <w:r>
          <w:rPr>
            <w:rFonts w:ascii="Calibri" w:hAnsi="Calibri" w:eastAsia="Calibri" w:cs="Calibri"/>
            <w:color w:val="0000CC"/>
            <w:sz w:val="22"/>
            <w:szCs w:val="22"/>
            <w:u w:val="single"/>
          </w:rPr>
          <w:t xml:space="preserve">https://www.gbif.org/species/2932011</w:t>
        </w:r>
      </w:hyperlink>
      <w:r>
        <w:rPr>
          <w:rFonts w:ascii="Calibri" w:hAnsi="Calibri" w:eastAsia="Calibri" w:cs="Calibri"/>
          <w:color w:val="000000"/>
          <w:sz w:val="22"/>
          <w:szCs w:val="22"/>
        </w:rPr>
        <w:t xml:space="preserve">. Accessed 27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Gorrell RM, Bingham SW, Foy CL (1981) Control of horsenettle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w:t>
      </w:r>
      <w:r>
        <w:rPr>
          <w:rFonts w:ascii="Calibri" w:hAnsi="Calibri" w:eastAsia="Calibri" w:cs="Calibri"/>
          <w:color w:val="000000"/>
          <w:sz w:val="22"/>
          <w:szCs w:val="22"/>
        </w:rPr>
        <w:t xml:space="preserve">e) fleshy roots in pastures. </w:t>
      </w:r>
      <w:r>
        <w:rPr>
          <w:rFonts w:ascii="Calibri" w:hAnsi="Calibri" w:eastAsia="Calibri" w:cs="Calibri"/>
          <w:i/>
          <w:iCs/>
          <w:color w:val="000000"/>
          <w:sz w:val="22"/>
          <w:szCs w:val="22"/>
        </w:rPr>
        <w:t xml:space="preserve">Weed Science</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586–589.</w:t>
      </w:r>
    </w:p>
    <w:p>
      <w:pPr>
        <w:widowControl w:val="on"/>
        <w:pBdr/>
        <w:spacing w:before="220" w:after="220" w:line="240" w:lineRule="auto"/>
        <w:ind w:left="0" w:right="0"/>
        <w:jc w:val="left"/>
      </w:pPr>
      <w:r>
        <w:rPr>
          <w:rFonts w:ascii="Calibri" w:hAnsi="Calibri" w:eastAsia="Calibri" w:cs="Calibri"/>
          <w:color w:val="000000"/>
          <w:sz w:val="22"/>
          <w:szCs w:val="22"/>
        </w:rPr>
        <w:t xml:space="preserve">Hackett NM, Murray DS, Weeks DL (1987) Interference of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with peanuts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w:t>
      </w:r>
      <w:r>
        <w:rPr>
          <w:rFonts w:ascii="Calibri" w:hAnsi="Calibri" w:eastAsia="Calibri" w:cs="Calibri"/>
          <w:i/>
          <w:iCs/>
          <w:color w:val="000000"/>
          <w:sz w:val="22"/>
          <w:szCs w:val="22"/>
        </w:rPr>
        <w:t xml:space="preserve">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780–784.</w:t>
      </w:r>
    </w:p>
    <w:p>
      <w:pPr>
        <w:widowControl w:val="on"/>
        <w:pBdr/>
        <w:spacing w:before="220" w:after="220" w:line="240" w:lineRule="auto"/>
        <w:ind w:left="0" w:right="0"/>
        <w:jc w:val="left"/>
      </w:pPr>
      <w:r>
        <w:rPr>
          <w:rFonts w:ascii="Calibri" w:hAnsi="Calibri" w:eastAsia="Calibri" w:cs="Calibri"/>
          <w:color w:val="000000"/>
          <w:sz w:val="22"/>
          <w:szCs w:val="22"/>
        </w:rPr>
        <w:t xml:space="preserve">Hakes AS, Halpern S, Underwood N (2018) Insect herbivores increase the spatial aggregation of a clonal plant. </w:t>
      </w:r>
      <w:r>
        <w:rPr>
          <w:rFonts w:ascii="Calibri" w:hAnsi="Calibri" w:eastAsia="Calibri" w:cs="Calibri"/>
          <w:i/>
          <w:iCs/>
          <w:color w:val="000000"/>
          <w:sz w:val="22"/>
          <w:szCs w:val="22"/>
        </w:rPr>
        <w:t xml:space="preserve">International Journal of</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P</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n</w:t>
      </w:r>
      <w:r>
        <w:rPr>
          <w:rFonts w:ascii="Calibri" w:hAnsi="Calibri" w:eastAsia="Calibri" w:cs="Calibri"/>
          <w:i/>
          <w:iCs/>
          <w:color w:val="000000"/>
          <w:sz w:val="22"/>
          <w:szCs w:val="22"/>
        </w:rPr>
        <w:t xml:space="preserve">t Sciences </w:t>
      </w:r>
      <w:r>
        <w:rPr>
          <w:rFonts w:ascii="Calibri" w:hAnsi="Calibri" w:eastAsia="Calibri" w:cs="Calibri"/>
          <w:b/>
          <w:bCs/>
          <w:color w:val="000000"/>
          <w:sz w:val="22"/>
          <w:szCs w:val="22"/>
        </w:rPr>
        <w:t xml:space="preserve">179</w:t>
      </w:r>
      <w:r>
        <w:rPr>
          <w:rFonts w:ascii="Calibri" w:hAnsi="Calibri" w:eastAsia="Calibri" w:cs="Calibri"/>
          <w:color w:val="000000"/>
          <w:sz w:val="22"/>
          <w:szCs w:val="22"/>
        </w:rPr>
        <w:t xml:space="preserve">, 209–216.</w:t>
      </w:r>
    </w:p>
    <w:p>
      <w:pPr>
        <w:widowControl w:val="on"/>
        <w:pBdr/>
        <w:spacing w:before="220" w:after="220" w:line="240" w:lineRule="auto"/>
        <w:ind w:left="0" w:right="0"/>
        <w:jc w:val="left"/>
      </w:pPr>
      <w:r>
        <w:rPr>
          <w:rFonts w:ascii="Calibri" w:hAnsi="Calibri" w:eastAsia="Calibri" w:cs="Calibri"/>
          <w:color w:val="000000"/>
          <w:sz w:val="22"/>
          <w:szCs w:val="22"/>
        </w:rPr>
        <w:t xml:space="preserve">Hardin JW, Doebksen G, Herndon D, Hobson M, Thomas F (1972) Pollination ecology and floral biology of four weedy genera in Southern Oklahoma. </w:t>
      </w:r>
      <w:r>
        <w:rPr>
          <w:rFonts w:ascii="Calibri" w:hAnsi="Calibri" w:eastAsia="Calibri" w:cs="Calibri"/>
          <w:i/>
          <w:iCs/>
          <w:color w:val="000000"/>
          <w:sz w:val="22"/>
          <w:szCs w:val="22"/>
        </w:rPr>
        <w:t xml:space="preserve">The Southwestern Naturalist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403–412.</w:t>
      </w:r>
    </w:p>
    <w:p>
      <w:pPr>
        <w:widowControl w:val="on"/>
        <w:pBdr/>
        <w:spacing w:before="220" w:after="220" w:line="240" w:lineRule="auto"/>
        <w:ind w:left="0" w:right="0"/>
        <w:jc w:val="left"/>
      </w:pPr>
      <w:r>
        <w:rPr>
          <w:rFonts w:ascii="Calibri" w:hAnsi="Calibri" w:eastAsia="Calibri" w:cs="Calibri"/>
          <w:color w:val="000000"/>
          <w:sz w:val="22"/>
          <w:szCs w:val="22"/>
        </w:rPr>
        <w:t xml:space="preserve">Hohla M, Zahlheimer W (2018)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neu in Bayern. In: </w:t>
      </w:r>
      <w:r>
        <w:rPr>
          <w:rFonts w:ascii="Calibri" w:hAnsi="Calibri" w:eastAsia="Calibri" w:cs="Calibri"/>
          <w:i/>
          <w:iCs/>
          <w:color w:val="000000"/>
          <w:sz w:val="22"/>
          <w:szCs w:val="22"/>
        </w:rPr>
        <w:t xml:space="preserve">Floristische Kurzmitteilungen. Berichte der Bayerischen Botanischen Gesellschaft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143–166.</w:t>
      </w:r>
    </w:p>
    <w:p>
      <w:pPr>
        <w:widowControl w:val="on"/>
        <w:pBdr/>
        <w:spacing w:before="220" w:after="220" w:line="240" w:lineRule="auto"/>
        <w:ind w:left="0" w:right="0"/>
        <w:jc w:val="left"/>
      </w:pPr>
      <w:r>
        <w:rPr>
          <w:rFonts w:ascii="Calibri" w:hAnsi="Calibri" w:eastAsia="Calibri" w:cs="Calibri"/>
          <w:color w:val="000000"/>
          <w:sz w:val="22"/>
          <w:szCs w:val="22"/>
        </w:rPr>
        <w:t xml:space="preserve">Ikeda M, Nishi T, Asai M, Muranaka T, Konuma A, Tominaga T, Shimono Y (2022) The role of weed seed contamination in grain commodities as propagule pressure. </w:t>
      </w:r>
      <w:r>
        <w:rPr>
          <w:rFonts w:ascii="Calibri" w:hAnsi="Calibri" w:eastAsia="Calibri" w:cs="Calibri"/>
          <w:i/>
          <w:iCs/>
          <w:color w:val="000000"/>
          <w:sz w:val="22"/>
          <w:szCs w:val="22"/>
        </w:rPr>
        <w:t xml:space="preserve">Biological Invasions. </w:t>
      </w:r>
      <w:hyperlink r:id="rId96336ab96c59c50e1" w:history="1">
        <w:r>
          <w:rPr>
            <w:rFonts w:ascii="Calibri" w:hAnsi="Calibri" w:eastAsia="Calibri" w:cs="Calibri"/>
            <w:color w:val="0000CC"/>
            <w:sz w:val="22"/>
            <w:szCs w:val="22"/>
            <w:u w:val="single"/>
          </w:rPr>
          <w:t xml:space="preserve">https://doi.org/10.1007/s10530-022-02741-6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Ilnicki, RD, Fertig SN (1962) Life History Studies as Related to Weed Control in the Northeast. 3. Horse Nettle. Bulletin 368. Kingston: University of Rhode Island, Agricultural Experiment Station.</w:t>
      </w:r>
    </w:p>
    <w:p>
      <w:pPr>
        <w:widowControl w:val="on"/>
        <w:pBdr/>
        <w:spacing w:before="220" w:after="220" w:line="240" w:lineRule="auto"/>
        <w:ind w:left="0" w:right="0"/>
        <w:jc w:val="left"/>
      </w:pPr>
      <w:r>
        <w:rPr>
          <w:rFonts w:ascii="Calibri" w:hAnsi="Calibri" w:eastAsia="Calibri" w:cs="Calibri"/>
          <w:color w:val="000000"/>
          <w:sz w:val="22"/>
          <w:szCs w:val="22"/>
        </w:rPr>
        <w:t xml:space="preserve">Imaizumi T, Kurokawa S, Ito M, Auld B, Wang GX (2006) Population structure of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along the Takano River in Kyoto, Japan as determined by amplified fragment length poly- morphism analysis. </w:t>
      </w:r>
      <w:r>
        <w:rPr>
          <w:rFonts w:ascii="Calibri" w:hAnsi="Calibri" w:eastAsia="Calibri" w:cs="Calibri"/>
          <w:i/>
          <w:iCs/>
          <w:color w:val="000000"/>
          <w:sz w:val="22"/>
          <w:szCs w:val="22"/>
        </w:rPr>
        <w:t xml:space="preserve">Weed Research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Jehlik V (1989) Zweiter Beitrag zur synanthropen (besonders Adventiv-)Flora des Hamburger Hafens. </w:t>
      </w:r>
      <w:r>
        <w:rPr>
          <w:rFonts w:ascii="Calibri" w:hAnsi="Calibri" w:eastAsia="Calibri" w:cs="Calibri"/>
          <w:i/>
          <w:iCs/>
          <w:color w:val="000000"/>
          <w:sz w:val="22"/>
          <w:szCs w:val="22"/>
        </w:rPr>
        <w:t xml:space="preserve">Tuexenia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253–266.</w:t>
      </w:r>
    </w:p>
    <w:p>
      <w:pPr>
        <w:widowControl w:val="on"/>
        <w:pBdr/>
        <w:spacing w:before="220" w:after="220" w:line="240" w:lineRule="auto"/>
        <w:ind w:left="0" w:right="0"/>
        <w:jc w:val="left"/>
      </w:pPr>
      <w:r>
        <w:rPr>
          <w:rFonts w:ascii="Calibri" w:hAnsi="Calibri" w:eastAsia="Calibri" w:cs="Calibri"/>
          <w:color w:val="000000"/>
          <w:sz w:val="22"/>
          <w:szCs w:val="22"/>
        </w:rPr>
        <w:t xml:space="preserve">Junghans T (2013) Der Carolina-Nachtschatten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als eingebürgerter Neophyt im Industriehafen von Mannheim. Pollichia-Kurier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6–9.</w:t>
      </w:r>
    </w:p>
    <w:p>
      <w:pPr>
        <w:widowControl w:val="on"/>
        <w:pBdr/>
        <w:spacing w:before="220" w:after="220" w:line="240" w:lineRule="auto"/>
        <w:ind w:left="0" w:right="0"/>
        <w:jc w:val="left"/>
      </w:pPr>
      <w:r>
        <w:rPr>
          <w:rFonts w:ascii="Calibri" w:hAnsi="Calibri" w:eastAsia="Calibri" w:cs="Calibri"/>
          <w:color w:val="000000"/>
          <w:sz w:val="22"/>
          <w:szCs w:val="22"/>
        </w:rPr>
        <w:t xml:space="preserve">Kariyat RR, Scanlon SR, Mescher MC, De Moraes CM, Stephenson AG (2011) Inbreeding depression in </w:t>
      </w:r>
      <w:r>
        <w:rPr>
          <w:rFonts w:ascii="Calibri" w:hAnsi="Calibri" w:eastAsia="Calibri" w:cs="Calibri"/>
          <w:i/>
          <w:iCs/>
          <w:color w:val="000000"/>
          <w:sz w:val="22"/>
          <w:szCs w:val="22"/>
        </w:rPr>
        <w:t xml:space="preserve">Solanum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 under field conditions and implications for mating system evolution. </w:t>
      </w:r>
      <w:r>
        <w:rPr>
          <w:rFonts w:ascii="Calibri" w:hAnsi="Calibri" w:eastAsia="Calibri" w:cs="Calibri"/>
          <w:i/>
          <w:iCs/>
          <w:color w:val="000000"/>
          <w:sz w:val="22"/>
          <w:szCs w:val="22"/>
        </w:rPr>
        <w:t xml:space="preserve">PLoS ONE </w:t>
      </w:r>
      <w:r>
        <w:rPr>
          <w:rFonts w:ascii="Calibri" w:hAnsi="Calibri" w:eastAsia="Calibri" w:cs="Calibri"/>
          <w:color w:val="000000"/>
          <w:sz w:val="22"/>
          <w:szCs w:val="22"/>
        </w:rPr>
        <w:t xml:space="preserve">6(12), e28459. doi: </w:t>
      </w:r>
      <w:hyperlink r:id="rId68596ab96c59c52a1" w:history="1">
        <w:r>
          <w:rPr>
            <w:rFonts w:ascii="Calibri" w:hAnsi="Calibri" w:eastAsia="Calibri" w:cs="Calibri"/>
            <w:color w:val="0000CC"/>
            <w:sz w:val="22"/>
            <w:szCs w:val="22"/>
            <w:u w:val="single"/>
          </w:rPr>
          <w:t xml:space="preserve">10.1371/journal.</w:t>
        </w:r>
      </w:hyperlink>
      <w:r>
        <w:rPr>
          <w:rFonts w:ascii="Calibri" w:hAnsi="Calibri" w:eastAsia="Calibri" w:cs="Calibri"/>
          <w:color w:val="000000"/>
          <w:sz w:val="22"/>
          <w:szCs w:val="22"/>
        </w:rPr>
        <w:t xml:space="preserve"> </w:t>
      </w:r>
      <w:hyperlink r:id="rId19876ab96c59c52c1" w:history="1">
        <w:r>
          <w:rPr>
            <w:rFonts w:ascii="Calibri" w:hAnsi="Calibri" w:eastAsia="Calibri" w:cs="Calibri"/>
            <w:color w:val="0000CC"/>
            <w:sz w:val="22"/>
            <w:szCs w:val="22"/>
            <w:u w:val="single"/>
          </w:rPr>
          <w:t xml:space="preserve">pone.0028459</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Klingenhagen G, Wirth M, Wiesmann B, Ahaus H (2012) Occurrence of horse nettle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in North Rhine- Westphalia. Julius-Kühn-Archiv, </w:t>
      </w:r>
      <w:r>
        <w:rPr>
          <w:rFonts w:ascii="Calibri" w:hAnsi="Calibri" w:eastAsia="Calibri" w:cs="Calibri"/>
          <w:b/>
          <w:bCs/>
          <w:color w:val="000000"/>
          <w:sz w:val="22"/>
          <w:szCs w:val="22"/>
        </w:rPr>
        <w:t xml:space="preserve">434</w:t>
      </w:r>
      <w:r>
        <w:rPr>
          <w:rFonts w:ascii="Calibri" w:hAnsi="Calibri" w:eastAsia="Calibri" w:cs="Calibri"/>
          <w:color w:val="000000"/>
          <w:sz w:val="22"/>
          <w:szCs w:val="22"/>
        </w:rPr>
        <w:t xml:space="preserve">, 601–604, DOI: </w:t>
      </w:r>
      <w:hyperlink r:id="rId24986ab96c59c533d" w:history="1">
        <w:r>
          <w:rPr>
            <w:rFonts w:ascii="Calibri" w:hAnsi="Calibri" w:eastAsia="Calibri" w:cs="Calibri"/>
            <w:color w:val="0000CC"/>
            <w:sz w:val="22"/>
            <w:szCs w:val="22"/>
            <w:u w:val="single"/>
          </w:rPr>
          <w:t xml:space="preserve">10.5073/</w:t>
        </w:r>
      </w:hyperlink>
      <w:r>
        <w:rPr>
          <w:rFonts w:ascii="Calibri" w:hAnsi="Calibri" w:eastAsia="Calibri" w:cs="Calibri"/>
          <w:color w:val="000000"/>
          <w:sz w:val="22"/>
          <w:szCs w:val="22"/>
        </w:rPr>
        <w:t xml:space="preserve"> </w:t>
      </w:r>
      <w:hyperlink r:id="rId61006ab96c59c535c" w:history="1">
        <w:r>
          <w:rPr>
            <w:rFonts w:ascii="Calibri" w:hAnsi="Calibri" w:eastAsia="Calibri" w:cs="Calibri"/>
            <w:color w:val="0000CC"/>
            <w:sz w:val="22"/>
            <w:szCs w:val="22"/>
            <w:u w:val="single"/>
          </w:rPr>
          <w:t xml:space="preserve">jka.2012.434.077</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Kurokawa S (2001) Invasion of exotic weed seeds into Japan, mixed in imported feed grains Extension Bulletin - Food &amp; Fertilizer Technology Center No. 497, 14 pp.</w:t>
      </w:r>
    </w:p>
    <w:p>
      <w:pPr>
        <w:widowControl w:val="on"/>
        <w:pBdr/>
        <w:spacing w:before="220" w:after="220" w:line="240" w:lineRule="auto"/>
        <w:ind w:left="0" w:right="0"/>
        <w:jc w:val="left"/>
      </w:pPr>
      <w:r>
        <w:rPr>
          <w:rFonts w:ascii="Calibri" w:hAnsi="Calibri" w:eastAsia="Calibri" w:cs="Calibri"/>
          <w:color w:val="000000"/>
          <w:sz w:val="22"/>
          <w:szCs w:val="22"/>
        </w:rPr>
        <w:t xml:space="preserve">Martínez M, Vargas-Ponce O, Rodríguez A, Chiang F, Ocegueda S (2017) Solanaceae family in Mexico </w:t>
      </w:r>
      <w:r>
        <w:rPr>
          <w:rFonts w:ascii="Calibri" w:hAnsi="Calibri" w:eastAsia="Calibri" w:cs="Calibri"/>
          <w:i/>
          <w:iCs/>
          <w:color w:val="000000"/>
          <w:sz w:val="22"/>
          <w:szCs w:val="22"/>
        </w:rPr>
        <w:t xml:space="preserve">Botanical Sciences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131–145.</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(2008) Root system architecture and its relationship to the vegetative reproduction function in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Biology and Management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97–103.</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Ito M, Urakawa S (2005) Seasonal pattern of shoot emergence and its endogenous control in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Weed Biology and Management</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14–18.</w:t>
      </w:r>
    </w:p>
    <w:p>
      <w:pPr>
        <w:widowControl w:val="on"/>
        <w:pBdr/>
        <w:spacing w:before="220" w:after="220" w:line="240" w:lineRule="auto"/>
        <w:ind w:left="0" w:right="0"/>
        <w:jc w:val="left"/>
      </w:pPr>
      <w:r>
        <w:rPr>
          <w:rFonts w:ascii="Calibri" w:hAnsi="Calibri" w:eastAsia="Calibri" w:cs="Calibri"/>
          <w:color w:val="000000"/>
          <w:sz w:val="22"/>
          <w:szCs w:val="22"/>
        </w:rPr>
        <w:t xml:space="preserve">Miyazaki K, Ito M (2004) Root system structure and shoot arrangement of 1-year-old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Weed Biology and</w:t>
      </w:r>
      <w:r>
        <w:rPr>
          <w:rFonts w:ascii="Calibri" w:hAnsi="Calibri" w:eastAsia="Calibri" w:cs="Calibri"/>
          <w:i/>
          <w:iCs/>
          <w:color w:val="000000"/>
          <w:sz w:val="22"/>
          <w:szCs w:val="22"/>
        </w:rPr>
        <w:t xml:space="preserve"> Management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122–125.</w:t>
      </w:r>
    </w:p>
    <w:p>
      <w:pPr>
        <w:widowControl w:val="on"/>
        <w:pBdr/>
        <w:spacing w:before="220" w:after="220" w:line="240" w:lineRule="auto"/>
        <w:ind w:left="0" w:right="0"/>
        <w:jc w:val="left"/>
      </w:pPr>
      <w:r>
        <w:rPr>
          <w:rFonts w:ascii="Calibri" w:hAnsi="Calibri" w:eastAsia="Calibri" w:cs="Calibri"/>
          <w:color w:val="000000"/>
          <w:sz w:val="22"/>
          <w:szCs w:val="22"/>
        </w:rPr>
        <w:t xml:space="preserve">Nichols RL, Cardina J, Lynch RL, Minton NA, Wells HD (1992) Insects, nematodes, and pathogens associated with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in bermudagrass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pastures. Weed Science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320–325.</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T, Kitagawa M, Yamamoto Y (2004) Effect of sowing date on overwintering and freezing tolerance of horsenettle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r</w:t>
      </w:r>
      <w:r>
        <w:rPr>
          <w:rFonts w:ascii="Calibri" w:hAnsi="Calibri" w:eastAsia="Calibri" w:cs="Calibri"/>
          <w:i/>
          <w:iCs/>
          <w:color w:val="000000"/>
          <w:sz w:val="22"/>
          <w:szCs w:val="22"/>
        </w:rPr>
        <w:t xml:space="preserve">ol</w:t>
      </w:r>
      <w:r>
        <w:rPr>
          <w:rFonts w:ascii="Calibri" w:hAnsi="Calibri" w:eastAsia="Calibri" w:cs="Calibri"/>
          <w:i/>
          <w:iCs/>
          <w:color w:val="000000"/>
          <w:sz w:val="22"/>
          <w:szCs w:val="22"/>
        </w:rPr>
        <w:t xml:space="preserve">inen</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e </w:t>
      </w:r>
      <w:r>
        <w:rPr>
          <w:rFonts w:ascii="Calibri" w:hAnsi="Calibri" w:eastAsia="Calibri" w:cs="Calibri"/>
          <w:color w:val="000000"/>
          <w:sz w:val="22"/>
          <w:szCs w:val="22"/>
        </w:rPr>
        <w:t xml:space="preserve">L.) seedlings. </w:t>
      </w:r>
      <w:r>
        <w:rPr>
          <w:rFonts w:ascii="Calibri" w:hAnsi="Calibri" w:eastAsia="Calibri" w:cs="Calibri"/>
          <w:i/>
          <w:iCs/>
          <w:color w:val="000000"/>
          <w:sz w:val="22"/>
          <w:szCs w:val="22"/>
        </w:rPr>
        <w:t xml:space="preserve">Grassland Science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139–146.</w:t>
      </w:r>
    </w:p>
    <w:p>
      <w:pPr>
        <w:widowControl w:val="on"/>
        <w:pBdr/>
        <w:spacing w:before="220" w:after="220" w:line="240" w:lineRule="auto"/>
        <w:ind w:left="0" w:right="0"/>
        <w:jc w:val="left"/>
      </w:pPr>
      <w:r>
        <w:rPr>
          <w:rFonts w:ascii="Calibri" w:hAnsi="Calibri" w:eastAsia="Calibri" w:cs="Calibri"/>
          <w:color w:val="000000"/>
          <w:sz w:val="22"/>
          <w:szCs w:val="22"/>
        </w:rPr>
        <w:t xml:space="preserve">Nishida T, Kurokawa S, Shibata S, Kitahara N (1999b) Effect of duration of heat exposure on upland weed seed viability. </w:t>
      </w:r>
      <w:r>
        <w:rPr>
          <w:rFonts w:ascii="Calibri" w:hAnsi="Calibri" w:eastAsia="Calibri" w:cs="Calibri"/>
          <w:i/>
          <w:iCs/>
          <w:color w:val="000000"/>
          <w:sz w:val="22"/>
          <w:szCs w:val="22"/>
        </w:rPr>
        <w:t xml:space="preserve">Journal of</w:t>
      </w:r>
      <w:r>
        <w:rPr>
          <w:rFonts w:ascii="Calibri" w:hAnsi="Calibri" w:eastAsia="Calibri" w:cs="Calibri"/>
          <w:i/>
          <w:iCs/>
          <w:color w:val="000000"/>
          <w:sz w:val="22"/>
          <w:szCs w:val="22"/>
        </w:rPr>
        <w:t xml:space="preserve"> Weed Science and Technology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59–66.</w:t>
      </w:r>
    </w:p>
    <w:p>
      <w:pPr>
        <w:widowControl w:val="on"/>
        <w:pBdr/>
        <w:spacing w:before="220" w:after="220" w:line="240" w:lineRule="auto"/>
        <w:ind w:left="0" w:right="0"/>
        <w:jc w:val="left"/>
      </w:pPr>
      <w:r>
        <w:rPr>
          <w:rFonts w:ascii="Calibri" w:hAnsi="Calibri" w:eastAsia="Calibri" w:cs="Calibri"/>
          <w:color w:val="000000"/>
          <w:sz w:val="22"/>
          <w:szCs w:val="22"/>
        </w:rPr>
        <w:t xml:space="preserve">Onen H, Misako I, Imaizumi T (2006) Horsenettle (</w:t>
      </w:r>
      <w:r>
        <w:rPr>
          <w:rFonts w:ascii="Calibri" w:hAnsi="Calibri" w:eastAsia="Calibri" w:cs="Calibri"/>
          <w:i/>
          <w:iCs/>
          <w:color w:val="000000"/>
          <w:sz w:val="22"/>
          <w:szCs w:val="22"/>
        </w:rPr>
        <w:t xml:space="preserve">Solanum carolin</w:t>
      </w:r>
      <w:r>
        <w:rPr>
          <w:rFonts w:ascii="Calibri" w:hAnsi="Calibri" w:eastAsia="Calibri" w:cs="Calibri"/>
          <w:i/>
          <w:iCs/>
          <w:color w:val="000000"/>
          <w:sz w:val="22"/>
          <w:szCs w:val="22"/>
        </w:rPr>
        <w:t xml:space="preserve">ense </w:t>
      </w:r>
      <w:r>
        <w:rPr>
          <w:rFonts w:ascii="Calibri" w:hAnsi="Calibri" w:eastAsia="Calibri" w:cs="Calibri"/>
          <w:color w:val="000000"/>
          <w:sz w:val="22"/>
          <w:szCs w:val="22"/>
        </w:rPr>
        <w:t xml:space="preserve">L.) plants emerged at different times after corn (</w:t>
      </w:r>
      <w:r>
        <w:rPr>
          <w:rFonts w:ascii="Calibri" w:hAnsi="Calibri" w:eastAsia="Calibri" w:cs="Calibri"/>
          <w:i/>
          <w:iCs/>
          <w:color w:val="000000"/>
          <w:sz w:val="22"/>
          <w:szCs w:val="22"/>
        </w:rPr>
        <w:t xml:space="preserve">Zea mays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L.) planting. </w:t>
      </w:r>
      <w:r>
        <w:rPr>
          <w:rFonts w:ascii="Calibri" w:hAnsi="Calibri" w:eastAsia="Calibri" w:cs="Calibri"/>
          <w:i/>
          <w:iCs/>
          <w:color w:val="000000"/>
          <w:sz w:val="22"/>
          <w:szCs w:val="22"/>
        </w:rPr>
        <w:t xml:space="preserve">W</w:t>
      </w:r>
      <w:r>
        <w:rPr>
          <w:rFonts w:ascii="Calibri" w:hAnsi="Calibri" w:eastAsia="Calibri" w:cs="Calibri"/>
          <w:i/>
          <w:iCs/>
          <w:color w:val="000000"/>
          <w:sz w:val="22"/>
          <w:szCs w:val="22"/>
        </w:rPr>
        <w:t xml:space="preserve">eed Biology and Management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55–58.</w:t>
      </w:r>
    </w:p>
    <w:p>
      <w:pPr>
        <w:widowControl w:val="on"/>
        <w:pBdr/>
        <w:spacing w:before="220" w:after="220" w:line="240" w:lineRule="auto"/>
        <w:ind w:left="0" w:right="0"/>
        <w:jc w:val="left"/>
      </w:pPr>
      <w:r>
        <w:rPr>
          <w:rFonts w:ascii="Calibri" w:hAnsi="Calibri" w:eastAsia="Calibri" w:cs="Calibri"/>
          <w:color w:val="000000"/>
          <w:sz w:val="22"/>
          <w:szCs w:val="22"/>
        </w:rPr>
        <w:t xml:space="preserve">Ouren (1987) Soybean adventitious weeds in Norway. </w:t>
      </w:r>
      <w:r>
        <w:rPr>
          <w:rFonts w:ascii="Calibri" w:hAnsi="Calibri" w:eastAsia="Calibri" w:cs="Calibri"/>
          <w:i/>
          <w:iCs/>
          <w:color w:val="000000"/>
          <w:sz w:val="22"/>
          <w:szCs w:val="22"/>
        </w:rPr>
        <w:t xml:space="preserve">Blyttia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175–185.</w:t>
      </w:r>
    </w:p>
    <w:p>
      <w:pPr>
        <w:widowControl w:val="on"/>
        <w:pBdr/>
        <w:spacing w:before="220" w:after="220" w:line="240" w:lineRule="auto"/>
        <w:ind w:left="0" w:right="0"/>
        <w:jc w:val="left"/>
      </w:pPr>
      <w:r>
        <w:rPr>
          <w:rFonts w:ascii="Calibri" w:hAnsi="Calibri" w:eastAsia="Calibri" w:cs="Calibri"/>
          <w:color w:val="000000"/>
          <w:sz w:val="22"/>
          <w:szCs w:val="22"/>
        </w:rPr>
        <w:t xml:space="preserve">Pérez JJP, Pando FJS, Pérez RP (2020) Cuatro solanáceas (Solanaceae) alóctonas nuevas para la flora de Galicia Nova Acta Científica Compostelana (</w:t>
      </w:r>
      <w:r>
        <w:rPr>
          <w:rFonts w:ascii="Calibri" w:hAnsi="Calibri" w:eastAsia="Calibri" w:cs="Calibri"/>
          <w:i/>
          <w:iCs/>
          <w:color w:val="000000"/>
          <w:sz w:val="22"/>
          <w:szCs w:val="22"/>
        </w:rPr>
        <w:t xml:space="preserve">Bioloxía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61–68.</w:t>
      </w:r>
    </w:p>
    <w:p>
      <w:pPr>
        <w:widowControl w:val="on"/>
        <w:pBdr/>
        <w:spacing w:before="220" w:after="220" w:line="240" w:lineRule="auto"/>
        <w:ind w:left="0" w:right="0"/>
        <w:jc w:val="left"/>
      </w:pPr>
      <w:r>
        <w:rPr>
          <w:rFonts w:ascii="Calibri" w:hAnsi="Calibri" w:eastAsia="Calibri" w:cs="Calibri"/>
          <w:color w:val="000000"/>
          <w:sz w:val="22"/>
          <w:szCs w:val="22"/>
        </w:rPr>
        <w:t xml:space="preserve">Prostko, EP, Ingerson Mahar J, Majek BA (1994) Postemergence horsenettle control in field corn. </w:t>
      </w:r>
      <w:r>
        <w:rPr>
          <w:rFonts w:ascii="Calibri" w:hAnsi="Calibri" w:eastAsia="Calibri" w:cs="Calibri"/>
          <w:i/>
          <w:iCs/>
          <w:color w:val="000000"/>
          <w:sz w:val="22"/>
          <w:szCs w:val="22"/>
        </w:rPr>
        <w:t xml:space="preserve">Weed Technology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441–444.</w:t>
      </w:r>
    </w:p>
    <w:p>
      <w:pPr>
        <w:widowControl w:val="on"/>
        <w:pBdr/>
        <w:spacing w:before="220" w:after="220" w:line="240" w:lineRule="auto"/>
        <w:ind w:left="0" w:right="0"/>
        <w:jc w:val="left"/>
      </w:pPr>
      <w:r>
        <w:rPr>
          <w:rFonts w:ascii="Calibri" w:hAnsi="Calibri" w:eastAsia="Calibri" w:cs="Calibri"/>
          <w:color w:val="000000"/>
          <w:sz w:val="22"/>
          <w:szCs w:val="22"/>
        </w:rPr>
        <w:t xml:space="preserve">Quesada-Aguilar A, Kalisz S, Ashman T-L (2008) Flower morphology and pollinator dynamics in </w:t>
      </w:r>
      <w:r>
        <w:rPr>
          <w:rFonts w:ascii="Calibri" w:hAnsi="Calibri" w:eastAsia="Calibri" w:cs="Calibri"/>
          <w:i/>
          <w:iCs/>
          <w:color w:val="000000"/>
          <w:sz w:val="22"/>
          <w:szCs w:val="22"/>
        </w:rPr>
        <w:t xml:space="preserve">Solanum carolinense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(Solanaceae): Implications for the evolution of andromonoecy. </w:t>
      </w:r>
      <w:r>
        <w:rPr>
          <w:rFonts w:ascii="Calibri" w:hAnsi="Calibri" w:eastAsia="Calibri" w:cs="Calibri"/>
          <w:i/>
          <w:iCs/>
          <w:color w:val="000000"/>
          <w:sz w:val="22"/>
          <w:szCs w:val="22"/>
        </w:rPr>
        <w:t xml:space="preserve">American Journal of Botany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974–984.</w:t>
      </w:r>
    </w:p>
    <w:p>
      <w:pPr>
        <w:widowControl w:val="on"/>
        <w:pBdr/>
        <w:spacing w:before="220" w:after="220" w:line="240" w:lineRule="auto"/>
        <w:ind w:left="0" w:right="0"/>
        <w:jc w:val="left"/>
      </w:pPr>
      <w:r>
        <w:rPr>
          <w:rFonts w:ascii="Calibri" w:hAnsi="Calibri" w:eastAsia="Calibri" w:cs="Calibri"/>
          <w:color w:val="000000"/>
          <w:sz w:val="22"/>
          <w:szCs w:val="22"/>
        </w:rPr>
        <w:t xml:space="preserve">Robbins WW, Crafts AS, Raynor RN (1952) </w:t>
      </w:r>
      <w:r>
        <w:rPr>
          <w:rFonts w:ascii="Calibri" w:hAnsi="Calibri" w:eastAsia="Calibri" w:cs="Calibri"/>
          <w:i/>
          <w:iCs/>
          <w:color w:val="000000"/>
          <w:sz w:val="22"/>
          <w:szCs w:val="22"/>
        </w:rPr>
        <w:t xml:space="preserve">Weed control</w:t>
      </w:r>
      <w:r>
        <w:rPr>
          <w:rFonts w:ascii="Calibri" w:hAnsi="Calibri" w:eastAsia="Calibri" w:cs="Calibri"/>
          <w:color w:val="000000"/>
          <w:sz w:val="22"/>
          <w:szCs w:val="22"/>
        </w:rPr>
        <w:t xml:space="preserve">. 2nd ed. McGrawHill Book Co.,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Saglia A, Vidotto F, Tesio F, Imerone D, Lusetti A, Scotto P (2006) </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o</w:t>
      </w:r>
      <w:r>
        <w:rPr>
          <w:rFonts w:ascii="Calibri" w:hAnsi="Calibri" w:eastAsia="Calibri" w:cs="Calibri"/>
          <w:i/>
          <w:iCs/>
          <w:color w:val="000000"/>
          <w:sz w:val="22"/>
          <w:szCs w:val="22"/>
        </w:rPr>
        <w:t xml:space="preserve">l</w:t>
      </w:r>
      <w:r>
        <w:rPr>
          <w:rFonts w:ascii="Calibri" w:hAnsi="Calibri" w:eastAsia="Calibri" w:cs="Calibri"/>
          <w:i/>
          <w:iCs/>
          <w:color w:val="000000"/>
          <w:sz w:val="22"/>
          <w:szCs w:val="22"/>
        </w:rPr>
        <w:t xml:space="preserve">anu</w:t>
      </w:r>
      <w:r>
        <w:rPr>
          <w:rFonts w:ascii="Calibri" w:hAnsi="Calibri" w:eastAsia="Calibri" w:cs="Calibri"/>
          <w:i/>
          <w:iCs/>
          <w:color w:val="000000"/>
          <w:sz w:val="22"/>
          <w:szCs w:val="22"/>
        </w:rPr>
        <w:t xml:space="preserve">m carolinense </w:t>
      </w:r>
      <w:r>
        <w:rPr>
          <w:rFonts w:ascii="Calibri" w:hAnsi="Calibri" w:eastAsia="Calibri" w:cs="Calibri"/>
          <w:color w:val="000000"/>
          <w:sz w:val="22"/>
          <w:szCs w:val="22"/>
        </w:rPr>
        <w:t xml:space="preserve">nuova malerba di colture estive. </w:t>
      </w:r>
      <w:r>
        <w:rPr>
          <w:rFonts w:ascii="Calibri" w:hAnsi="Calibri" w:eastAsia="Calibri" w:cs="Calibri"/>
          <w:i/>
          <w:iCs/>
          <w:color w:val="000000"/>
          <w:sz w:val="22"/>
          <w:szCs w:val="22"/>
        </w:rPr>
        <w:t xml:space="preserve">Informatore</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A</w:t>
      </w:r>
      <w:r>
        <w:rPr>
          <w:rFonts w:ascii="Calibri" w:hAnsi="Calibri" w:eastAsia="Calibri" w:cs="Calibri"/>
          <w:i/>
          <w:iCs/>
          <w:color w:val="000000"/>
          <w:sz w:val="22"/>
          <w:szCs w:val="22"/>
        </w:rPr>
        <w:t xml:space="preserve">g</w:t>
      </w:r>
      <w:r>
        <w:rPr>
          <w:rFonts w:ascii="Calibri" w:hAnsi="Calibri" w:eastAsia="Calibri" w:cs="Calibri"/>
          <w:i/>
          <w:iCs/>
          <w:color w:val="000000"/>
          <w:sz w:val="22"/>
          <w:szCs w:val="22"/>
        </w:rPr>
        <w:t xml:space="preserve">rario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131–132.</w:t>
      </w:r>
    </w:p>
    <w:p>
      <w:pPr>
        <w:widowControl w:val="on"/>
        <w:pBdr/>
        <w:spacing w:before="220" w:after="220" w:line="240" w:lineRule="auto"/>
        <w:ind w:left="0" w:right="0"/>
        <w:jc w:val="left"/>
      </w:pPr>
      <w:r>
        <w:rPr>
          <w:rFonts w:ascii="Calibri" w:hAnsi="Calibri" w:eastAsia="Calibri" w:cs="Calibri"/>
          <w:color w:val="000000"/>
          <w:sz w:val="22"/>
          <w:szCs w:val="22"/>
        </w:rPr>
        <w:t xml:space="preserve">Selvaggi A, Soldano A, Pascale M, Dellavedova R (eds) (2018) Note floristiche piemontesi n. 847-899. </w:t>
      </w:r>
      <w:r>
        <w:rPr>
          <w:rFonts w:ascii="Calibri" w:hAnsi="Calibri" w:eastAsia="Calibri" w:cs="Calibri"/>
          <w:i/>
          <w:iCs/>
          <w:color w:val="000000"/>
          <w:sz w:val="22"/>
          <w:szCs w:val="22"/>
        </w:rPr>
        <w:t xml:space="preserve">Rivista Piemontese di Storia</w:t>
      </w:r>
      <w:r>
        <w:rPr>
          <w:rFonts w:ascii="Calibri" w:hAnsi="Calibri" w:eastAsia="Calibri" w:cs="Calibri"/>
          <w:i/>
          <w:iCs/>
          <w:color w:val="000000"/>
          <w:sz w:val="22"/>
          <w:szCs w:val="22"/>
        </w:rPr>
        <w:t xml:space="preserve"> Naturale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189–221.</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BP (1983) Autoallelopathy in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 revers- ible delayed germination. </w:t>
      </w:r>
      <w:r>
        <w:rPr>
          <w:rFonts w:ascii="Calibri" w:hAnsi="Calibri" w:eastAsia="Calibri" w:cs="Calibri"/>
          <w:i/>
          <w:iCs/>
          <w:color w:val="000000"/>
          <w:sz w:val="22"/>
          <w:szCs w:val="22"/>
        </w:rPr>
        <w:t xml:space="preserve">The American Midland Naturalist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412–418.</w:t>
      </w:r>
    </w:p>
    <w:p>
      <w:pPr>
        <w:widowControl w:val="on"/>
        <w:pBdr/>
        <w:spacing w:before="220" w:after="220" w:line="240" w:lineRule="auto"/>
        <w:ind w:left="0" w:right="0"/>
        <w:jc w:val="left"/>
      </w:pPr>
      <w:r>
        <w:rPr>
          <w:rFonts w:ascii="Calibri" w:hAnsi="Calibri" w:eastAsia="Calibri" w:cs="Calibri"/>
          <w:color w:val="000000"/>
          <w:sz w:val="22"/>
          <w:szCs w:val="22"/>
        </w:rPr>
        <w:t xml:space="preserve">Stehmann JR, Mentz LA, Agra MF, Vignoli-Silva M, Giacomin L, Rodrigues IMC (2013) Solanaceae in Lista de Espécies da Flora do Brasil. Jardim Botânico do Rio de Janeiro, </w:t>
      </w:r>
      <w:hyperlink r:id="rId13936ab96c59c5d2b" w:history="1">
        <w:r>
          <w:rPr>
            <w:rFonts w:ascii="Calibri" w:hAnsi="Calibri" w:eastAsia="Calibri" w:cs="Calibri"/>
            <w:color w:val="0000CC"/>
            <w:sz w:val="22"/>
            <w:szCs w:val="22"/>
            <w:u w:val="single"/>
          </w:rPr>
          <w:t xml:space="preserve">http://floradobra</w:t>
        </w:r>
      </w:hyperlink>
      <w:r>
        <w:rPr>
          <w:rFonts w:ascii="Calibri" w:hAnsi="Calibri" w:eastAsia="Calibri" w:cs="Calibri"/>
          <w:color w:val="000000"/>
          <w:sz w:val="22"/>
          <w:szCs w:val="22"/>
        </w:rPr>
        <w:t xml:space="preserve"> </w:t>
      </w:r>
      <w:hyperlink r:id="rId25166ab96c59c5d4b" w:history="1">
        <w:r>
          <w:rPr>
            <w:rFonts w:ascii="Calibri" w:hAnsi="Calibri" w:eastAsia="Calibri" w:cs="Calibri"/>
            <w:color w:val="0000CC"/>
            <w:sz w:val="22"/>
            <w:szCs w:val="22"/>
            <w:u w:val="single"/>
          </w:rPr>
          <w:t xml:space="preserve">sil.jbrj.gov.br/jabot/floradobrasil/FB127331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Tolson JA, Green JD, Witt WW, Schwab GJ, Omielan JA (2012) Integrated management strategies reduced tall ironweed (</w:t>
      </w:r>
      <w:r>
        <w:rPr>
          <w:rFonts w:ascii="Calibri" w:hAnsi="Calibri" w:eastAsia="Calibri" w:cs="Calibri"/>
          <w:i/>
          <w:iCs/>
          <w:color w:val="000000"/>
          <w:sz w:val="22"/>
          <w:szCs w:val="22"/>
        </w:rPr>
        <w:t xml:space="preserve">V</w:t>
      </w:r>
      <w:r>
        <w:rPr>
          <w:rFonts w:ascii="Calibri" w:hAnsi="Calibri" w:eastAsia="Calibri" w:cs="Calibri"/>
          <w:i/>
          <w:iCs/>
          <w:color w:val="000000"/>
          <w:sz w:val="22"/>
          <w:szCs w:val="22"/>
        </w:rPr>
        <w:t xml:space="preserve">ernon</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a altissima</w:t>
      </w:r>
      <w:r>
        <w:rPr>
          <w:rFonts w:ascii="Calibri" w:hAnsi="Calibri" w:eastAsia="Calibri" w:cs="Calibri"/>
          <w:color w:val="000000"/>
          <w:sz w:val="22"/>
          <w:szCs w:val="22"/>
        </w:rPr>
        <w:t xml:space="preserve">) populations and weed biomass and improved tall fescue pasture productivity.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60</w:t>
      </w:r>
      <w:r>
        <w:rPr>
          <w:rFonts w:ascii="Calibri" w:hAnsi="Calibri" w:eastAsia="Calibri" w:cs="Calibri"/>
          <w:color w:val="000000"/>
          <w:sz w:val="22"/>
          <w:szCs w:val="22"/>
        </w:rPr>
        <w:t xml:space="preserve">, 106–112.</w:t>
      </w:r>
    </w:p>
    <w:p>
      <w:pPr>
        <w:widowControl w:val="on"/>
        <w:pBdr/>
        <w:spacing w:before="220" w:after="220" w:line="240" w:lineRule="auto"/>
        <w:ind w:left="0" w:right="0"/>
        <w:jc w:val="left"/>
      </w:pPr>
      <w:r>
        <w:rPr>
          <w:rFonts w:ascii="Calibri" w:hAnsi="Calibri" w:eastAsia="Calibri" w:cs="Calibri"/>
          <w:color w:val="000000"/>
          <w:sz w:val="22"/>
          <w:szCs w:val="22"/>
        </w:rPr>
        <w:t xml:space="preserve">Todua NA (1975) </w:t>
      </w:r>
      <w:r>
        <w:rPr>
          <w:rFonts w:ascii="Calibri" w:hAnsi="Calibri" w:eastAsia="Calibri" w:cs="Calibri"/>
          <w:i/>
          <w:iCs/>
          <w:color w:val="000000"/>
          <w:sz w:val="22"/>
          <w:szCs w:val="22"/>
        </w:rPr>
        <w:t xml:space="preserve">Quarantine weeds of the Abkhazian ASSR and improve</w:t>
      </w:r>
      <w:r>
        <w:rPr>
          <w:rFonts w:ascii="Calibri" w:hAnsi="Calibri" w:eastAsia="Calibri" w:cs="Calibri"/>
          <w:i/>
          <w:iCs/>
          <w:color w:val="000000"/>
          <w:sz w:val="22"/>
          <w:szCs w:val="22"/>
        </w:rPr>
        <w:t xml:space="preserve">ment of control measures against </w:t>
      </w:r>
      <w:r>
        <w:rPr>
          <w:rFonts w:ascii="Calibri" w:hAnsi="Calibri" w:eastAsia="Calibri" w:cs="Calibri"/>
          <w:color w:val="000000"/>
          <w:sz w:val="22"/>
          <w:szCs w:val="22"/>
        </w:rPr>
        <w:t xml:space="preserve">Solanum carolinense </w:t>
      </w:r>
      <w:r>
        <w:rPr>
          <w:rFonts w:ascii="Calibri" w:hAnsi="Calibri" w:eastAsia="Calibri" w:cs="Calibri"/>
          <w:i/>
          <w:iCs/>
          <w:color w:val="000000"/>
          <w:sz w:val="22"/>
          <w:szCs w:val="22"/>
        </w:rPr>
        <w:t xml:space="preserve">L. Autoref.</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d</w:t>
      </w:r>
      <w:r>
        <w:rPr>
          <w:rFonts w:ascii="Calibri" w:hAnsi="Calibri" w:eastAsia="Calibri" w:cs="Calibri"/>
          <w:i/>
          <w:iCs/>
          <w:color w:val="000000"/>
          <w:sz w:val="22"/>
          <w:szCs w:val="22"/>
        </w:rPr>
        <w:t xml:space="preserve">i</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s</w:t>
      </w:r>
      <w:r>
        <w:rPr>
          <w:rFonts w:ascii="Calibri" w:hAnsi="Calibri" w:eastAsia="Calibri" w:cs="Calibri"/>
          <w:i/>
          <w:iCs/>
          <w:color w:val="000000"/>
          <w:sz w:val="22"/>
          <w:szCs w:val="22"/>
        </w:rPr>
        <w:t xml:space="preserve">. cand. agricultural farm. </w:t>
      </w:r>
      <w:r>
        <w:rPr>
          <w:rFonts w:ascii="Calibri" w:hAnsi="Calibri" w:eastAsia="Calibri" w:cs="Calibri"/>
          <w:i/>
          <w:iCs/>
          <w:color w:val="000000"/>
          <w:sz w:val="22"/>
          <w:szCs w:val="22"/>
        </w:rPr>
        <w:t xml:space="preserve">sciences'</w:t>
      </w:r>
      <w:r>
        <w:rPr>
          <w:rFonts w:ascii="Calibri" w:hAnsi="Calibri" w:eastAsia="Calibri" w:cs="Calibri"/>
          <w:color w:val="000000"/>
          <w:sz w:val="22"/>
          <w:szCs w:val="22"/>
        </w:rPr>
        <w:t xml:space="preserve">. Yerevan: Armenian Agricultural Institute, 1975. 30 p.</w:t>
      </w:r>
    </w:p>
    <w:p>
      <w:pPr>
        <w:widowControl w:val="on"/>
        <w:pBdr/>
        <w:spacing w:before="220" w:after="220" w:line="240" w:lineRule="auto"/>
        <w:ind w:left="0" w:right="0"/>
        <w:jc w:val="left"/>
      </w:pPr>
      <w:r>
        <w:rPr>
          <w:rFonts w:ascii="Calibri" w:hAnsi="Calibri" w:eastAsia="Calibri" w:cs="Calibri"/>
          <w:color w:val="000000"/>
          <w:sz w:val="22"/>
          <w:szCs w:val="22"/>
        </w:rPr>
        <w:t xml:space="preserve">Tominaga T, Kurokawab S (2020) Research issues, challenges, and opportunities for weed management in Japan. </w:t>
      </w:r>
      <w:r>
        <w:rPr>
          <w:rFonts w:ascii="Calibri" w:hAnsi="Calibri" w:eastAsia="Calibri" w:cs="Calibri"/>
          <w:i/>
          <w:iCs/>
          <w:color w:val="000000"/>
          <w:sz w:val="22"/>
          <w:szCs w:val="22"/>
        </w:rPr>
        <w:t xml:space="preserve">Crop Protection</w:t>
      </w:r>
      <w:r>
        <w:rPr>
          <w:rFonts w:ascii="Calibri" w:hAnsi="Calibri" w:eastAsia="Calibri" w:cs="Calibri"/>
          <w:i/>
          <w:iCs/>
          <w:color w:val="000000"/>
          <w:sz w:val="22"/>
          <w:szCs w:val="22"/>
        </w:rPr>
        <w:t xml:space="preserve">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104450.</w:t>
      </w:r>
    </w:p>
    <w:p>
      <w:pPr>
        <w:widowControl w:val="on"/>
        <w:pBdr/>
        <w:spacing w:before="220" w:after="220" w:line="240" w:lineRule="auto"/>
        <w:ind w:left="0" w:right="0"/>
        <w:jc w:val="left"/>
      </w:pPr>
      <w:r>
        <w:rPr>
          <w:rFonts w:ascii="Calibri" w:hAnsi="Calibri" w:eastAsia="Calibri" w:cs="Calibri"/>
          <w:color w:val="000000"/>
          <w:sz w:val="22"/>
          <w:szCs w:val="22"/>
        </w:rPr>
        <w:t xml:space="preserve">Travers SE, Mena-Ali J, Stephenson AG (2004) Plasticity in the self- incompatibility system of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Species</w:t>
      </w:r>
      <w:r>
        <w:rPr>
          <w:rFonts w:ascii="Calibri" w:hAnsi="Calibri" w:eastAsia="Calibri" w:cs="Calibri"/>
          <w:i/>
          <w:iCs/>
          <w:color w:val="000000"/>
          <w:sz w:val="22"/>
          <w:szCs w:val="22"/>
        </w:rPr>
        <w:t xml:space="preserve"> Biology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127–135.</w:t>
      </w:r>
    </w:p>
    <w:p>
      <w:pPr>
        <w:widowControl w:val="on"/>
        <w:pBdr/>
        <w:spacing w:before="220" w:after="220" w:line="240" w:lineRule="auto"/>
        <w:ind w:left="0" w:right="0"/>
        <w:jc w:val="left"/>
      </w:pPr>
      <w:r>
        <w:rPr>
          <w:rFonts w:ascii="Calibri" w:hAnsi="Calibri" w:eastAsia="Calibri" w:cs="Calibri"/>
          <w:color w:val="000000"/>
          <w:sz w:val="22"/>
          <w:szCs w:val="22"/>
        </w:rPr>
        <w:t xml:space="preserve">USDA, GRIN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National Germplasm Resources Laboratory, Beltsville, Maryland. </w:t>
      </w:r>
      <w:hyperlink r:id="rId83956ab96c59c603c" w:history="1">
        <w:r>
          <w:rPr>
            <w:rFonts w:ascii="Calibri" w:hAnsi="Calibri" w:eastAsia="Calibri" w:cs="Calibri"/>
            <w:color w:val="0000CC"/>
            <w:sz w:val="22"/>
            <w:szCs w:val="22"/>
            <w:u w:val="single"/>
          </w:rPr>
          <w:t xml:space="preserve">https://npgsw</w:t>
        </w:r>
      </w:hyperlink>
      <w:r>
        <w:rPr>
          <w:rFonts w:ascii="Calibri" w:hAnsi="Calibri" w:eastAsia="Calibri" w:cs="Calibri"/>
          <w:color w:val="000000"/>
          <w:sz w:val="22"/>
          <w:szCs w:val="22"/>
        </w:rPr>
        <w:t xml:space="preserve"> </w:t>
      </w:r>
      <w:hyperlink r:id="rId18246ab96c59c605c" w:history="1">
        <w:r>
          <w:rPr>
            <w:rFonts w:ascii="Calibri" w:hAnsi="Calibri" w:eastAsia="Calibri" w:cs="Calibri"/>
            <w:color w:val="0000CC"/>
            <w:sz w:val="22"/>
            <w:szCs w:val="22"/>
            <w:u w:val="single"/>
          </w:rPr>
          <w:t xml:space="preserve">eb.ars-grin.gov/gring lobal/taxon/taxonomydetail?id=100938</w:t>
        </w:r>
      </w:hyperlink>
      <w:r>
        <w:rPr>
          <w:rFonts w:ascii="Calibri" w:hAnsi="Calibri" w:eastAsia="Calibri" w:cs="Calibri"/>
          <w:color w:val="000000"/>
          <w:sz w:val="22"/>
          <w:szCs w:val="22"/>
        </w:rPr>
        <w:t xml:space="preserve">. Accessed 5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USDA, NRCS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PLANTS Database.</w:t>
      </w:r>
      <w:hyperlink r:id="rId87256ab96c59c60ba" w:history="1">
        <w:r>
          <w:rPr>
            <w:rFonts w:ascii="Calibri" w:hAnsi="Calibri" w:eastAsia="Calibri" w:cs="Calibri"/>
            <w:color w:val="0000CC"/>
            <w:sz w:val="22"/>
            <w:szCs w:val="22"/>
            <w:u w:val="single"/>
          </w:rPr>
          <w:t xml:space="preserve">https://plants.sc.egov.usda.gov/home</w:t>
        </w:r>
      </w:hyperlink>
      <w:r>
        <w:rPr>
          <w:rFonts w:ascii="Calibri" w:hAnsi="Calibri" w:eastAsia="Calibri" w:cs="Calibri"/>
          <w:color w:val="000000"/>
          <w:sz w:val="22"/>
          <w:szCs w:val="22"/>
        </w:rPr>
        <w:t xml:space="preserve">. Accessed 27 October 2021. </w:t>
      </w:r>
    </w:p>
    <w:p>
      <w:pPr>
        <w:widowControl w:val="on"/>
        <w:pBdr/>
        <w:spacing w:before="220" w:after="220" w:line="240" w:lineRule="auto"/>
        <w:ind w:left="0" w:right="0"/>
        <w:jc w:val="left"/>
      </w:pPr>
      <w:r>
        <w:rPr>
          <w:rFonts w:ascii="Calibri" w:hAnsi="Calibri" w:eastAsia="Calibri" w:cs="Calibri"/>
          <w:color w:val="000000"/>
          <w:sz w:val="22"/>
          <w:szCs w:val="22"/>
        </w:rPr>
        <w:t xml:space="preserve">Van Wychen L (2015) 2015 Baseline Survey of the Most Common and Troublesome Weeds in the United States and Canada. Weed Science Society of America National Weed Survey Dataset. Available: </w:t>
      </w:r>
      <w:hyperlink r:id="rId79236ab96c59c60f8" w:history="1">
        <w:r>
          <w:rPr>
            <w:rFonts w:ascii="Calibri" w:hAnsi="Calibri" w:eastAsia="Calibri" w:cs="Calibri"/>
            <w:color w:val="0000CC"/>
            <w:sz w:val="22"/>
            <w:szCs w:val="22"/>
            <w:u w:val="single"/>
          </w:rPr>
          <w:t xml:space="preserve">http://wssa.net/wp-content/uploads/2015-</w:t>
        </w:r>
      </w:hyperlink>
      <w:hyperlink r:id="rId72216ab96c59c610c" w:history="1">
        <w:r>
          <w:rPr>
            <w:rFonts w:ascii="Calibri" w:hAnsi="Calibri" w:eastAsia="Calibri" w:cs="Calibri"/>
            <w:color w:val="0000CC"/>
            <w:sz w:val="22"/>
            <w:szCs w:val="22"/>
            <w:u w:val="single"/>
          </w:rPr>
          <w:t xml:space="preserve">Weed-Survey_Baseline.xlsx</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Van Wychen L (2020) 2020 Survey of the Most Common and Troublesome Weeds in Grass Crops, Pasture and Turf in the United States and Canada. Weed Science Society of America National Weed Survey Dataset. Available: </w:t>
      </w:r>
      <w:hyperlink r:id="rId80386ab96c59c614a" w:history="1">
        <w:r>
          <w:rPr>
            <w:rFonts w:ascii="Calibri" w:hAnsi="Calibri" w:eastAsia="Calibri" w:cs="Calibri"/>
            <w:color w:val="0000CC"/>
            <w:sz w:val="22"/>
            <w:szCs w:val="22"/>
            <w:u w:val="single"/>
          </w:rPr>
          <w:t xml:space="preserve">http://wssa.net/wp-</w:t>
        </w:r>
      </w:hyperlink>
      <w:r>
        <w:rPr>
          <w:rFonts w:ascii="Calibri" w:hAnsi="Calibri" w:eastAsia="Calibri" w:cs="Calibri"/>
          <w:color w:val="000000"/>
          <w:sz w:val="22"/>
          <w:szCs w:val="22"/>
        </w:rPr>
        <w:t xml:space="preserve"> </w:t>
      </w:r>
      <w:hyperlink r:id="rId23146ab96c59c6168" w:history="1">
        <w:r>
          <w:rPr>
            <w:rFonts w:ascii="Calibri" w:hAnsi="Calibri" w:eastAsia="Calibri" w:cs="Calibri"/>
            <w:color w:val="0000CC"/>
            <w:sz w:val="22"/>
            <w:szCs w:val="22"/>
            <w:u w:val="single"/>
          </w:rPr>
          <w:t xml:space="preserve">content/uploads/2020-Weed-Survey_Grass-crops.xlsx</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VASCAN (2021)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Database of Vascular Plants of Canada. </w:t>
      </w:r>
      <w:hyperlink r:id="rId27716ab96c59c61c4" w:history="1">
        <w:r>
          <w:rPr>
            <w:rFonts w:ascii="Calibri" w:hAnsi="Calibri" w:eastAsia="Calibri" w:cs="Calibri"/>
            <w:color w:val="0000CC"/>
            <w:sz w:val="22"/>
            <w:szCs w:val="22"/>
            <w:u w:val="single"/>
          </w:rPr>
          <w:t xml:space="preserve">https://data.canadensys.net/vascan/search</w:t>
        </w:r>
      </w:hyperlink>
      <w:r>
        <w:rPr>
          <w:rFonts w:ascii="Calibri" w:hAnsi="Calibri" w:eastAsia="Calibri" w:cs="Calibri"/>
          <w:color w:val="000000"/>
          <w:sz w:val="22"/>
          <w:szCs w:val="22"/>
        </w:rPr>
        <w:t xml:space="preserve">. Accessed 5 October 2021.</w:t>
      </w:r>
    </w:p>
    <w:p>
      <w:pPr>
        <w:widowControl w:val="on"/>
        <w:pBdr/>
        <w:spacing w:before="220" w:after="220" w:line="240" w:lineRule="auto"/>
        <w:ind w:left="0" w:right="0"/>
        <w:jc w:val="left"/>
      </w:pPr>
      <w:r>
        <w:rPr>
          <w:rFonts w:ascii="Calibri" w:hAnsi="Calibri" w:eastAsia="Calibri" w:cs="Calibri"/>
          <w:color w:val="000000"/>
          <w:sz w:val="22"/>
          <w:szCs w:val="22"/>
        </w:rPr>
        <w:t xml:space="preserve">Vidotto F, Selvaggi A (2018) Note floristiche piemontesi n.888.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(Solanaceae). </w:t>
      </w:r>
      <w:r>
        <w:rPr>
          <w:rFonts w:ascii="Calibri" w:hAnsi="Calibri" w:eastAsia="Calibri" w:cs="Calibri"/>
          <w:i/>
          <w:iCs/>
          <w:color w:val="000000"/>
          <w:sz w:val="22"/>
          <w:szCs w:val="22"/>
        </w:rPr>
        <w:t xml:space="preserve">Rivista piemontese di Storia</w:t>
      </w:r>
      <w:r>
        <w:rPr>
          <w:rFonts w:ascii="Calibri" w:hAnsi="Calibri" w:eastAsia="Calibri" w:cs="Calibri"/>
          <w:i/>
          <w:iCs/>
          <w:color w:val="000000"/>
          <w:sz w:val="22"/>
          <w:szCs w:val="22"/>
        </w:rPr>
        <w:t xml:space="preserve"> naturale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 189–221</w:t>
      </w:r>
    </w:p>
    <w:p>
      <w:pPr>
        <w:widowControl w:val="on"/>
        <w:pBdr/>
        <w:spacing w:before="220" w:after="220" w:line="240" w:lineRule="auto"/>
        <w:ind w:left="0" w:right="0"/>
        <w:jc w:val="left"/>
      </w:pPr>
      <w:r>
        <w:rPr>
          <w:rFonts w:ascii="Calibri" w:hAnsi="Calibri" w:eastAsia="Calibri" w:cs="Calibri"/>
          <w:color w:val="000000"/>
          <w:sz w:val="22"/>
          <w:szCs w:val="22"/>
        </w:rPr>
        <w:t xml:space="preserve">Wahlert GA, Chiarini FE, Bohs L (2015) A Revision of </w:t>
      </w:r>
      <w:r>
        <w:rPr>
          <w:rFonts w:ascii="Calibri" w:hAnsi="Calibri" w:eastAsia="Calibri" w:cs="Calibri"/>
          <w:i/>
          <w:iCs/>
          <w:color w:val="000000"/>
          <w:sz w:val="22"/>
          <w:szCs w:val="22"/>
        </w:rPr>
        <w:t xml:space="preserve">Solanum</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section </w:t>
      </w:r>
      <w:r>
        <w:rPr>
          <w:rFonts w:ascii="Calibri" w:hAnsi="Calibri" w:eastAsia="Calibri" w:cs="Calibri"/>
          <w:i/>
          <w:iCs/>
          <w:color w:val="000000"/>
          <w:sz w:val="22"/>
          <w:szCs w:val="22"/>
        </w:rPr>
        <w:t xml:space="preserve">Lathyrocarpum </w:t>
      </w:r>
      <w:r>
        <w:rPr>
          <w:rFonts w:ascii="Calibri" w:hAnsi="Calibri" w:eastAsia="Calibri" w:cs="Calibri"/>
          <w:color w:val="000000"/>
          <w:sz w:val="22"/>
          <w:szCs w:val="22"/>
        </w:rPr>
        <w:t xml:space="preserve">(the </w:t>
      </w:r>
      <w:r>
        <w:rPr>
          <w:rFonts w:ascii="Calibri" w:hAnsi="Calibri" w:eastAsia="Calibri" w:cs="Calibri"/>
          <w:i/>
          <w:iCs/>
          <w:color w:val="000000"/>
          <w:sz w:val="22"/>
          <w:szCs w:val="22"/>
        </w:rPr>
        <w:t xml:space="preserve">Carolinense </w:t>
      </w:r>
      <w:r>
        <w:rPr>
          <w:rFonts w:ascii="Calibri" w:hAnsi="Calibri" w:eastAsia="Calibri" w:cs="Calibri"/>
          <w:color w:val="000000"/>
          <w:sz w:val="22"/>
          <w:szCs w:val="22"/>
        </w:rPr>
        <w:t xml:space="preserve">clade, Solanaceae). </w:t>
      </w:r>
      <w:r>
        <w:rPr>
          <w:rFonts w:ascii="Calibri" w:hAnsi="Calibri" w:eastAsia="Calibri" w:cs="Calibri"/>
          <w:i/>
          <w:iCs/>
          <w:color w:val="000000"/>
          <w:sz w:val="22"/>
          <w:szCs w:val="22"/>
        </w:rPr>
        <w:t xml:space="preserve">Systematic Botany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853–887. </w:t>
      </w:r>
      <w:hyperlink r:id="rId97666ab96c59c6330" w:history="1">
        <w:r>
          <w:rPr>
            <w:rFonts w:ascii="Calibri" w:hAnsi="Calibri" w:eastAsia="Calibri" w:cs="Calibri"/>
            <w:color w:val="0000CC"/>
            <w:sz w:val="22"/>
            <w:szCs w:val="22"/>
            <w:u w:val="single"/>
          </w:rPr>
          <w:t xml:space="preserve">https://doi.org/10.1600/03636</w:t>
        </w:r>
      </w:hyperlink>
      <w:r>
        <w:rPr>
          <w:rFonts w:ascii="Calibri" w:hAnsi="Calibri" w:eastAsia="Calibri" w:cs="Calibri"/>
          <w:color w:val="000000"/>
          <w:sz w:val="22"/>
          <w:szCs w:val="22"/>
        </w:rPr>
        <w:t xml:space="preserve"> </w:t>
      </w:r>
      <w:hyperlink r:id="rId95636ab96c59c6363" w:history="1">
        <w:r>
          <w:rPr>
            <w:rFonts w:ascii="Calibri" w:hAnsi="Calibri" w:eastAsia="Calibri" w:cs="Calibri"/>
            <w:color w:val="0000CC"/>
            <w:sz w:val="22"/>
            <w:szCs w:val="22"/>
            <w:u w:val="single"/>
          </w:rPr>
          <w:t xml:space="preserve">4415X689302</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Webster T (2008) Weed survey – southern States. </w:t>
      </w:r>
      <w:r>
        <w:rPr>
          <w:rFonts w:ascii="Calibri" w:hAnsi="Calibri" w:eastAsia="Calibri" w:cs="Calibri"/>
          <w:i/>
          <w:iCs/>
          <w:color w:val="000000"/>
          <w:sz w:val="22"/>
          <w:szCs w:val="22"/>
        </w:rPr>
        <w:t xml:space="preserve">Proceedings, Southern Weed Science Society</w:t>
      </w:r>
      <w:r>
        <w:rPr>
          <w:rFonts w:ascii="Calibri" w:hAnsi="Calibri" w:eastAsia="Calibri" w:cs="Calibri"/>
          <w:b/>
          <w:bCs/>
          <w:i/>
          <w:iCs/>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224–243.</w:t>
      </w:r>
    </w:p>
    <w:p>
      <w:pPr>
        <w:widowControl w:val="on"/>
        <w:pBdr/>
        <w:spacing w:before="220" w:after="220" w:line="240" w:lineRule="auto"/>
        <w:ind w:left="0" w:right="0"/>
        <w:jc w:val="left"/>
      </w:pPr>
      <w:r>
        <w:rPr>
          <w:rFonts w:ascii="Calibri" w:hAnsi="Calibri" w:eastAsia="Calibri" w:cs="Calibri"/>
          <w:color w:val="000000"/>
          <w:sz w:val="22"/>
          <w:szCs w:val="22"/>
        </w:rPr>
        <w:t xml:space="preserve">Wehtje G, Wilcut JW, Hicks TV, Sims GR (1987) Reproductive biology and control of </w:t>
      </w:r>
      <w:r>
        <w:rPr>
          <w:rFonts w:ascii="Calibri" w:hAnsi="Calibri" w:eastAsia="Calibri" w:cs="Calibri"/>
          <w:i/>
          <w:iCs/>
          <w:color w:val="000000"/>
          <w:sz w:val="22"/>
          <w:szCs w:val="22"/>
        </w:rPr>
        <w:t xml:space="preserve">Solanum dimidiatum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Weed Science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356–359.</w:t>
      </w:r>
    </w:p>
    <w:p>
      <w:pPr>
        <w:widowControl w:val="on"/>
        <w:pBdr/>
        <w:spacing w:before="220" w:after="220" w:line="240" w:lineRule="auto"/>
        <w:ind w:left="0" w:right="0"/>
        <w:jc w:val="left"/>
      </w:pPr>
      <w:r>
        <w:rPr>
          <w:rFonts w:ascii="Calibri" w:hAnsi="Calibri" w:eastAsia="Calibri" w:cs="Calibri"/>
          <w:color w:val="000000"/>
          <w:sz w:val="22"/>
          <w:szCs w:val="22"/>
        </w:rPr>
        <w:t xml:space="preserve">Whaley CM, Vangessel MJ (2002) Horsenettle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control with a field corn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weed management program. </w:t>
      </w:r>
      <w:r>
        <w:rPr>
          <w:rFonts w:ascii="Calibri" w:hAnsi="Calibri" w:eastAsia="Calibri" w:cs="Calibri"/>
          <w:i/>
          <w:iCs/>
          <w:color w:val="000000"/>
          <w:sz w:val="22"/>
          <w:szCs w:val="22"/>
        </w:rPr>
        <w:t xml:space="preserve">Weed Technology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293–300.</w:t>
      </w:r>
    </w:p>
    <w:p>
      <w:pPr>
        <w:widowControl w:val="on"/>
        <w:pBdr/>
        <w:spacing w:before="220" w:after="220" w:line="240" w:lineRule="auto"/>
        <w:ind w:left="0" w:right="0"/>
        <w:jc w:val="left"/>
      </w:pPr>
      <w:r>
        <w:rPr>
          <w:rFonts w:ascii="Calibri" w:hAnsi="Calibri" w:eastAsia="Calibri" w:cs="Calibri"/>
          <w:color w:val="000000"/>
          <w:sz w:val="22"/>
          <w:szCs w:val="22"/>
        </w:rPr>
        <w:t xml:space="preserve">Wiles LJ, Oliver GW, York AC, Gold HJ, Wilkerson GG (1992) Spatial distribution of broadleaf weeds in North Carolina soybean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fields. </w:t>
      </w:r>
      <w:r>
        <w:rPr>
          <w:rFonts w:ascii="Calibri" w:hAnsi="Calibri" w:eastAsia="Calibri" w:cs="Calibri"/>
          <w:i/>
          <w:iCs/>
          <w:color w:val="000000"/>
          <w:sz w:val="22"/>
          <w:szCs w:val="22"/>
        </w:rPr>
        <w:t xml:space="preserve">Weed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554–557.</w:t>
      </w:r>
    </w:p>
    <w:p>
      <w:pPr>
        <w:widowControl w:val="on"/>
        <w:pBdr/>
        <w:spacing w:before="220" w:after="220" w:line="240" w:lineRule="auto"/>
        <w:ind w:left="0" w:right="0"/>
        <w:jc w:val="left"/>
      </w:pPr>
      <w:r>
        <w:rPr>
          <w:rFonts w:ascii="Calibri" w:hAnsi="Calibri" w:eastAsia="Calibri" w:cs="Calibri"/>
          <w:color w:val="000000"/>
          <w:sz w:val="22"/>
          <w:szCs w:val="22"/>
        </w:rPr>
        <w:t xml:space="preserve">Wise MJ (2018) The notoriously destructive potato stalk borer (Trichobaris trinotata) has negligible impact on its native host, Solanum carolinense (horsenettle). Arthropod-Plant Interactions 12, 385–394.</w:t>
      </w:r>
    </w:p>
    <w:p>
      <w:pPr>
        <w:widowControl w:val="on"/>
        <w:pBdr/>
        <w:spacing w:before="220" w:after="220" w:line="240" w:lineRule="auto"/>
        <w:ind w:left="0" w:right="0"/>
        <w:jc w:val="left"/>
      </w:pPr>
      <w:r>
        <w:rPr>
          <w:rFonts w:ascii="Calibri" w:hAnsi="Calibri" w:eastAsia="Calibri" w:cs="Calibri"/>
          <w:color w:val="000000"/>
          <w:sz w:val="22"/>
          <w:szCs w:val="22"/>
        </w:rPr>
        <w:t xml:space="preserve">Wise MJ, Sacchi CF (1996) Impact of two specialist insect herbivores on reproduction of horse nettle,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Oecologia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328-337.</w:t>
      </w:r>
    </w:p>
    <w:p>
      <w:pPr>
        <w:widowControl w:val="on"/>
        <w:pBdr/>
        <w:spacing w:before="220" w:after="220" w:line="240" w:lineRule="auto"/>
        <w:ind w:left="0" w:right="0"/>
        <w:jc w:val="left"/>
      </w:pPr>
      <w:r>
        <w:rPr>
          <w:rFonts w:ascii="Calibri" w:hAnsi="Calibri" w:eastAsia="Calibri" w:cs="Calibri"/>
          <w:color w:val="000000"/>
          <w:sz w:val="22"/>
          <w:szCs w:val="22"/>
        </w:rPr>
        <w:t xml:space="preserve">Zanotti E (1993) Segnalazione di </w:t>
      </w:r>
      <w:r>
        <w:rPr>
          <w:rFonts w:ascii="Calibri" w:hAnsi="Calibri" w:eastAsia="Calibri" w:cs="Calibri"/>
          <w:i/>
          <w:iCs/>
          <w:color w:val="000000"/>
          <w:sz w:val="22"/>
          <w:szCs w:val="22"/>
        </w:rPr>
        <w:t xml:space="preserve">Solanum carolinense </w:t>
      </w:r>
      <w:r>
        <w:rPr>
          <w:rFonts w:ascii="Calibri" w:hAnsi="Calibri" w:eastAsia="Calibri" w:cs="Calibri"/>
          <w:color w:val="000000"/>
          <w:sz w:val="22"/>
          <w:szCs w:val="22"/>
        </w:rPr>
        <w:t xml:space="preserve">L. nel Bresciano. </w:t>
      </w:r>
      <w:r>
        <w:rPr>
          <w:rFonts w:ascii="Calibri" w:hAnsi="Calibri" w:eastAsia="Calibri" w:cs="Calibri"/>
          <w:i/>
          <w:iCs/>
          <w:color w:val="000000"/>
          <w:sz w:val="22"/>
          <w:szCs w:val="22"/>
        </w:rPr>
        <w:t xml:space="preserve">Natura Bresciano</w:t>
      </w:r>
      <w:r>
        <w:rPr>
          <w:rFonts w:ascii="Calibri" w:hAnsi="Calibri" w:eastAsia="Calibri" w:cs="Calibri"/>
          <w:color w:val="000000"/>
          <w:sz w:val="22"/>
          <w:szCs w:val="22"/>
        </w:rPr>
        <w:t xml:space="preserve"> 28, 125–129.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produced following an expert working group that risk analysed </w:t>
      </w:r>
      <w:r>
        <w:rPr>
          <w:rFonts w:ascii="Calibri" w:hAnsi="Calibri" w:eastAsia="Calibri" w:cs="Calibri"/>
          <w:i/>
          <w:iCs/>
          <w:color w:val="000000"/>
          <w:sz w:val="22"/>
          <w:szCs w:val="22"/>
        </w:rPr>
        <w:t xml:space="preserve">S. carolinense</w:t>
      </w:r>
      <w:r>
        <w:rPr>
          <w:rFonts w:ascii="Calibri" w:hAnsi="Calibri" w:eastAsia="Calibri" w:cs="Calibri"/>
          <w:color w:val="000000"/>
          <w:sz w:val="22"/>
          <w:szCs w:val="22"/>
        </w:rPr>
        <w:t xml:space="preserve"> for the EPPO region in January and February 2022. The composition of the expert working group was: G. Brundu (University of Sassari, Department of Agriculture, IT), J Byrd (Mississippi State University, US), D. Chapman (Stirling University, UK), S. Follak (AGES, AT), G. Fried (ANSES, FR), M Herbst (Julius Kühn Institut, DE), T Imaizumi (Institute for Plant Protection, National Agriculture and Food Research Organization, JP), Y Kulakova (All Russian Plant Quarantine Center, RU), J. Van Valkenburg (National Plant Protection Organization, NL).</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EPPO datasheets on pests recommended for regulation. Available online. </w:t>
      </w:r>
      <w:hyperlink r:id="rId62216ab96c59c6743"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2023. It is now maintained in an electronic format in the EPPO Global Database. The sections on 'Identity'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Datasheets on pests recommended for regulation. </w:t>
      </w:r>
      <w:r>
        <w:rPr>
          <w:rFonts w:ascii="Calibri" w:hAnsi="Calibri" w:eastAsia="Calibri" w:cs="Calibri"/>
          <w:i/>
          <w:iCs/>
          <w:color w:val="000000"/>
          <w:sz w:val="22"/>
          <w:szCs w:val="22"/>
        </w:rPr>
        <w:t xml:space="preserve">Solanum carolinense</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(1), 100-107.  </w:t>
      </w:r>
      <w:hyperlink r:id="rId59536ab96c59c6812" w:history="1">
        <w:r>
          <w:rPr>
            <w:rFonts w:ascii="Calibri" w:hAnsi="Calibri" w:eastAsia="Calibri" w:cs="Calibri"/>
            <w:color w:val="0000CC"/>
            <w:sz w:val="22"/>
            <w:szCs w:val="22"/>
            <w:u w:val="single"/>
          </w:rPr>
          <w:t xml:space="preserve">https://doi.org/10.1111/epp.12894</w:t>
        </w:r>
      </w:hyperlink>
      <w:r>
        <w:rPr>
          <w:rFonts w:ascii="Calibri" w:hAnsi="Calibri" w:eastAsia="Calibri" w:cs="Calibri"/>
          <w:color w:val="000000"/>
          <w:sz w:val="22"/>
          <w:szCs w:val="22"/>
        </w:rPr>
        <w:t xml:space="preserve"> </w:t>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454519">
    <w:multiLevelType w:val="hybridMultilevel"/>
    <w:lvl w:ilvl="0" w:tplc="34630691">
      <w:start w:val="1"/>
      <w:numFmt w:val="decimal"/>
      <w:lvlText w:val="%1."/>
      <w:lvlJc w:val="left"/>
      <w:pPr>
        <w:ind w:left="720" w:hanging="360"/>
      </w:pPr>
    </w:lvl>
    <w:lvl w:ilvl="1" w:tplc="34630691" w:tentative="1">
      <w:start w:val="1"/>
      <w:numFmt w:val="lowerLetter"/>
      <w:lvlText w:val="%2."/>
      <w:lvlJc w:val="left"/>
      <w:pPr>
        <w:ind w:left="1440" w:hanging="360"/>
      </w:pPr>
    </w:lvl>
    <w:lvl w:ilvl="2" w:tplc="34630691" w:tentative="1">
      <w:start w:val="1"/>
      <w:numFmt w:val="lowerRoman"/>
      <w:lvlText w:val="%3."/>
      <w:lvlJc w:val="right"/>
      <w:pPr>
        <w:ind w:left="2160" w:hanging="180"/>
      </w:pPr>
    </w:lvl>
    <w:lvl w:ilvl="3" w:tplc="34630691" w:tentative="1">
      <w:start w:val="1"/>
      <w:numFmt w:val="decimal"/>
      <w:lvlText w:val="%4."/>
      <w:lvlJc w:val="left"/>
      <w:pPr>
        <w:ind w:left="2880" w:hanging="360"/>
      </w:pPr>
    </w:lvl>
    <w:lvl w:ilvl="4" w:tplc="34630691" w:tentative="1">
      <w:start w:val="1"/>
      <w:numFmt w:val="lowerLetter"/>
      <w:lvlText w:val="%5."/>
      <w:lvlJc w:val="left"/>
      <w:pPr>
        <w:ind w:left="3600" w:hanging="360"/>
      </w:pPr>
    </w:lvl>
    <w:lvl w:ilvl="5" w:tplc="34630691" w:tentative="1">
      <w:start w:val="1"/>
      <w:numFmt w:val="lowerRoman"/>
      <w:lvlText w:val="%6."/>
      <w:lvlJc w:val="right"/>
      <w:pPr>
        <w:ind w:left="4320" w:hanging="180"/>
      </w:pPr>
    </w:lvl>
    <w:lvl w:ilvl="6" w:tplc="34630691" w:tentative="1">
      <w:start w:val="1"/>
      <w:numFmt w:val="decimal"/>
      <w:lvlText w:val="%7."/>
      <w:lvlJc w:val="left"/>
      <w:pPr>
        <w:ind w:left="5040" w:hanging="360"/>
      </w:pPr>
    </w:lvl>
    <w:lvl w:ilvl="7" w:tplc="34630691" w:tentative="1">
      <w:start w:val="1"/>
      <w:numFmt w:val="lowerLetter"/>
      <w:lvlText w:val="%8."/>
      <w:lvlJc w:val="left"/>
      <w:pPr>
        <w:ind w:left="5760" w:hanging="360"/>
      </w:pPr>
    </w:lvl>
    <w:lvl w:ilvl="8" w:tplc="34630691" w:tentative="1">
      <w:start w:val="1"/>
      <w:numFmt w:val="lowerRoman"/>
      <w:lvlText w:val="%9."/>
      <w:lvlJc w:val="right"/>
      <w:pPr>
        <w:ind w:left="6480" w:hanging="180"/>
      </w:pPr>
    </w:lvl>
  </w:abstractNum>
  <w:abstractNum w:abstractNumId="51454518">
    <w:multiLevelType w:val="hybridMultilevel"/>
    <w:lvl w:ilvl="0" w:tplc="52960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454518">
    <w:abstractNumId w:val="51454518"/>
  </w:num>
  <w:num w:numId="51454519">
    <w:abstractNumId w:val="5145451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5309159" Type="http://schemas.microsoft.com/office/2011/relationships/commentsExtended" Target="commentsExtended.xml"/><Relationship Id="rId121692793" Type="http://schemas.microsoft.com/office/2011/relationships/people" Target="people.xml"/><Relationship Id="rId79156ab96c59bf7fd" Type="http://schemas.openxmlformats.org/officeDocument/2006/relationships/hyperlink" Target="https://gd.eppo.int/taxon/SOLCA/" TargetMode="External"/><Relationship Id="rId99376ab96c59bf844" Type="http://schemas.openxmlformats.org/officeDocument/2006/relationships/hyperlink" Target="https://gd.eppo.int/taxon/SOLCA/categorization" TargetMode="External"/><Relationship Id="rId25566ab96c59c0339" Type="http://schemas.openxmlformats.org/officeDocument/2006/relationships/hyperlink" Target="https://gd.eppo.int/taxon/SOLCA/photos" TargetMode="External"/><Relationship Id="rId84556ab96c59c0558" Type="http://schemas.openxmlformats.org/officeDocument/2006/relationships/hyperlink" Target="http://inaturalist.org/" TargetMode="External"/><Relationship Id="rId82596ab96c59c4379" Type="http://schemas.openxmlformats.org/officeDocument/2006/relationships/hyperlink" Target="http://www.gazette.gc.ca/rp-pr/p2/2016/2016-05-18/html/sor-dors93-eng.html" TargetMode="External"/><Relationship Id="rId14486ab96c59c439f" Type="http://schemas.openxmlformats.org/officeDocument/2006/relationships/hyperlink" Target="http://www.gazette.gc.ca/rp-pr/p2/2016/2016-05-18/html/sor-dors93-eng.html" TargetMode="External"/><Relationship Id="rId18106ab96c59c4411" Type="http://schemas.openxmlformats.org/officeDocument/2006/relationships/hyperlink" Target="https://www.invasive.org/browse/subinfo.cfm?sub=6440" TargetMode="External"/><Relationship Id="rId86796ab96c59c4432" Type="http://schemas.openxmlformats.org/officeDocument/2006/relationships/hyperlink" Target="https://www.invasive.org/browse/subinfo.cfm?sub=6440" TargetMode="External"/><Relationship Id="rId72606ab96c59c4492" Type="http://schemas.openxmlformats.org/officeDocument/2006/relationships/hyperlink" Target="https://pierpestregister.mpi.govt.nz/PestsRegister/ImportCommodity/" TargetMode="External"/><Relationship Id="rId68266ab96c59c44b2" Type="http://schemas.openxmlformats.org/officeDocument/2006/relationships/hyperlink" Target="https://pierpestregister.mpi.govt.nz/PestsRegister/ImportCommodity/" TargetMode="External"/><Relationship Id="rId17396ab96c59c4651" Type="http://schemas.openxmlformats.org/officeDocument/2006/relationships/hyperlink" Target="https://wssa.net/wp-content/uploads/antique/USDA%20yearbook%201895.pdf" TargetMode="External"/><Relationship Id="rId87536ab96c59c4672" Type="http://schemas.openxmlformats.org/officeDocument/2006/relationships/hyperlink" Target="https://wssa.net/wp-content/uploads/antique/USDA%20yearbook%201895.pdf" TargetMode="External"/><Relationship Id="rId14176ab96c59c4a89" Type="http://schemas.openxmlformats.org/officeDocument/2006/relationships/hyperlink" Target="https://www.cabi.org/isc/datasheet/50510" TargetMode="External"/><Relationship Id="rId91696ab96c59c4c41" Type="http://schemas.openxmlformats.org/officeDocument/2006/relationships/hyperlink" Target="https://www.verspreidingsatlas.nl/5540%0023" TargetMode="External"/><Relationship Id="rId70876ab96c59c4da4" Type="http://schemas.openxmlformats.org/officeDocument/2006/relationships/hyperlink" Target="https://www.gbif.org/species/2932011" TargetMode="External"/><Relationship Id="rId96336ab96c59c50e1" Type="http://schemas.openxmlformats.org/officeDocument/2006/relationships/hyperlink" Target="https://doi.org/10.1007/s10530-022-02741-6" TargetMode="External"/><Relationship Id="rId68596ab96c59c52a1" Type="http://schemas.openxmlformats.org/officeDocument/2006/relationships/hyperlink" Target="https://doi.org/10.1371/journal.pone.0028459" TargetMode="External"/><Relationship Id="rId19876ab96c59c52c1" Type="http://schemas.openxmlformats.org/officeDocument/2006/relationships/hyperlink" Target="https://doi.org/10.1371/journal.pone.0028459" TargetMode="External"/><Relationship Id="rId24986ab96c59c533d" Type="http://schemas.openxmlformats.org/officeDocument/2006/relationships/hyperlink" Target="https://doi.org/10.5073/jka.2012.434.077" TargetMode="External"/><Relationship Id="rId61006ab96c59c535c" Type="http://schemas.openxmlformats.org/officeDocument/2006/relationships/hyperlink" Target="https://doi.org/10.5073/jka.2012.434.077" TargetMode="External"/><Relationship Id="rId13936ab96c59c5d2b" Type="http://schemas.openxmlformats.org/officeDocument/2006/relationships/hyperlink" Target="http://floradobrasil.jbrj.gov.br/jabot/floradobrasil/FB127331" TargetMode="External"/><Relationship Id="rId25166ab96c59c5d4b" Type="http://schemas.openxmlformats.org/officeDocument/2006/relationships/hyperlink" Target="http://floradobrasil.jbrj.gov.br/jabot/floradobrasil/FB127331" TargetMode="External"/><Relationship Id="rId83956ab96c59c603c" Type="http://schemas.openxmlformats.org/officeDocument/2006/relationships/hyperlink" Target="https://npgsweb.ars-grin.gov/gringlobal/taxon/taxonomydetail?id=100938" TargetMode="External"/><Relationship Id="rId18246ab96c59c605c" Type="http://schemas.openxmlformats.org/officeDocument/2006/relationships/hyperlink" Target="https://npgsweb.ars-grin.gov/gringlobal/taxon/taxonomydetail?id=100938" TargetMode="External"/><Relationship Id="rId87256ab96c59c60ba" Type="http://schemas.openxmlformats.org/officeDocument/2006/relationships/hyperlink" Target="https://plants.sc.egov.usda.gov/home" TargetMode="External"/><Relationship Id="rId79236ab96c59c60f8" Type="http://schemas.openxmlformats.org/officeDocument/2006/relationships/hyperlink" Target="http://wssa.net/wp-content/uploads/2015-Weed-Survey_Baseline.xlsx" TargetMode="External"/><Relationship Id="rId72216ab96c59c610c" Type="http://schemas.openxmlformats.org/officeDocument/2006/relationships/hyperlink" Target="http://wssa.net/wp-content/uploads/2015-Weed-Survey_Baseline.xlsx" TargetMode="External"/><Relationship Id="rId80386ab96c59c614a" Type="http://schemas.openxmlformats.org/officeDocument/2006/relationships/hyperlink" Target="http://wssa.net/wp-content/uploads/2020-Weed-Survey_Grass-crops.xlsx" TargetMode="External"/><Relationship Id="rId23146ab96c59c6168" Type="http://schemas.openxmlformats.org/officeDocument/2006/relationships/hyperlink" Target="http://wssa.net/wp-content/uploads/2020-Weed-Survey_Grass-crops.xlsx" TargetMode="External"/><Relationship Id="rId27716ab96c59c61c4" Type="http://schemas.openxmlformats.org/officeDocument/2006/relationships/hyperlink" Target="https://data.canadensys.net/vascan/search" TargetMode="External"/><Relationship Id="rId97666ab96c59c6330" Type="http://schemas.openxmlformats.org/officeDocument/2006/relationships/hyperlink" Target="https://doi.org/10.1600/036364415X689302" TargetMode="External"/><Relationship Id="rId95636ab96c59c6363" Type="http://schemas.openxmlformats.org/officeDocument/2006/relationships/hyperlink" Target="https://doi.org/10.1600/036364415X689302" TargetMode="External"/><Relationship Id="rId62216ab96c59c6743" Type="http://schemas.openxmlformats.org/officeDocument/2006/relationships/hyperlink" Target="https://gd.eppo.int" TargetMode="External"/><Relationship Id="rId59536ab96c59c6812" Type="http://schemas.openxmlformats.org/officeDocument/2006/relationships/hyperlink" Target="https://doi.org/10.1111/epp.12894" TargetMode="External"/><Relationship Id="rId77716ab96c59c01d7" Type="http://schemas.openxmlformats.org/officeDocument/2006/relationships/image" Target="media/imgrId77716ab96c59c01d7.jpg"/><Relationship Id="rId32936ab96c59c131a" Type="http://schemas.openxmlformats.org/officeDocument/2006/relationships/image" Target="media/imgrId32936ab96c59c131a.jp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