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Solanum carolinense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carolinense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Lamiids: Solanales: Solanaceae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floridanum</w:t>
            </w:r>
            <w:r>
              <w:rPr>
                <w:rFonts w:ascii="Calibri" w:hAnsi="Calibri" w:eastAsia="Calibri" w:cs="Calibri"/>
                <w:color w:val="000000"/>
                <w:position w:val="-3"/>
                <w:sz w:val="22"/>
                <w:szCs w:val="22"/>
              </w:rPr>
              <w:t xml:space="preserve"> Raf., </w:t>
            </w:r>
            <w:r>
              <w:rPr>
                <w:rFonts w:ascii="Calibri" w:hAnsi="Calibri" w:eastAsia="Calibri" w:cs="Calibri"/>
                <w:i/>
                <w:iCs/>
                <w:color w:val="000000"/>
                <w:position w:val="-3"/>
                <w:sz w:val="22"/>
                <w:szCs w:val="22"/>
              </w:rPr>
              <w:t xml:space="preserve">Solanum obliquatum</w:t>
            </w:r>
            <w:r>
              <w:rPr>
                <w:rFonts w:ascii="Calibri" w:hAnsi="Calibri" w:eastAsia="Calibri" w:cs="Calibri"/>
                <w:color w:val="000000"/>
                <w:position w:val="-3"/>
                <w:sz w:val="22"/>
                <w:szCs w:val="22"/>
              </w:rPr>
              <w:t xml:space="preserve"> Raf.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horse nettle, bull nettle, horse nettle (US), sand brier</w:t>
            </w:r>
            <w:hyperlink r:id="rId87956a329428c8f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81156a329428c8f8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SOLCA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77178" name="name20066a329428c9cb7" descr="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45.jpg"/>
                          <pic:cNvPicPr/>
                        </pic:nvPicPr>
                        <pic:blipFill>
                          <a:blip r:embed="rId62316a329428c9cb4" cstate="print"/>
                          <a:stretch>
                            <a:fillRect/>
                          </a:stretch>
                        </pic:blipFill>
                        <pic:spPr>
                          <a:xfrm>
                            <a:off x="0" y="0"/>
                            <a:ext cx="2160000" cy="1281600"/>
                          </a:xfrm>
                          <a:prstGeom prst="rect">
                            <a:avLst/>
                          </a:prstGeom>
                          <a:ln w="0">
                            <a:noFill/>
                          </a:ln>
                        </pic:spPr>
                      </pic:pic>
                    </a:graphicData>
                  </a:graphic>
                </wp:inline>
              </w:drawing>
            </w:r>
            <w:hyperlink r:id="rId19356a329428c9e0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native to North America (USDA, NRCS, 2021). The species occurs in all states of the USA except Nevada, Montana, North Dakota, Hawaii and Alaska (USDA, NRCS,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can be found in the southernmost parts of Canada (Quebec, Ontario) as well as in Nova Scotia (Bassett &amp; Munro, 1986; VASCAN,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database USDA, NRCS (2021) indicates ‘native’ for all states, although it is clear that the species has spread and has now invaded other parts of the USA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USDA GRIN (2021), for example, recognizes 32 states including 1 province in Canada (Ontario) and 1 state in Mexico (Sonora) as native.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pointed out that the native range prior to European settlement could not be determined with full certainty. In their study, they interfered its native distribution based on herbarium specimens and stated that its distribution ‘… extends from central Florida north to New York and Massachusetts and west to Texas, Oklahoma, Kansas, and Nebraska to about the 97th meridian west’.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the species in Mexico, Haiti and in South America is not entirely conclusive. Websites such as </w:t>
      </w:r>
      <w:hyperlink r:id="rId16466a329428c9fa9" w:history="1">
        <w:r>
          <w:rPr>
            <w:rFonts w:ascii="Calibri" w:hAnsi="Calibri" w:eastAsia="Calibri" w:cs="Calibri"/>
            <w:color w:val="0000CC"/>
            <w:sz w:val="22"/>
            <w:szCs w:val="22"/>
            <w:u w:val="single"/>
          </w:rPr>
          <w:t xml:space="preserve">inaturalist.org</w:t>
        </w:r>
      </w:hyperlink>
      <w:r>
        <w:rPr>
          <w:rFonts w:ascii="Calibri" w:hAnsi="Calibri" w:eastAsia="Calibri" w:cs="Calibri"/>
          <w:color w:val="000000"/>
          <w:sz w:val="22"/>
          <w:szCs w:val="22"/>
        </w:rPr>
        <w:t xml:space="preserve"> and databases (CABI, 2021; GBIF, 2021; USDA GRIN, 2021) list findings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However, 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 not list the species in Mexico.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there is no evidence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collected in Brazil since the time of Pohl's collections [from 1852] (Stehmann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authors also do not recognize any further occurrences in Mexico, Central or South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was first introduced into the EPPO region presumably in the second half of the 20th century. Early records were of small, transient populations scattered across the EPPO region (e.g. in Belgium, Croatia, Georgia, the Netherlands, and Norway).</w:t>
      </w:r>
    </w:p>
    <w:p>
      <w:r>
        <w:drawing>
          <wp:inline distT="0" distB="0" distL="0" distR="0">
            <wp:extent cx="6120000" cy="3067200"/>
            <wp:docPr id="32477670" name="name85416a329428caa39" descr="SOL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CA_distribution_map.jpg"/>
                    <pic:cNvPicPr/>
                  </pic:nvPicPr>
                  <pic:blipFill>
                    <a:blip r:embed="rId84656a329428caa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Finland, France (mainland), Georgia, Germany, Italy (mainland), Netherlands, Norway, Romania, Russian Federation (Far East),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(Zhejiang), India (Tamil Nadu), Japan (Hokkaido, Honshu, Ryukyu Archipelago), Korea, Republic of,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Ontario, Québec), United States of America (Alabama, Arizona, Arkansas, California, Colorado, Connecticut, Delaware, District of Columbia, Florida, Georgia, Idaho, Illinois, Indiana, Iowa, Kansas, Kentucky, Louisiana, Maine, Maryland, Massachusetts, Michigan, Minnesota, Mississippi, Missouri, Nebraska, New Hampshire, New Jersey, New Mexico, New York, North Carolina,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herb.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Bassett and Munro (1986) and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perennial herb, up to 1.2 m tall, unbranched or branched near the base, with both vertical and horizontal roots, the latter spreading horizontally up to 5 m. Stems are armed with slender yellowish spines (prickles) up to 6 mm long. Leaves are also sparsely to moderately armed with prickles up to 6.5 mm long on the major veins abaxially and adaxially. Leave blades 2–15 × 2–10 cm in size, margins lobed with 1–4 lobes per side, sometimes very deeply lobed almost to the midrib, apex is acute to obtuse, and the petioles are 0.4–4 cm in size. Inflorescences consist of 1–20 flowers. They are white, lilac, or purple and star-shaped with five yellow poricidal anthers. Fruits are 1–2 × 1–1.8 cm in size, light green with darker green mottling or pale greenish-white when immature, bright yellow at maturity and glabrous. Seeds are 1.7–2.4 × 1.6–1.8 mm in size, flattened-reniform, lenticular, yellow, and the surface is finely foveolate.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 of the USA, the growing season (i.e. seed emergence)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begins in the middle of May (Ilnicki &amp; Fertig, 1962). In Northern Florida, the growing season typically begins in April and ends in October (Hakes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Bassett and Munro (1986) stated that the species reaches anthesis by early July, while fruits begin to mature by mid-September in Canada. In Japan, the period of shoot emergence is from late April to early June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Miyazaki &amp; Ito,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propagates by creeping roots and seeds. The extensive root system consists of a taproot and horizontally growing roots (Ilnicki &amp; Fertig, 1962; Miyazaki, 2008). The taproot can reach a depth of 240 cm and the roots grow horizontally in soil depths up to 45 cm and become several metres long (Ilnicki &amp; Fertig, 1962). Miyazaki (2008) demonstrated that different sections of the root system had different functions: the bending part forms new shoots; the horizontal part extends into the surrounding area; and the vertical part is used for storage. Shoots are produced from adventitious root buds. In this way, the species can form large clusters (up to 10 m from the parent plant) covering large areas within a few years. Belowground parts over-winter, and new shoots (= ramets) emerge in the spring. Root fragments form buds within a few weeks and thus new plants. Ilnicki &amp; Fertig (1962) demonstrated that fragments ≥2 cm in length and ≥3.5 mm in diameter show a 100% regeneration success. Root fragments grown in a greenhouse at 23–32°C showed regeneration at a level of 63% for 1 cm length and 94% for 2 cm length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is a prolific seed producer. It can produce ca. 40–170 seeds per fruit, with a single plant producing up to ca. 5000 seeds (Bassett &amp; Munro, 1986; Ilnicki &amp; Fertig, 1962). Seeds can germinate and plants emerge from depths of 10 cm (Ilnicki &amp; Fertig, 1962). Seeds retain viability for at least 3 years when buried at depths of 8–12 cm according to Brown and Porter (1942). Solomon (1983) remarked that seeds remained viable for at least 7 years when stored under laboratory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is pollinated by a variety of generalist insects. In North America, non-specialist bees (</w:t>
      </w:r>
      <w:r>
        <w:rPr>
          <w:rFonts w:ascii="Calibri" w:hAnsi="Calibri" w:eastAsia="Calibri" w:cs="Calibri"/>
          <w:i/>
          <w:iCs/>
          <w:color w:val="000000"/>
          <w:sz w:val="22"/>
          <w:szCs w:val="22"/>
        </w:rPr>
        <w:t xml:space="preserve">Lasioglossum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Bombus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Xylocopa </w:t>
      </w:r>
      <w:r>
        <w:rPr>
          <w:rFonts w:ascii="Calibri" w:hAnsi="Calibri" w:eastAsia="Calibri" w:cs="Calibri"/>
          <w:color w:val="000000"/>
          <w:sz w:val="22"/>
          <w:szCs w:val="22"/>
        </w:rPr>
        <w:t xml:space="preserve">spp.) are described as the main pollinators of this species (Quesada-Aguilar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poricidal anthers must be vibrated by pollinators to release pollen (i.e., buzz pollination; Hardin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an andromonoecious species (i.e. plants bear either hermaphrodite flowers or male flowers or both) with a system of gametophytic self-incompatibility (GSI;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quite uncommon among other weed species.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there is some plasticity in the strength of GSI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flowers become more self-compatible as they age and self-fertility increases on plants when cross pollen is scarce. Moreover, genotypes differ in their degree of self- fertility indicating ‘… that there is broad sense heritability for plasticity in the strength of self-incompatibility’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See Kariyat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further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grows in various habitats, such as prairies, deciduous woodlands, swamps, and pine forests, and in disturbed areas such as road- sides, grazed and mowed pastures, ditches, cultivated fields, urban waste areas, and utility and railroad embankments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is a weed in many crops (Table 1 </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color w:val="000000"/>
          <w:sz w:val="22"/>
          <w:szCs w:val="22"/>
        </w:rPr>
        <w:t xml:space="preserve">
Table 1. Main crops which</w:t>
      </w:r>
      <w:r>
        <w:rPr>
          <w:rFonts w:ascii="Calibri" w:hAnsi="Calibri" w:eastAsia="Calibri" w:cs="Calibri"/>
          <w:i/>
          <w:iCs/>
          <w:color w:val="000000"/>
          <w:sz w:val="22"/>
          <w:szCs w:val="22"/>
        </w:rPr>
        <w:t xml:space="preserve"> Solanum carolinense</w:t>
      </w:r>
      <w:r>
        <w:rPr>
          <w:rFonts w:ascii="Calibri" w:hAnsi="Calibri" w:eastAsia="Calibri" w:cs="Calibri"/>
          <w:color w:val="000000"/>
          <w:sz w:val="22"/>
          <w:szCs w:val="22"/>
        </w:rPr>
        <w:t xml:space="preserve"> is associated with.</w:t>
      </w:r>
      <w:r>
        <w:br/>
        <w:br/>
      </w:r>
    </w:p>
    <w:tbl>
      <w:tblPr>
        <w:tblStyle w:val="NormalTablePHPDOCX"/>
        <w:tblCellMar>
          <w:left w:type="dxa" w:w="0"/>
          <w:right w:type="dxa" w:w="0"/>
        </w:tblCellMar>
        <w:tblW w:w="3050" w:type="pct"/>
        <w:tblCellSpacing w:w="30" w:type="dxa"/>
        <w:tblInd w:w="0" w:type="auto"/>
        <w:tblBorders/>
      </w:tblPr>
      <w:tblGrid>
        <w:gridCol w:w="1071.15"/>
        <w:gridCol w:w="941.98"/>
        <w:gridCol w:w="2982.56"/>
      </w:tblGrid>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Crop</w:t>
            </w:r>
          </w:p>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Country (ISO code)</w:t>
            </w:r>
          </w:p>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References</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Arachis hypogaea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Beta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IT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Vidotto and Selvaggi (2028)</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Cucurbita pepo</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Glycine max</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IT, RU,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 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Gossypium hirsutum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Medicago sativa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Van Wychen (2015); Van Wychen (2020)</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Phaseolus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Frank (1990)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Solanum tuberosum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Triticum aestivum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Zea mays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FR, IT,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Whaley and Vangessel (2002); Vidotto and Selvaggi (2018)</w:t>
            </w:r>
          </w:p>
        </w:tc>
      </w:tr>
      <w:tr>
        <w:trPr>
          <w:trHeight w:val="0" w:hRule="atLeast"/>
        </w:trPr>
        <w:tc>
          <w:tcPr>
            <w:tcMar>
              <w:top w:w="15" w:type="dxa"/>
              <w:left w:w="15" w:type="dxa"/>
              <w:bottom w:w="15" w:type="dxa"/>
              <w:right w:w="15" w:type="dxa"/>
            </w:tcMar>
            <w:vAlign w:val="center"/>
          </w:tcPr>
          <w:p/>
        </w:tc>
      </w:tr>
    </w:tbl>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is recorded as growing in different habitats including banks of major rivers (e.g. Waal; Dirkse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2007), ruderal habitats (e.g. roadsides, port areas; Junghans, 2013;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pastures and crop fields (Follak, 2020; Hohla &amp; Zahlheimer, 2018;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Austria, it invades roadsides and crop fields, such as maize, oil-pumpkin and soybean (Follak, 2020). In Italy, the species has been recorded in crops, such as sugar beet, beans and soybean, mainly in Northern Italy (Saglia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the species has also been reported from disturbed sites such as roadsides and ditches (Barberis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Zanotti, 1993). In the Netherlands, since 2004,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found in several localities on sandy riverbanks particularly along the River Waal (Dirkse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FLORON Verspreidingsatlas Vaatplanten,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its presence on banks of rivers,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recorded in natural habitats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over a wide climatic range. 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occurs predominantly between northern latitudes of 28° to 45° and western longitudes of 70° to 98° (GBIF,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limited in cool environments by intense frost, and the length of the growing season (Bassett &amp; Munro, 1986). Stems are frost sensitive and tops usually die following frost in autumn.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low temperatures of 3°C (in 6 cm soil depth), but were killed at temperatures between −2 and −4°C (Bassett &amp; Munro, 1986; Wehtje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roots (0.5 mm in diameter and 35 cm in length) from seedlings were not killed at −4°C for 12 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needs warm temperatures for germination, sprouting and growth. The plant grows rapidly during hot weather (Ilnicki &amp; Fertig, 1962).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demonstrated that under controlled conditions, sprouting of detached roots was highest at temperatures between 15 and 30°C. This temperature range for optimal growth is in accordance with results of 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under western Japanese conditions (Osaka Prefecture).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pointed out that germination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does not occur at temperatures below 14°C under field conditions. Seeds were killed by exposure to heat at 55°C for 72 h and at 60°C for 24 h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1999b).</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resistant to shading. Urakawa &amp; Koide (2004b) reported that the growth of shoots and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did not decrease by shading (50% of sunlight), while it sharply declined under shading of ≥75% of sunlight.</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data indicated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a broad range of soil types and textures, but thrives on light textured, well-drained soils (Ilnicki &amp; Fertig, 1962). It can also grow under high moisture conditions, as it can persist on riverbanks, along field margins of paddy rice fields, in ditches and other moist to periodically saturated locations (e.g.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Moreover, the species was found to be drought resistant, which was attributed to its deeply penetrating roots (Bassett &amp; Munro, 1986; Ilnicki &amp; Fertig,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Generalist natural enemies will potentially attack the plant, but these are unlikely to cause enough damage to influence establishment.</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not used for anything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be a contaminant in grain imported for (1) animal feed mixtures and (2) human consumption, including for processing. The grain imported for human consumption is likely to be less contaminated than that for animal consumption as regulations are stricter. In EPPO countries, it is assumed that the species was introduced from North America together with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In Norway, the species was introduced as a contaminant of imported soybean most likely from the USA (Ouren, 1987). For Germany, Jehlik (1989) and Junghans (2013) noted that contaminated soybean originating from America was the probable source of transient populations of the species. In Romania it is reported by Costea (1996) as probably originated from shipping, especially from trade (‘soya-bean waste’). Kurokawa (2001) assumed that it has further been most likely introduced to Japan from the USA via contamination of grain.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can infest many crops, in particular maize and soybean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Van Wychen, 2015; Wiles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these crops are harvested at a period when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present. Seed lots can therefore be infested by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Seed lots of soybean and maize are most at risk of being contaminated. Seed of wheat was not included in pathways for movement as wheat would be harvested too early in the season for seed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to be present.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Zanotti (1993) assumed that the occurrence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Germany and Italy was due to the cultivation of contaminated maize varieties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abroad. In Austria,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first appeared in a maize field following soybean, where the seeds were thought to have been obtained from Canada (Follak, pers. communication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the fourth most common and the second most trouble- some weed in pastures, rangeland, or other hay fields in the USA (Van Wychen, 2020). Indeed, it is considered that the spread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(both berries and seed) in the USA has occurred through the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Imported hay from the USA may be contaminated with fruits or seeds (Anonymous, 1896). Kurokawa (2001) checked samples of imported hay into Japan. Although many seeds were recognized in each sample, they were not those of the recently observed non-native noxious weed species (incl.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Likewise, Asai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did not detect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imported hay including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alfalfa, Sudan grass) from the USA and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in Japan,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shown to have spread over long distances presumably by both natural and human assisted mechanisms. In the USA, long distance spread has been speculated to be due to the inter-state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recorded in pastures and orchards from the 1970s onwards. The species was limited to a small area in 1981 and from the 1990s onwards, it has become more widespread and infested areas have increased rapidly. In 1994,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reported on approximately 25% of all surveyed pastures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1999a). In 2013, a survey recorded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had infested 76.3% of the total surveyed area of forage crop fields (11 200 ha; cited in Tominaga &amp; Kurokawab,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Austria, Follak (2020) noted that the movement of root fragments via agricultural machinery was strongly suspected to be the main dispersal vector from field-to-field. This was underlined by the fact that most observed populations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occurred at field margins and headlands along farm tracks and roads (southern Styria, Austria). It was observed that the species has spread at least 2 km within 10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infests many crops, in particular spring crops such as peanuts, maize, cotton, potato, alfalfa, green beans, tomato, vegetables, and soybeans (e.g. Van Wychen, 2015, 2020; Webster, 2008). Unfortunately, competition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with crops is not well documented. Only a few studies focused on the impact of the species on crop yield. The extent of yield loss depends largely on the density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but also on the crop type, and low-growing crops seem to be more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have documented effects of various densities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yield of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L.) and snap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The impacts are expressed as crop yield reductions. The study of Hackett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seemed to indicate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a major problem in peanuts. They showed that in 1 year 32 specimens in a 10 m of row (the highest density) reduced yield, but in the second year the same density did not have any effect on the yield of the peanuts. In contrast, Frank (1990) demonstrated that the yield of snap bean was greatly reduced due to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Eight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specimens planted in a 4.6-m row the first year and 16 specimens per row for the second year reduced snap bean yield 36% and 55%,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Whaley and Vangessel (2002) noted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not a strong competitor with maize. At all sites (Delaware, USA), no significant differences or trends in maize yield were observed in field trials (untreated control vs. different herbicide control options).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demonstrated similar findings, although a trend of higher yields was observed in plots with herbicide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the species is the fourth most common and the second most troublesome weed (just after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in pastures, rangeland, or other hay production in the USA (Van Wychen, 2020). In pastures,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considered as a drought-resistant competitor and is presumed to reduce the yield and quality of forage crops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example, population density of </w:t>
      </w:r>
      <w:r>
        <w:rPr>
          <w:rFonts w:ascii="Calibri" w:hAnsi="Calibri" w:eastAsia="Calibri" w:cs="Calibri"/>
          <w:i/>
          <w:iCs/>
          <w:color w:val="000000"/>
          <w:sz w:val="22"/>
          <w:szCs w:val="22"/>
        </w:rPr>
        <w:t xml:space="preserve">S&lt;. carolinense</w:t>
      </w:r>
      <w:r>
        <w:rPr>
          <w:rFonts w:ascii="Calibri" w:hAnsi="Calibri" w:eastAsia="Calibri" w:cs="Calibri"/>
          <w:color w:val="000000"/>
          <w:sz w:val="22"/>
          <w:szCs w:val="22"/>
        </w:rPr>
        <w:t xml:space="preserve"> on an experimental site averaged 86 stems in 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a tall fescue dominated pasture (Richmond/USA; Tolson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Pasture weeds, such as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reduce desirable forage biomass through direct competition for resources or displacement of valuable forage species. However, specific data on forage yield losses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the EPPO region for farmers could be significant if the species spreads and establishes in further areas. The studies conducted in North America indicate the degree to which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impact crop and forage yield. Thus, effective weed control is essential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infested crops and pastures.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already locally in crop (maize, soybean, oil-pumpkin) fields in the EPPO region (Austria: Follak, 2020; Italy: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Germany: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though extensive data on the area of distribution and infestation levels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studies on yield loss or additional operating costs are not accessible, with the exception of Todua (1975), who showed in Georgia (Abkhazia) that the yield of essential oil crops (</w:t>
      </w:r>
      <w:r>
        <w:rPr>
          <w:rFonts w:ascii="Calibri" w:hAnsi="Calibri" w:eastAsia="Calibri" w:cs="Calibri"/>
          <w:i/>
          <w:iCs/>
          <w:color w:val="000000"/>
          <w:sz w:val="22"/>
          <w:szCs w:val="22"/>
        </w:rPr>
        <w:t xml:space="preserve">Pelargonium roseum</w:t>
      </w:r>
      <w:r>
        <w:rPr>
          <w:rFonts w:ascii="Calibri" w:hAnsi="Calibri" w:eastAsia="Calibri" w:cs="Calibri"/>
          <w:color w:val="000000"/>
          <w:sz w:val="22"/>
          <w:szCs w:val="22"/>
        </w:rPr>
        <w:t xml:space="preserve"> Wild) was decreased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addition, the yield of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in plantations was shown to decrease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and the quality of tea deteriorated.</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be managed in crops and pastures in the same way as other weeds by herbicide use or mechanical measures. However, the control of the species by ploughing, cultivation and mowing is considered difficult because of its extensive root system and high capacity of regeneration. Moreover,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only moderately susceptible to several herbicides and multiple applications are required for adequate control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species will most likely show the same behaviour in the EPPO region. Therefore, additional weed management actions, such as specific herbicide programs (e.g. Whaley &amp; Vangessel, 2002) or multiple tillage passes, may be required and this could raise control costs.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Solanum carolinens</w:t>
      </w:r>
      <w:r>
        <w:rPr>
          <w:rFonts w:ascii="Calibri" w:hAnsi="Calibri" w:eastAsia="Calibri" w:cs="Calibri"/>
          <w:color w:val="000000"/>
          <w:sz w:val="22"/>
          <w:szCs w:val="22"/>
        </w:rPr>
        <w:t xml:space="preserve">e is a host to many pests that can cause damage to a variety of crops. The species is a reservoir for pathogens, such as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Sorauer, </w:t>
      </w:r>
      <w:r>
        <w:rPr>
          <w:rFonts w:ascii="Calibri" w:hAnsi="Calibri" w:eastAsia="Calibri" w:cs="Calibri"/>
          <w:i/>
          <w:iCs/>
          <w:color w:val="000000"/>
          <w:sz w:val="22"/>
          <w:szCs w:val="22"/>
        </w:rPr>
        <w:t xml:space="preserve">Septoria lycopersici</w:t>
      </w:r>
      <w:r>
        <w:rPr>
          <w:rFonts w:ascii="Calibri" w:hAnsi="Calibri" w:eastAsia="Calibri" w:cs="Calibri"/>
          <w:color w:val="000000"/>
          <w:sz w:val="22"/>
          <w:szCs w:val="22"/>
        </w:rPr>
        <w:t xml:space="preserve"> Speg., tobacco mosaic virus (TMV) and cucumber mosaic virus (CMV). Some of the important phytophagous insect pests include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Leptinotarsa juncta</w:t>
      </w:r>
      <w:r>
        <w:rPr>
          <w:rFonts w:ascii="Calibri" w:hAnsi="Calibri" w:eastAsia="Calibri" w:cs="Calibri"/>
          <w:color w:val="000000"/>
          <w:sz w:val="22"/>
          <w:szCs w:val="22"/>
        </w:rPr>
        <w:t xml:space="preserve"> (Germar), </w:t>
      </w:r>
      <w:r>
        <w:rPr>
          <w:rFonts w:ascii="Calibri" w:hAnsi="Calibri" w:eastAsia="Calibri" w:cs="Calibri"/>
          <w:i/>
          <w:iCs/>
          <w:color w:val="000000"/>
          <w:sz w:val="22"/>
          <w:szCs w:val="22"/>
        </w:rPr>
        <w:t xml:space="preserve">Gargaphia solani</w:t>
      </w:r>
      <w:r>
        <w:rPr>
          <w:rFonts w:ascii="Calibri" w:hAnsi="Calibri" w:eastAsia="Calibri" w:cs="Calibri"/>
          <w:color w:val="000000"/>
          <w:sz w:val="22"/>
          <w:szCs w:val="22"/>
        </w:rPr>
        <w:t xml:space="preserve"> (Heidemann), </w:t>
      </w:r>
      <w:r>
        <w:rPr>
          <w:rFonts w:ascii="Calibri" w:hAnsi="Calibri" w:eastAsia="Calibri" w:cs="Calibri"/>
          <w:i/>
          <w:iCs/>
          <w:color w:val="000000"/>
          <w:sz w:val="22"/>
          <w:szCs w:val="22"/>
        </w:rPr>
        <w:t xml:space="preserve">Trichobaris trinotata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Epitrix fuscula</w:t>
      </w:r>
      <w:r>
        <w:rPr>
          <w:rFonts w:ascii="Calibri" w:hAnsi="Calibri" w:eastAsia="Calibri" w:cs="Calibri"/>
          <w:color w:val="000000"/>
          <w:sz w:val="22"/>
          <w:szCs w:val="22"/>
        </w:rPr>
        <w:t xml:space="preserve"> (Crotch), </w:t>
      </w:r>
      <w:r>
        <w:rPr>
          <w:rFonts w:ascii="Calibri" w:hAnsi="Calibri" w:eastAsia="Calibri" w:cs="Calibri"/>
          <w:i/>
          <w:iCs/>
          <w:color w:val="000000"/>
          <w:sz w:val="22"/>
          <w:szCs w:val="22"/>
        </w:rPr>
        <w:t xml:space="preserve">Epitrix cucumeris </w:t>
      </w:r>
      <w:r>
        <w:rPr>
          <w:rFonts w:ascii="Calibri" w:hAnsi="Calibri" w:eastAsia="Calibri" w:cs="Calibri"/>
          <w:color w:val="000000"/>
          <w:sz w:val="22"/>
          <w:szCs w:val="22"/>
        </w:rPr>
        <w:t xml:space="preserve">(Harris), </w:t>
      </w:r>
      <w:r>
        <w:rPr>
          <w:rFonts w:ascii="Calibri" w:hAnsi="Calibri" w:eastAsia="Calibri" w:cs="Calibri"/>
          <w:i/>
          <w:iCs/>
          <w:color w:val="000000"/>
          <w:sz w:val="22"/>
          <w:szCs w:val="22"/>
        </w:rPr>
        <w:t xml:space="preserve">Manduca sexta</w:t>
      </w:r>
      <w:r>
        <w:rPr>
          <w:rFonts w:ascii="Calibri" w:hAnsi="Calibri" w:eastAsia="Calibri" w:cs="Calibri"/>
          <w:color w:val="000000"/>
          <w:sz w:val="22"/>
          <w:szCs w:val="22"/>
        </w:rPr>
        <w:t xml:space="preserve"> (Haworth), </w:t>
      </w:r>
      <w:r>
        <w:rPr>
          <w:rFonts w:ascii="Calibri" w:hAnsi="Calibri" w:eastAsia="Calibri" w:cs="Calibri"/>
          <w:i/>
          <w:iCs/>
          <w:color w:val="000000"/>
          <w:sz w:val="22"/>
          <w:szCs w:val="22"/>
        </w:rPr>
        <w:t xml:space="preserve">Zonosemata electa</w:t>
      </w:r>
      <w:r>
        <w:rPr>
          <w:rFonts w:ascii="Calibri" w:hAnsi="Calibri" w:eastAsia="Calibri" w:cs="Calibri"/>
          <w:color w:val="000000"/>
          <w:sz w:val="22"/>
          <w:szCs w:val="22"/>
        </w:rPr>
        <w:t xml:space="preserve"> (Say),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(Bassett &amp; Munro,  1986; Nichols et al., 1992; Wahlert et al., 2015; Wise, 2018; Wise &amp; Sacchi,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studies available on the potential negative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biodiversity. In general,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most natural habitats of high conservation value have a low potential to be invaded, thus negative effects of this plant on biodiversity are considered of low importance. However, in South Korea,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invaded island ecosystems and the interior of natural forests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considered toxic to live- stock (Bassett &amp; Munro, 1986). Fortunately, the species is not palatable and is not readily grazed unless animals are confined in overgrazed fields. The species contains glycoalkaloids, primarily asolasonine and asolamargine (Cipollini &amp; Levey, 1997). Glycoalkaloids may induce gastrointestinal and systemic effects, with potential neurotoxicity. Bassett and Munro (1986) presented a small amount of anecdotal data on intoxication of livestock.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is required to effectively manage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It should be noted that in natural environments, management practices should be tailored to the habitat invaded. NPPOs should provide land managers, farmers and stakeholders with identification guides including information on preventive measures and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is difficult, because of its extensive root system, its ability to grow from small root fragments and the number of seeds produced. It is most successful when multiple tactics are employed, such as the combination of preventive methods, chemical, mechanical, and cultural control techniques.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Frequent mowing is ineffective in the control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In this respect, Ilnicki and Fertig (1962) demonstrated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likely forms a rosette growth pattern and thus keeps the root system sufficiently supplied with carbohydrates when mowed frequently at very low heights. </w:t>
      </w:r>
    </w:p>
    <w:p>
      <w:pPr>
        <w:widowControl w:val="on"/>
        <w:pBdr/>
        <w:spacing w:before="220" w:after="220" w:line="240" w:lineRule="auto"/>
        <w:ind w:left="0" w:right="0"/>
        <w:jc w:val="both"/>
      </w:pPr>
      <w:r>
        <w:rPr>
          <w:rFonts w:ascii="Calibri" w:hAnsi="Calibri" w:eastAsia="Calibri" w:cs="Calibri"/>
          <w:color w:val="000000"/>
          <w:sz w:val="22"/>
          <w:szCs w:val="22"/>
        </w:rPr>
        <w:t xml:space="preserve">Deep tillage practices (ploughing) normally reduce perennial weed populations, because the underground root system (i.e. the development of below-ground storage organs) is disturbed. Tillage by ploughs, disks, or cultivators may increase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infestations by relocating root fragments to new areas of the crop field or by breaking the dormancy of adventitious buds, resulting in new shoot growth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are the most common method of controlling the species in fields and pastures. Applications with certain mixtures and treatments of glyphosate, auxintype herbicides (e.g. dicamba, picloram, aminopyralid), sulfonylureas (primisulfuron, nicosulfuron) and trik- etones (mesotrione) are somewhat effective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Whaley &amp; Vangessel,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included on the EPPO A2 list of pests recommended for regulation as a quarantine pest. In addition,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 </w:t>
      </w:r>
      <w:r>
        <w:rPr>
          <w:rFonts w:ascii="Calibri" w:hAnsi="Calibri" w:eastAsia="Calibri" w:cs="Calibri"/>
          <w:color w:val="000000"/>
          <w:sz w:val="22"/>
          <w:szCs w:val="22"/>
        </w:rPr>
        <w:t xml:space="preserve">is ‘black- listed’ (banned from sale) in the Italian region of Piemonte (Piedmont) according to D.G.R. no. 46-5100 of 18 December 2012 and under monitoring in the network of protected areas (Natura,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listed under ‘Primary Noxious Weed Seeds’ under the Weed Seeds Order of the Seeds Act (</w:t>
      </w:r>
      <w:hyperlink r:id="rId30476a329428cd721" w:history="1">
        <w:r>
          <w:rPr>
            <w:rFonts w:ascii="Calibri" w:hAnsi="Calibri" w:eastAsia="Calibri" w:cs="Calibri"/>
            <w:color w:val="0000CC"/>
            <w:sz w:val="22"/>
            <w:szCs w:val="22"/>
            <w:u w:val="single"/>
          </w:rPr>
          <w:t xml:space="preserve">http://www.gazette.gc.ca/rp-pr/</w:t>
        </w:r>
      </w:hyperlink>
      <w:r>
        <w:rPr>
          <w:rFonts w:ascii="Calibri" w:hAnsi="Calibri" w:eastAsia="Calibri" w:cs="Calibri"/>
          <w:color w:val="000000"/>
          <w:sz w:val="22"/>
          <w:szCs w:val="22"/>
        </w:rPr>
        <w:t xml:space="preserve"> </w:t>
      </w:r>
      <w:hyperlink r:id="rId56336a329428cd748" w:history="1">
        <w:r>
          <w:rPr>
            <w:rFonts w:ascii="Calibri" w:hAnsi="Calibri" w:eastAsia="Calibri" w:cs="Calibri"/>
            <w:color w:val="0000CC"/>
            <w:sz w:val="22"/>
            <w:szCs w:val="22"/>
            <w:u w:val="single"/>
          </w:rPr>
          <w:t xml:space="preserve">p2/2016/2016-05-18/html/sor-dors93-eng.html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S . carolinense </w:t>
      </w:r>
      <w:r>
        <w:rPr>
          <w:rFonts w:ascii="Calibri" w:hAnsi="Calibri" w:eastAsia="Calibri" w:cs="Calibri"/>
          <w:color w:val="000000"/>
          <w:sz w:val="22"/>
          <w:szCs w:val="22"/>
        </w:rPr>
        <w:t xml:space="preserve"> is declared as a ‘noxious weed’ in Alaska, Michigan, Maryland, Iowa and Nevada (</w:t>
      </w:r>
      <w:hyperlink r:id="rId31986a329428cd7a9" w:history="1">
        <w:r>
          <w:rPr>
            <w:rFonts w:ascii="Calibri" w:hAnsi="Calibri" w:eastAsia="Calibri" w:cs="Calibri"/>
            <w:color w:val="0000CC"/>
            <w:sz w:val="22"/>
            <w:szCs w:val="22"/>
            <w:u w:val="single"/>
          </w:rPr>
          <w:t xml:space="preserve">https://</w:t>
        </w:r>
      </w:hyperlink>
      <w:r>
        <w:rPr>
          <w:rFonts w:ascii="Calibri" w:hAnsi="Calibri" w:eastAsia="Calibri" w:cs="Calibri"/>
          <w:color w:val="000000"/>
          <w:sz w:val="22"/>
          <w:szCs w:val="22"/>
        </w:rPr>
        <w:t xml:space="preserve"> </w:t>
      </w:r>
      <w:hyperlink r:id="rId88906a329428cd7c9" w:history="1">
        <w:r>
          <w:rPr>
            <w:rFonts w:ascii="Calibri" w:hAnsi="Calibri" w:eastAsia="Calibri" w:cs="Calibri"/>
            <w:color w:val="0000CC"/>
            <w:sz w:val="22"/>
            <w:szCs w:val="22"/>
            <w:u w:val="single"/>
          </w:rPr>
          <w:t xml:space="preserve">www.invasive.org/browse/subinfo.cfm?sub=6440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the status of a ‘Quarantine pest’ (Official New Zealand Pest Register: </w:t>
      </w:r>
      <w:hyperlink r:id="rId20516a329428cd827" w:history="1">
        <w:r>
          <w:rPr>
            <w:rFonts w:ascii="Calibri" w:hAnsi="Calibri" w:eastAsia="Calibri" w:cs="Calibri"/>
            <w:color w:val="0000CC"/>
            <w:sz w:val="22"/>
            <w:szCs w:val="22"/>
            <w:u w:val="single"/>
          </w:rPr>
          <w:t xml:space="preserve">https://pierpestregister.mpi.govt.nz/PestsRegister/Impor</w:t>
        </w:r>
      </w:hyperlink>
      <w:r>
        <w:rPr>
          <w:rFonts w:ascii="Calibri" w:hAnsi="Calibri" w:eastAsia="Calibri" w:cs="Calibri"/>
          <w:color w:val="000000"/>
          <w:sz w:val="22"/>
          <w:szCs w:val="22"/>
        </w:rPr>
        <w:t xml:space="preserve"> </w:t>
      </w:r>
      <w:hyperlink r:id="rId27006a329428cd846" w:history="1">
        <w:r>
          <w:rPr>
            <w:rFonts w:ascii="Calibri" w:hAnsi="Calibri" w:eastAsia="Calibri" w:cs="Calibri"/>
            <w:color w:val="0000CC"/>
            <w:sz w:val="22"/>
            <w:szCs w:val="22"/>
            <w:u w:val="single"/>
          </w:rPr>
          <w:t xml:space="preserve">tCommodity/</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(2022) recommends phytosanitary measures for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Grains should be produced in a pest-free area (PFA) for&amp;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produced in a Pest free production site (PFPS) or Pest free place of production (PFPP)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coupled with sorting of the consignment, or grain should be sampled according to ISPM 31 and inspected, and the grain lot found free from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the grain should be devitalized according to an appropriate method. Certified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(1896) Two hundred weeds: How to know them and how to kill them. Yearbook of the United States Department of Agriculture 1895, pp. 592–611. Washington DC, Government Printing Office, </w:t>
      </w:r>
      <w:hyperlink r:id="rId21476a329428cd9e7" w:history="1">
        <w:r>
          <w:rPr>
            <w:rFonts w:ascii="Calibri" w:hAnsi="Calibri" w:eastAsia="Calibri" w:cs="Calibri"/>
            <w:color w:val="0000CC"/>
            <w:sz w:val="22"/>
            <w:szCs w:val="22"/>
            <w:u w:val="single"/>
          </w:rPr>
          <w:t xml:space="preserve">https://wssa.net/wp-content/uploads/antique/</w:t>
        </w:r>
      </w:hyperlink>
      <w:r>
        <w:rPr>
          <w:rFonts w:ascii="Calibri" w:hAnsi="Calibri" w:eastAsia="Calibri" w:cs="Calibri"/>
          <w:color w:val="000000"/>
          <w:sz w:val="22"/>
          <w:szCs w:val="22"/>
        </w:rPr>
        <w:t xml:space="preserve"> </w:t>
      </w:r>
      <w:hyperlink r:id="rId42526a329428cda08" w:history="1">
        <w:r>
          <w:rPr>
            <w:rFonts w:ascii="Calibri" w:hAnsi="Calibri" w:eastAsia="Calibri" w:cs="Calibri"/>
            <w:color w:val="0000CC"/>
            <w:sz w:val="22"/>
            <w:szCs w:val="22"/>
            <w:u w:val="single"/>
          </w:rPr>
          <w:t xml:space="preserve">USDA%20yearbook%201895.pdf</w:t>
        </w:r>
      </w:hyperlink>
      <w:r>
        <w:rPr>
          <w:rFonts w:ascii="Calibri" w:hAnsi="Calibri" w:eastAsia="Calibri" w:cs="Calibri"/>
          <w:color w:val="000000"/>
          <w:sz w:val="22"/>
          <w:szCs w:val="22"/>
        </w:rPr>
        <w:t xml:space="preserve"> (accessed 25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Armel GR, Wilson HP, Richardson RJ, Hines TE (2003) Mesotrione combinations for postemergence control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Asai M, Kurokawa S, Shimizu N, Enomoto T (2007) Hay imported into Japan in 1995 contained exotic weeds. </w:t>
      </w:r>
      <w:r>
        <w:rPr>
          <w:rFonts w:ascii="Calibri" w:hAnsi="Calibri" w:eastAsia="Calibri" w:cs="Calibri"/>
          <w:i/>
          <w:iCs/>
          <w:color w:val="000000"/>
          <w:sz w:val="22"/>
          <w:szCs w:val="22"/>
        </w:rPr>
        <w:t xml:space="preserve">Journal of Weed</w:t>
      </w:r>
      <w:r>
        <w:rPr>
          <w:rFonts w:ascii="Calibri" w:hAnsi="Calibri" w:eastAsia="Calibri" w:cs="Calibri"/>
          <w:i/>
          <w:iCs/>
          <w:color w:val="000000"/>
          <w:sz w:val="22"/>
          <w:szCs w:val="22"/>
        </w:rPr>
        <w:t xml:space="preserve"> Science and Technology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Barberis G, Nepi C, Peccenini S, Peruzzi L (eds.) (2014) Notulae alla flora esotica d'Italia: 10 (202-226) -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Notulae alla checklist della Flora vascolare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(2027–2070).</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IJ, Munro DB (1986) The biology of Canadian weeds 78.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Solanum rostratum </w:t>
      </w:r>
      <w:r>
        <w:rPr>
          <w:rFonts w:ascii="Calibri" w:hAnsi="Calibri" w:eastAsia="Calibri" w:cs="Calibri"/>
          <w:color w:val="000000"/>
          <w:sz w:val="22"/>
          <w:szCs w:val="22"/>
        </w:rPr>
        <w:t xml:space="preserve">Dunal.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Science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977–991.</w:t>
      </w:r>
    </w:p>
    <w:p>
      <w:pPr>
        <w:widowControl w:val="on"/>
        <w:pBdr/>
        <w:spacing w:before="220" w:after="220" w:line="240" w:lineRule="auto"/>
        <w:ind w:left="0" w:right="0"/>
        <w:jc w:val="left"/>
      </w:pPr>
      <w:r>
        <w:rPr>
          <w:rFonts w:ascii="Calibri" w:hAnsi="Calibri" w:eastAsia="Calibri" w:cs="Calibri"/>
          <w:color w:val="000000"/>
          <w:sz w:val="22"/>
          <w:szCs w:val="22"/>
        </w:rPr>
        <w:t xml:space="preserve">Beeler JE, Rhodes GN, Bates GE, Main CL, Mueller TC (2004)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in tall fescue (</w:t>
      </w:r>
      <w:r>
        <w:rPr>
          <w:rFonts w:ascii="Calibri" w:hAnsi="Calibri" w:eastAsia="Calibri" w:cs="Calibri"/>
          <w:i/>
          <w:iCs/>
          <w:color w:val="000000"/>
          <w:sz w:val="22"/>
          <w:szCs w:val="22"/>
        </w:rPr>
        <w:t xml:space="preserve">Festuca</w:t>
      </w:r>
      <w:r>
        <w:rPr>
          <w:rFonts w:ascii="Calibri" w:hAnsi="Calibri" w:eastAsia="Calibri" w:cs="Calibri"/>
          <w:i/>
          <w:iCs/>
          <w:color w:val="000000"/>
          <w:sz w:val="22"/>
          <w:szCs w:val="22"/>
        </w:rPr>
        <w:t xml:space="preserve"> arundinacea</w:t>
      </w:r>
      <w:r>
        <w:rPr>
          <w:rFonts w:ascii="Calibri" w:hAnsi="Calibri" w:eastAsia="Calibri" w:cs="Calibri"/>
          <w:color w:val="000000"/>
          <w:sz w:val="22"/>
          <w:szCs w:val="22"/>
        </w:rPr>
        <w:t xml:space="preserve">) and clover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pastures with mixtures of 2,4-D and picloram.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Technology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1091–1095.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EO, Porter RH (1942) The viability and germination of seeds of </w:t>
      </w:r>
      <w:r>
        <w:rPr>
          <w:rFonts w:ascii="Calibri" w:hAnsi="Calibri" w:eastAsia="Calibri" w:cs="Calibri"/>
          <w:i/>
          <w:iCs/>
          <w:color w:val="000000"/>
          <w:sz w:val="22"/>
          <w:szCs w:val="22"/>
        </w:rPr>
        <w:t xml:space="preserve">Convolvulus arvensis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and other perennial weeds. </w:t>
      </w:r>
      <w:r>
        <w:rPr>
          <w:rFonts w:ascii="Calibri" w:hAnsi="Calibri" w:eastAsia="Calibri" w:cs="Calibri"/>
          <w:i/>
          <w:iCs/>
          <w:color w:val="000000"/>
          <w:sz w:val="22"/>
          <w:szCs w:val="22"/>
        </w:rPr>
        <w:t xml:space="preserve">Iowa Agricultural Experiment Station Research Bulletin </w:t>
      </w:r>
      <w:r>
        <w:rPr>
          <w:rFonts w:ascii="Calibri" w:hAnsi="Calibri" w:eastAsia="Calibri" w:cs="Calibri"/>
          <w:b/>
          <w:bCs/>
          <w:color w:val="000000"/>
          <w:sz w:val="22"/>
          <w:szCs w:val="22"/>
        </w:rPr>
        <w:t xml:space="preserve">294</w:t>
      </w:r>
      <w:r>
        <w:rPr>
          <w:rFonts w:ascii="Calibri" w:hAnsi="Calibri" w:eastAsia="Calibri" w:cs="Calibri"/>
          <w:color w:val="000000"/>
          <w:sz w:val="22"/>
          <w:szCs w:val="22"/>
        </w:rPr>
        <w:t xml:space="preserve">, 475–504.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(horsenettle). Invasive Species Compendium. </w:t>
      </w:r>
      <w:hyperlink r:id="rId30806a329428cde24" w:history="1">
        <w:r>
          <w:rPr>
            <w:rFonts w:ascii="Calibri" w:hAnsi="Calibri" w:eastAsia="Calibri" w:cs="Calibri"/>
            <w:color w:val="0000CC"/>
            <w:sz w:val="22"/>
            <w:szCs w:val="22"/>
            <w:u w:val="single"/>
          </w:rPr>
          <w:t xml:space="preserve">https://www.cabi.org/isc/datasheet/50510</w:t>
        </w:r>
      </w:hyperlink>
      <w:r>
        <w:rPr>
          <w:rFonts w:ascii="Calibri" w:hAnsi="Calibri" w:eastAsia="Calibri" w:cs="Calibri"/>
          <w:color w:val="000000"/>
          <w:sz w:val="22"/>
          <w:szCs w:val="22"/>
        </w:rPr>
        <w:t xml:space="preserve">. Accessed 30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Dirkse GM, Holverda WJ, Hochstenbach SMH, Reijerse AI (2007)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en </w:t>
      </w:r>
      <w:r>
        <w:rPr>
          <w:rFonts w:ascii="Calibri" w:hAnsi="Calibri" w:eastAsia="Calibri" w:cs="Calibri"/>
          <w:i/>
          <w:iCs/>
          <w:color w:val="000000"/>
          <w:sz w:val="22"/>
          <w:szCs w:val="22"/>
        </w:rPr>
        <w:t xml:space="preserve">Pimpinella peregrina </w:t>
      </w:r>
      <w:r>
        <w:rPr>
          <w:rFonts w:ascii="Calibri" w:hAnsi="Calibri" w:eastAsia="Calibri" w:cs="Calibri"/>
          <w:color w:val="000000"/>
          <w:sz w:val="22"/>
          <w:szCs w:val="22"/>
        </w:rPr>
        <w:t xml:space="preserve">L. in Nederland.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rteria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21–27.</w:t>
      </w:r>
    </w:p>
    <w:p>
      <w:pPr>
        <w:widowControl w:val="on"/>
        <w:pBdr/>
        <w:spacing w:before="220" w:after="220" w:line="240" w:lineRule="auto"/>
        <w:ind w:left="0" w:right="0"/>
        <w:jc w:val="left"/>
      </w:pPr>
      <w:r>
        <w:rPr>
          <w:rFonts w:ascii="Calibri" w:hAnsi="Calibri" w:eastAsia="Calibri" w:cs="Calibri"/>
          <w:color w:val="000000"/>
          <w:sz w:val="22"/>
          <w:szCs w:val="22"/>
        </w:rPr>
        <w:t xml:space="preserve">FLORON Verspreidingsatlas Vaatplanten (2021)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hyperlink r:id="rId98916a329428cdfde" w:history="1">
        <w:r>
          <w:rPr>
            <w:rFonts w:ascii="Calibri" w:hAnsi="Calibri" w:eastAsia="Calibri" w:cs="Calibri"/>
            <w:color w:val="0000CC"/>
            <w:sz w:val="22"/>
            <w:szCs w:val="22"/>
            <w:u w:val="single"/>
          </w:rPr>
          <w:t xml:space="preserve">https://www.verspreidingsatlas.nl/5540#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Follak S (2020) Distribution and small-scale spread of the invasive weed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in Austria.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322–326.</w:t>
      </w:r>
    </w:p>
    <w:p>
      <w:pPr>
        <w:widowControl w:val="on"/>
        <w:pBdr/>
        <w:spacing w:before="220" w:after="220" w:line="240" w:lineRule="auto"/>
        <w:ind w:left="0" w:right="0"/>
        <w:jc w:val="left"/>
      </w:pPr>
      <w:r>
        <w:rPr>
          <w:rFonts w:ascii="Calibri" w:hAnsi="Calibri" w:eastAsia="Calibri" w:cs="Calibri"/>
          <w:color w:val="000000"/>
          <w:sz w:val="22"/>
          <w:szCs w:val="22"/>
        </w:rPr>
        <w:t xml:space="preserve">Frank JR (1990) Influence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on snapbean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GBIF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Global Biodiversity Information Facility. </w:t>
      </w:r>
      <w:hyperlink r:id="rId78186a329428ce160" w:history="1">
        <w:r>
          <w:rPr>
            <w:rFonts w:ascii="Calibri" w:hAnsi="Calibri" w:eastAsia="Calibri" w:cs="Calibri"/>
            <w:color w:val="0000CC"/>
            <w:sz w:val="22"/>
            <w:szCs w:val="22"/>
            <w:u w:val="single"/>
          </w:rPr>
          <w:t xml:space="preserve">https://www.gbif.org/species/2932011</w:t>
        </w:r>
      </w:hyperlink>
      <w:r>
        <w:rPr>
          <w:rFonts w:ascii="Calibri" w:hAnsi="Calibri" w:eastAsia="Calibri" w:cs="Calibri"/>
          <w:color w:val="000000"/>
          <w:sz w:val="22"/>
          <w:szCs w:val="22"/>
        </w:rPr>
        <w:t xml:space="preserve">. Accessed 27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Gorrell RM, Bingham SW, Foy CL (1981) Control of horsenettle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w:t>
      </w:r>
      <w:r>
        <w:rPr>
          <w:rFonts w:ascii="Calibri" w:hAnsi="Calibri" w:eastAsia="Calibri" w:cs="Calibri"/>
          <w:color w:val="000000"/>
          <w:sz w:val="22"/>
          <w:szCs w:val="22"/>
        </w:rPr>
        <w:t xml:space="preserve">e) fleshy roots in pastures.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586–589.</w:t>
      </w:r>
    </w:p>
    <w:p>
      <w:pPr>
        <w:widowControl w:val="on"/>
        <w:pBdr/>
        <w:spacing w:before="220" w:after="220" w:line="240" w:lineRule="auto"/>
        <w:ind w:left="0" w:right="0"/>
        <w:jc w:val="left"/>
      </w:pPr>
      <w:r>
        <w:rPr>
          <w:rFonts w:ascii="Calibri" w:hAnsi="Calibri" w:eastAsia="Calibri" w:cs="Calibri"/>
          <w:color w:val="000000"/>
          <w:sz w:val="22"/>
          <w:szCs w:val="22"/>
        </w:rPr>
        <w:t xml:space="preserve">Hackett NM, Murray DS, Weeks DL (1987) Interference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with peanuts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w:t>
      </w:r>
      <w:r>
        <w:rPr>
          <w:rFonts w:ascii="Calibri" w:hAnsi="Calibri" w:eastAsia="Calibri" w:cs="Calibri"/>
          <w:i/>
          <w:iCs/>
          <w:color w:val="000000"/>
          <w:sz w:val="22"/>
          <w:szCs w:val="22"/>
        </w:rPr>
        <w:t xml:space="preserve">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780–784.</w:t>
      </w:r>
    </w:p>
    <w:p>
      <w:pPr>
        <w:widowControl w:val="on"/>
        <w:pBdr/>
        <w:spacing w:before="220" w:after="220" w:line="240" w:lineRule="auto"/>
        <w:ind w:left="0" w:right="0"/>
        <w:jc w:val="left"/>
      </w:pPr>
      <w:r>
        <w:rPr>
          <w:rFonts w:ascii="Calibri" w:hAnsi="Calibri" w:eastAsia="Calibri" w:cs="Calibri"/>
          <w:color w:val="000000"/>
          <w:sz w:val="22"/>
          <w:szCs w:val="22"/>
        </w:rPr>
        <w:t xml:space="preserve">Hakes AS, Halpern S, Underwood N (2018) Insect herbivores increase the spatial aggregation of a clonal plant. </w:t>
      </w:r>
      <w:r>
        <w:rPr>
          <w:rFonts w:ascii="Calibri" w:hAnsi="Calibri" w:eastAsia="Calibri" w:cs="Calibri"/>
          <w:i/>
          <w:iCs/>
          <w:color w:val="000000"/>
          <w:sz w:val="22"/>
          <w:szCs w:val="22"/>
        </w:rPr>
        <w:t xml:space="preserve">International Journal of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t Sciences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Hardin JW, Doebksen G, Herndon D, Hobson M, Thomas F (1972) Pollination ecology and floral biology of four weedy genera in Southern Oklahoma. </w:t>
      </w:r>
      <w:r>
        <w:rPr>
          <w:rFonts w:ascii="Calibri" w:hAnsi="Calibri" w:eastAsia="Calibri" w:cs="Calibri"/>
          <w:i/>
          <w:iCs/>
          <w:color w:val="000000"/>
          <w:sz w:val="22"/>
          <w:szCs w:val="22"/>
        </w:rPr>
        <w:t xml:space="preserve">The Southwestern Naturalist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403–412.</w:t>
      </w:r>
    </w:p>
    <w:p>
      <w:pPr>
        <w:widowControl w:val="on"/>
        <w:pBdr/>
        <w:spacing w:before="220" w:after="220" w:line="240" w:lineRule="auto"/>
        <w:ind w:left="0" w:right="0"/>
        <w:jc w:val="left"/>
      </w:pPr>
      <w:r>
        <w:rPr>
          <w:rFonts w:ascii="Calibri" w:hAnsi="Calibri" w:eastAsia="Calibri" w:cs="Calibri"/>
          <w:color w:val="000000"/>
          <w:sz w:val="22"/>
          <w:szCs w:val="22"/>
        </w:rPr>
        <w:t xml:space="preserve">Hohla M, Zahlheimer W (2018)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neu in Bayern. In: </w:t>
      </w:r>
      <w:r>
        <w:rPr>
          <w:rFonts w:ascii="Calibri" w:hAnsi="Calibri" w:eastAsia="Calibri" w:cs="Calibri"/>
          <w:i/>
          <w:iCs/>
          <w:color w:val="000000"/>
          <w:sz w:val="22"/>
          <w:szCs w:val="22"/>
        </w:rPr>
        <w:t xml:space="preserve">Floristische Kurzmitteilungen. Berichte der Bayerischen Botanischen Gesellschaft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143–166.</w:t>
      </w:r>
    </w:p>
    <w:p>
      <w:pPr>
        <w:widowControl w:val="on"/>
        <w:pBdr/>
        <w:spacing w:before="220" w:after="220" w:line="240" w:lineRule="auto"/>
        <w:ind w:left="0" w:right="0"/>
        <w:jc w:val="left"/>
      </w:pPr>
      <w:r>
        <w:rPr>
          <w:rFonts w:ascii="Calibri" w:hAnsi="Calibri" w:eastAsia="Calibri" w:cs="Calibri"/>
          <w:color w:val="000000"/>
          <w:sz w:val="22"/>
          <w:szCs w:val="22"/>
        </w:rPr>
        <w:t xml:space="preserve">Ikeda M, Nishi T, Asai M, Muranaka T, Konuma A, Tominaga T, Shimono Y (2022) The role of weed seed contamination in grain commodities as propagule pressure. </w:t>
      </w:r>
      <w:r>
        <w:rPr>
          <w:rFonts w:ascii="Calibri" w:hAnsi="Calibri" w:eastAsia="Calibri" w:cs="Calibri"/>
          <w:i/>
          <w:iCs/>
          <w:color w:val="000000"/>
          <w:sz w:val="22"/>
          <w:szCs w:val="22"/>
        </w:rPr>
        <w:t xml:space="preserve">Biological Invasions. </w:t>
      </w:r>
      <w:hyperlink r:id="rId30606a329428ce4af" w:history="1">
        <w:r>
          <w:rPr>
            <w:rFonts w:ascii="Calibri" w:hAnsi="Calibri" w:eastAsia="Calibri" w:cs="Calibri"/>
            <w:color w:val="0000CC"/>
            <w:sz w:val="22"/>
            <w:szCs w:val="22"/>
            <w:u w:val="single"/>
          </w:rPr>
          <w:t xml:space="preserve">https://doi.org/10.1007/s10530-022-02741-6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Ilnicki, RD, Fertig SN (1962) Life History Studies as Related to Weed Control in the Northeast. 3. Horse Nettle. Bulletin 368. Kingston: University of Rhode Island, Agricultural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Imaizumi T, Kurokawa S, Ito M, Auld B, Wang GX (2006) Population structure of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along the Takano River in Kyoto, Japan as determined by amplified fragment length poly- morphism analysis.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Jehlik V (1989) Zweiter Beitrag zur synanthropen (besonders Adventiv-)Flora des Hamburger Hafens. </w:t>
      </w:r>
      <w:r>
        <w:rPr>
          <w:rFonts w:ascii="Calibri" w:hAnsi="Calibri" w:eastAsia="Calibri" w:cs="Calibri"/>
          <w:i/>
          <w:iCs/>
          <w:color w:val="000000"/>
          <w:sz w:val="22"/>
          <w:szCs w:val="22"/>
        </w:rPr>
        <w:t xml:space="preserve">Tuexenia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Junghans T (2013) Der Carolina-Nachtschatten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als eingebürgerter Neophyt im Industriehafen von Mannheim. Pollichia-Kurier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w:t>
      </w:r>
    </w:p>
    <w:p>
      <w:pPr>
        <w:widowControl w:val="on"/>
        <w:pBdr/>
        <w:spacing w:before="220" w:after="220" w:line="240" w:lineRule="auto"/>
        <w:ind w:left="0" w:right="0"/>
        <w:jc w:val="left"/>
      </w:pPr>
      <w:r>
        <w:rPr>
          <w:rFonts w:ascii="Calibri" w:hAnsi="Calibri" w:eastAsia="Calibri" w:cs="Calibri"/>
          <w:color w:val="000000"/>
          <w:sz w:val="22"/>
          <w:szCs w:val="22"/>
        </w:rPr>
        <w:t xml:space="preserve">Kariyat RR, Scanlon SR, Mescher MC, De Moraes CM, Stephenson AG (2011) Inbreeding depression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under field conditions and implications for mating system evolution. </w:t>
      </w:r>
      <w:r>
        <w:rPr>
          <w:rFonts w:ascii="Calibri" w:hAnsi="Calibri" w:eastAsia="Calibri" w:cs="Calibri"/>
          <w:i/>
          <w:iCs/>
          <w:color w:val="000000"/>
          <w:sz w:val="22"/>
          <w:szCs w:val="22"/>
        </w:rPr>
        <w:t xml:space="preserve">PLoS ONE </w:t>
      </w:r>
      <w:r>
        <w:rPr>
          <w:rFonts w:ascii="Calibri" w:hAnsi="Calibri" w:eastAsia="Calibri" w:cs="Calibri"/>
          <w:color w:val="000000"/>
          <w:sz w:val="22"/>
          <w:szCs w:val="22"/>
        </w:rPr>
        <w:t xml:space="preserve">6(12), e28459. doi: </w:t>
      </w:r>
      <w:hyperlink r:id="rId92986a329428ce675" w:history="1">
        <w:r>
          <w:rPr>
            <w:rFonts w:ascii="Calibri" w:hAnsi="Calibri" w:eastAsia="Calibri" w:cs="Calibri"/>
            <w:color w:val="0000CC"/>
            <w:sz w:val="22"/>
            <w:szCs w:val="22"/>
            <w:u w:val="single"/>
          </w:rPr>
          <w:t xml:space="preserve">10.1371/journal.</w:t>
        </w:r>
      </w:hyperlink>
      <w:r>
        <w:rPr>
          <w:rFonts w:ascii="Calibri" w:hAnsi="Calibri" w:eastAsia="Calibri" w:cs="Calibri"/>
          <w:color w:val="000000"/>
          <w:sz w:val="22"/>
          <w:szCs w:val="22"/>
        </w:rPr>
        <w:t xml:space="preserve"> </w:t>
      </w:r>
      <w:hyperlink r:id="rId66666a329428ce695" w:history="1">
        <w:r>
          <w:rPr>
            <w:rFonts w:ascii="Calibri" w:hAnsi="Calibri" w:eastAsia="Calibri" w:cs="Calibri"/>
            <w:color w:val="0000CC"/>
            <w:sz w:val="22"/>
            <w:szCs w:val="22"/>
            <w:u w:val="single"/>
          </w:rPr>
          <w:t xml:space="preserve">pone.0028459</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Klingenhagen G, Wirth M, Wiesmann B, Ahaus H (2012) Occurrence of horse nettle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North Rhine- Westphalia. Julius-Kühn-Archiv, </w:t>
      </w:r>
      <w:r>
        <w:rPr>
          <w:rFonts w:ascii="Calibri" w:hAnsi="Calibri" w:eastAsia="Calibri" w:cs="Calibri"/>
          <w:b/>
          <w:bCs/>
          <w:color w:val="000000"/>
          <w:sz w:val="22"/>
          <w:szCs w:val="22"/>
        </w:rPr>
        <w:t xml:space="preserve">434</w:t>
      </w:r>
      <w:r>
        <w:rPr>
          <w:rFonts w:ascii="Calibri" w:hAnsi="Calibri" w:eastAsia="Calibri" w:cs="Calibri"/>
          <w:color w:val="000000"/>
          <w:sz w:val="22"/>
          <w:szCs w:val="22"/>
        </w:rPr>
        <w:t xml:space="preserve">, 601–604, DOI: </w:t>
      </w:r>
      <w:hyperlink r:id="rId13246a329428ce711" w:history="1">
        <w:r>
          <w:rPr>
            <w:rFonts w:ascii="Calibri" w:hAnsi="Calibri" w:eastAsia="Calibri" w:cs="Calibri"/>
            <w:color w:val="0000CC"/>
            <w:sz w:val="22"/>
            <w:szCs w:val="22"/>
            <w:u w:val="single"/>
          </w:rPr>
          <w:t xml:space="preserve">10.5073/</w:t>
        </w:r>
      </w:hyperlink>
      <w:r>
        <w:rPr>
          <w:rFonts w:ascii="Calibri" w:hAnsi="Calibri" w:eastAsia="Calibri" w:cs="Calibri"/>
          <w:color w:val="000000"/>
          <w:sz w:val="22"/>
          <w:szCs w:val="22"/>
        </w:rPr>
        <w:t xml:space="preserve"> </w:t>
      </w:r>
      <w:hyperlink r:id="rId50636a329428ce730" w:history="1">
        <w:r>
          <w:rPr>
            <w:rFonts w:ascii="Calibri" w:hAnsi="Calibri" w:eastAsia="Calibri" w:cs="Calibri"/>
            <w:color w:val="0000CC"/>
            <w:sz w:val="22"/>
            <w:szCs w:val="22"/>
            <w:u w:val="single"/>
          </w:rPr>
          <w:t xml:space="preserve">jka.2012.434.077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Kurokawa S (2001) Invasion of exotic weed seeds into Japan, mixed in imported feed grains Extension Bulletin - Food &amp; Fertilizer Technology Center No. 497, 14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 M, Vargas-Ponce O, Rodríguez A, Chiang F, Ocegueda S (2017) Solanaceae family in Mexico </w:t>
      </w:r>
      <w:r>
        <w:rPr>
          <w:rFonts w:ascii="Calibri" w:hAnsi="Calibri" w:eastAsia="Calibri" w:cs="Calibri"/>
          <w:i/>
          <w:iCs/>
          <w:color w:val="000000"/>
          <w:sz w:val="22"/>
          <w:szCs w:val="22"/>
        </w:rPr>
        <w:t xml:space="preserve">Botanical Sciences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131–145.</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(2008) Root system architecture and its relationship to the vegetative reproduction function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Urakawa S (2005) Seasonal pattern of shoot emergence and its endogenous control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(2004) Root system structure and shoot arrangement of 1-year-old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w:t>
      </w:r>
      <w:r>
        <w:rPr>
          <w:rFonts w:ascii="Calibri" w:hAnsi="Calibri" w:eastAsia="Calibri" w:cs="Calibri"/>
          <w:i/>
          <w:iCs/>
          <w:color w:val="000000"/>
          <w:sz w:val="22"/>
          <w:szCs w:val="22"/>
        </w:rPr>
        <w:t xml:space="preserve"> Management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RL, Cardina J, Lynch RL, Minton NA, Wells HD (1992) Insects, nematodes, and pathogens associated with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bermudagrass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pastures. Weed Science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320–325.</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Kitagawa M, Yamamoto Y (2004) Effect of sowing date on overwintering and freezing tolerance of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seedlings. </w:t>
      </w:r>
      <w:r>
        <w:rPr>
          <w:rFonts w:ascii="Calibri" w:hAnsi="Calibri" w:eastAsia="Calibri" w:cs="Calibri"/>
          <w:i/>
          <w:iCs/>
          <w:color w:val="000000"/>
          <w:sz w:val="22"/>
          <w:szCs w:val="22"/>
        </w:rPr>
        <w:t xml:space="preserve">Grassland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139–146.</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Kurokawa S, Shibata S, Kitahara N (1999b) Effect of duration of heat exposure on upland weed seed viability. </w:t>
      </w:r>
      <w:r>
        <w:rPr>
          <w:rFonts w:ascii="Calibri" w:hAnsi="Calibri" w:eastAsia="Calibri" w:cs="Calibri"/>
          <w:i/>
          <w:iCs/>
          <w:color w:val="000000"/>
          <w:sz w:val="22"/>
          <w:szCs w:val="22"/>
        </w:rPr>
        <w:t xml:space="preserve">Journal of</w:t>
      </w:r>
      <w:r>
        <w:rPr>
          <w:rFonts w:ascii="Calibri" w:hAnsi="Calibri" w:eastAsia="Calibri" w:cs="Calibri"/>
          <w:i/>
          <w:iCs/>
          <w:color w:val="000000"/>
          <w:sz w:val="22"/>
          <w:szCs w:val="22"/>
        </w:rPr>
        <w:t xml:space="preserve"> Weed Science and Technology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59–66.</w:t>
      </w:r>
    </w:p>
    <w:p>
      <w:pPr>
        <w:widowControl w:val="on"/>
        <w:pBdr/>
        <w:spacing w:before="220" w:after="220" w:line="240" w:lineRule="auto"/>
        <w:ind w:left="0" w:right="0"/>
        <w:jc w:val="left"/>
      </w:pPr>
      <w:r>
        <w:rPr>
          <w:rFonts w:ascii="Calibri" w:hAnsi="Calibri" w:eastAsia="Calibri" w:cs="Calibri"/>
          <w:color w:val="000000"/>
          <w:sz w:val="22"/>
          <w:szCs w:val="22"/>
        </w:rPr>
        <w:t xml:space="preserve">Onen H, Misako I, Imaizumi T (2006) Horsenettle (</w:t>
      </w:r>
      <w:r>
        <w:rPr>
          <w:rFonts w:ascii="Calibri" w:hAnsi="Calibri" w:eastAsia="Calibri" w:cs="Calibri"/>
          <w:i/>
          <w:iCs/>
          <w:color w:val="000000"/>
          <w:sz w:val="22"/>
          <w:szCs w:val="22"/>
        </w:rPr>
        <w:t xml:space="preserve">Solanum carolin</w:t>
      </w:r>
      <w:r>
        <w:rPr>
          <w:rFonts w:ascii="Calibri" w:hAnsi="Calibri" w:eastAsia="Calibri" w:cs="Calibri"/>
          <w:i/>
          <w:iCs/>
          <w:color w:val="000000"/>
          <w:sz w:val="22"/>
          <w:szCs w:val="22"/>
        </w:rPr>
        <w:t xml:space="preserve">ense </w:t>
      </w:r>
      <w:r>
        <w:rPr>
          <w:rFonts w:ascii="Calibri" w:hAnsi="Calibri" w:eastAsia="Calibri" w:cs="Calibri"/>
          <w:color w:val="000000"/>
          <w:sz w:val="22"/>
          <w:szCs w:val="22"/>
        </w:rPr>
        <w:t xml:space="preserve">L.) plants emerged at different times after corn (</w:t>
      </w:r>
      <w:r>
        <w:rPr>
          <w:rFonts w:ascii="Calibri" w:hAnsi="Calibri" w:eastAsia="Calibri" w:cs="Calibri"/>
          <w:i/>
          <w:iCs/>
          <w:color w:val="000000"/>
          <w:sz w:val="22"/>
          <w:szCs w:val="22"/>
        </w:rPr>
        <w:t xml:space="preserve">Zea mays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planting.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Biology and Management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Ouren (1987) Soybean adventitious weeds in Norway.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175–185.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JJP, Pando FJS, Pérez RP (2020) Cuatro solanáceas (Solanaceae) alóctonas nuevas para la flora de Galicia Nova Acta Científica Compostelana (</w:t>
      </w:r>
      <w:r>
        <w:rPr>
          <w:rFonts w:ascii="Calibri" w:hAnsi="Calibri" w:eastAsia="Calibri" w:cs="Calibri"/>
          <w:i/>
          <w:iCs/>
          <w:color w:val="000000"/>
          <w:sz w:val="22"/>
          <w:szCs w:val="22"/>
        </w:rPr>
        <w:t xml:space="preserve">Bioloxía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61–68.</w:t>
      </w:r>
    </w:p>
    <w:p>
      <w:pPr>
        <w:widowControl w:val="on"/>
        <w:pBdr/>
        <w:spacing w:before="220" w:after="220" w:line="240" w:lineRule="auto"/>
        <w:ind w:left="0" w:right="0"/>
        <w:jc w:val="left"/>
      </w:pPr>
      <w:r>
        <w:rPr>
          <w:rFonts w:ascii="Calibri" w:hAnsi="Calibri" w:eastAsia="Calibri" w:cs="Calibri"/>
          <w:color w:val="000000"/>
          <w:sz w:val="22"/>
          <w:szCs w:val="22"/>
        </w:rPr>
        <w:t xml:space="preserve">Prostko, EP, Ingerson Mahar J, Majek BA (1994) Postemergence horsenettle control in field corn. </w:t>
      </w:r>
      <w:r>
        <w:rPr>
          <w:rFonts w:ascii="Calibri" w:hAnsi="Calibri" w:eastAsia="Calibri" w:cs="Calibri"/>
          <w:i/>
          <w:iCs/>
          <w:color w:val="000000"/>
          <w:sz w:val="22"/>
          <w:szCs w:val="22"/>
        </w:rPr>
        <w:t xml:space="preserve">Weed Technology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Quesada-Aguilar A, Kalisz S, Ashman T-L (2008) Flower morphology and pollinator dynamics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Implications for the evolution of andromonoecy.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974–984.</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WW, Crafts AS, Raynor RN (1952) </w:t>
      </w:r>
      <w:r>
        <w:rPr>
          <w:rFonts w:ascii="Calibri" w:hAnsi="Calibri" w:eastAsia="Calibri" w:cs="Calibri"/>
          <w:i/>
          <w:iCs/>
          <w:color w:val="000000"/>
          <w:sz w:val="22"/>
          <w:szCs w:val="22"/>
        </w:rPr>
        <w:t xml:space="preserve">Weed control</w:t>
      </w:r>
      <w:r>
        <w:rPr>
          <w:rFonts w:ascii="Calibri" w:hAnsi="Calibri" w:eastAsia="Calibri" w:cs="Calibri"/>
          <w:color w:val="000000"/>
          <w:sz w:val="22"/>
          <w:szCs w:val="22"/>
        </w:rPr>
        <w:t xml:space="preserve">. 2nd ed. McGrawHill Book Co.,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Saglia A, Vidotto F, Tesio F, Imerone D, Lusetti A, Scotto P (2006)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nuova malerba di colture estive. </w:t>
      </w:r>
      <w:r>
        <w:rPr>
          <w:rFonts w:ascii="Calibri" w:hAnsi="Calibri" w:eastAsia="Calibri" w:cs="Calibri"/>
          <w:i/>
          <w:iCs/>
          <w:color w:val="000000"/>
          <w:sz w:val="22"/>
          <w:szCs w:val="22"/>
        </w:rPr>
        <w:t xml:space="preserve">Informatore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rario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Selvaggi A, Soldano A, Pascale M, Dellavedova R (eds) (2018) Note floristiche piemontesi n. 847-899.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BP (1983) Autoallelopathy in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 revers- ible delayed germination.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Stehmann JR, Mentz LA, Agra MF, Vignoli-Silva M, Giacomin L, Rodrigues IMC (2013) Solanaceae in Lista de Espécies da Flora do Brasil. Jardim Botânico do Rio de Janeiro, </w:t>
      </w:r>
      <w:hyperlink r:id="rId42146a329428cf104" w:history="1">
        <w:r>
          <w:rPr>
            <w:rFonts w:ascii="Calibri" w:hAnsi="Calibri" w:eastAsia="Calibri" w:cs="Calibri"/>
            <w:color w:val="0000CC"/>
            <w:sz w:val="22"/>
            <w:szCs w:val="22"/>
            <w:u w:val="single"/>
          </w:rPr>
          <w:t xml:space="preserve">http://floradobra</w:t>
        </w:r>
      </w:hyperlink>
      <w:r>
        <w:rPr>
          <w:rFonts w:ascii="Calibri" w:hAnsi="Calibri" w:eastAsia="Calibri" w:cs="Calibri"/>
          <w:color w:val="000000"/>
          <w:sz w:val="22"/>
          <w:szCs w:val="22"/>
        </w:rPr>
        <w:t xml:space="preserve"> </w:t>
      </w:r>
      <w:hyperlink r:id="rId18166a329428cf124" w:history="1">
        <w:r>
          <w:rPr>
            <w:rFonts w:ascii="Calibri" w:hAnsi="Calibri" w:eastAsia="Calibri" w:cs="Calibri"/>
            <w:color w:val="0000CC"/>
            <w:sz w:val="22"/>
            <w:szCs w:val="22"/>
            <w:u w:val="single"/>
          </w:rPr>
          <w:t xml:space="preserve">sil.jbrj.gov.br/jabot/floradobrasil/FB127331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Tolson JA, Green JD, Witt WW, Schwab GJ, Omielan JA (2012) Integrated management strategies reduced tall ironweed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ernon</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 populations and weed biomass and improved tall fescue pasture productivity.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Todua NA (1975) </w:t>
      </w:r>
      <w:r>
        <w:rPr>
          <w:rFonts w:ascii="Calibri" w:hAnsi="Calibri" w:eastAsia="Calibri" w:cs="Calibri"/>
          <w:i/>
          <w:iCs/>
          <w:color w:val="000000"/>
          <w:sz w:val="22"/>
          <w:szCs w:val="22"/>
        </w:rPr>
        <w:t xml:space="preserve">Quarantine weeds of the Abkhazian ASSR and improve</w:t>
      </w:r>
      <w:r>
        <w:rPr>
          <w:rFonts w:ascii="Calibri" w:hAnsi="Calibri" w:eastAsia="Calibri" w:cs="Calibri"/>
          <w:i/>
          <w:iCs/>
          <w:color w:val="000000"/>
          <w:sz w:val="22"/>
          <w:szCs w:val="22"/>
        </w:rPr>
        <w:t xml:space="preserve">ment of control measures against </w:t>
      </w:r>
      <w:r>
        <w:rPr>
          <w:rFonts w:ascii="Calibri" w:hAnsi="Calibri" w:eastAsia="Calibri" w:cs="Calibri"/>
          <w:color w:val="000000"/>
          <w:sz w:val="22"/>
          <w:szCs w:val="22"/>
        </w:rPr>
        <w:t xml:space="preserve">Solanum carolinense </w:t>
      </w:r>
      <w:r>
        <w:rPr>
          <w:rFonts w:ascii="Calibri" w:hAnsi="Calibri" w:eastAsia="Calibri" w:cs="Calibri"/>
          <w:i/>
          <w:iCs/>
          <w:color w:val="000000"/>
          <w:sz w:val="22"/>
          <w:szCs w:val="22"/>
        </w:rPr>
        <w:t xml:space="preserve">L. Autoref.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cand. agricultural farm.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Yerevan: Armenian Agricultural Institute, 1975. 30 p.</w:t>
      </w:r>
    </w:p>
    <w:p>
      <w:pPr>
        <w:widowControl w:val="on"/>
        <w:pBdr/>
        <w:spacing w:before="220" w:after="220" w:line="240" w:lineRule="auto"/>
        <w:ind w:left="0" w:right="0"/>
        <w:jc w:val="left"/>
      </w:pPr>
      <w:r>
        <w:rPr>
          <w:rFonts w:ascii="Calibri" w:hAnsi="Calibri" w:eastAsia="Calibri" w:cs="Calibri"/>
          <w:color w:val="000000"/>
          <w:sz w:val="22"/>
          <w:szCs w:val="22"/>
        </w:rPr>
        <w:t xml:space="preserve">Tominaga T, Kurokawab S (2020) Research issues, challenges, and opportunities for weed management in Japan. </w:t>
      </w:r>
      <w:r>
        <w:rPr>
          <w:rFonts w:ascii="Calibri" w:hAnsi="Calibri" w:eastAsia="Calibri" w:cs="Calibri"/>
          <w:i/>
          <w:iCs/>
          <w:color w:val="000000"/>
          <w:sz w:val="22"/>
          <w:szCs w:val="22"/>
        </w:rPr>
        <w:t xml:space="preserve">Crop Protection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104450.</w:t>
      </w:r>
    </w:p>
    <w:p>
      <w:pPr>
        <w:widowControl w:val="on"/>
        <w:pBdr/>
        <w:spacing w:before="220" w:after="220" w:line="240" w:lineRule="auto"/>
        <w:ind w:left="0" w:right="0"/>
        <w:jc w:val="left"/>
      </w:pPr>
      <w:r>
        <w:rPr>
          <w:rFonts w:ascii="Calibri" w:hAnsi="Calibri" w:eastAsia="Calibri" w:cs="Calibri"/>
          <w:color w:val="000000"/>
          <w:sz w:val="22"/>
          <w:szCs w:val="22"/>
        </w:rPr>
        <w:t xml:space="preserve">Travers SE, Mena-Ali J, Stephenson AG (2004) Plasticity in the self- incompatibility system of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Species</w:t>
      </w:r>
      <w:r>
        <w:rPr>
          <w:rFonts w:ascii="Calibri" w:hAnsi="Calibri" w:eastAsia="Calibri" w:cs="Calibri"/>
          <w:i/>
          <w:iCs/>
          <w:color w:val="000000"/>
          <w:sz w:val="22"/>
          <w:szCs w:val="22"/>
        </w:rPr>
        <w:t xml:space="preserve">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USDA, GRIN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National Germplasm Resources Laboratory, Beltsville, Maryland. </w:t>
      </w:r>
      <w:hyperlink r:id="rId97846a329428cf416" w:history="1">
        <w:r>
          <w:rPr>
            <w:rFonts w:ascii="Calibri" w:hAnsi="Calibri" w:eastAsia="Calibri" w:cs="Calibri"/>
            <w:color w:val="0000CC"/>
            <w:sz w:val="22"/>
            <w:szCs w:val="22"/>
            <w:u w:val="single"/>
          </w:rPr>
          <w:t xml:space="preserve">https://npgsw</w:t>
        </w:r>
      </w:hyperlink>
      <w:r>
        <w:rPr>
          <w:rFonts w:ascii="Calibri" w:hAnsi="Calibri" w:eastAsia="Calibri" w:cs="Calibri"/>
          <w:color w:val="000000"/>
          <w:sz w:val="22"/>
          <w:szCs w:val="22"/>
        </w:rPr>
        <w:t xml:space="preserve"> </w:t>
      </w:r>
      <w:hyperlink r:id="rId75026a329428cf436" w:history="1">
        <w:r>
          <w:rPr>
            <w:rFonts w:ascii="Calibri" w:hAnsi="Calibri" w:eastAsia="Calibri" w:cs="Calibri"/>
            <w:color w:val="0000CC"/>
            <w:sz w:val="22"/>
            <w:szCs w:val="22"/>
            <w:u w:val="single"/>
          </w:rPr>
          <w:t xml:space="preserve">eb.ars-grin.gov/gring lobal/taxon/taxonomydetail?id=100938</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PLANTS Database.</w:t>
      </w:r>
      <w:hyperlink r:id="rId46556a329428cf496" w:history="1">
        <w:r>
          <w:rPr>
            <w:rFonts w:ascii="Calibri" w:hAnsi="Calibri" w:eastAsia="Calibri" w:cs="Calibri"/>
            <w:color w:val="0000CC"/>
            <w:sz w:val="22"/>
            <w:szCs w:val="22"/>
            <w:u w:val="single"/>
          </w:rPr>
          <w:t xml:space="preserve">https://plants.sc.egov.usda.gov/home</w:t>
        </w:r>
      </w:hyperlink>
      <w:r>
        <w:rPr>
          <w:rFonts w:ascii="Calibri" w:hAnsi="Calibri" w:eastAsia="Calibri" w:cs="Calibri"/>
          <w:color w:val="000000"/>
          <w:sz w:val="22"/>
          <w:szCs w:val="22"/>
        </w:rPr>
        <w:t xml:space="preserve">. Accessed 27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(2015) 2015 Baseline Survey of the Most Common and Troublesome Weeds in the United States and Canada. Weed Science Society of America National Weed Survey Dataset. Available: </w:t>
      </w:r>
      <w:hyperlink r:id="rId78056a329428cf4d5" w:history="1">
        <w:r>
          <w:rPr>
            <w:rFonts w:ascii="Calibri" w:hAnsi="Calibri" w:eastAsia="Calibri" w:cs="Calibri"/>
            <w:color w:val="0000CC"/>
            <w:sz w:val="22"/>
            <w:szCs w:val="22"/>
            <w:u w:val="single"/>
          </w:rPr>
          <w:t xml:space="preserve">http://wssa.net/wp-content/uploads/2015-</w:t>
        </w:r>
      </w:hyperlink>
      <w:hyperlink r:id="rId36836a329428cf4e8" w:history="1">
        <w:r>
          <w:rPr>
            <w:rFonts w:ascii="Calibri" w:hAnsi="Calibri" w:eastAsia="Calibri" w:cs="Calibri"/>
            <w:color w:val="0000CC"/>
            <w:sz w:val="22"/>
            <w:szCs w:val="22"/>
            <w:u w:val="single"/>
          </w:rPr>
          <w:t xml:space="preserve">Weed-Survey_Baseline.xlsx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(2020) 2020 Survey of the Most Common and Troublesome Weeds in Grass Crops, Pasture and Turf in the United States and Canada. Weed Science Society of America National Weed Survey Dataset. Available: </w:t>
      </w:r>
      <w:hyperlink r:id="rId40956a329428cf527" w:history="1">
        <w:r>
          <w:rPr>
            <w:rFonts w:ascii="Calibri" w:hAnsi="Calibri" w:eastAsia="Calibri" w:cs="Calibri"/>
            <w:color w:val="0000CC"/>
            <w:sz w:val="22"/>
            <w:szCs w:val="22"/>
            <w:u w:val="single"/>
          </w:rPr>
          <w:t xml:space="preserve">http://wssa.net/wp-</w:t>
        </w:r>
      </w:hyperlink>
      <w:r>
        <w:rPr>
          <w:rFonts w:ascii="Calibri" w:hAnsi="Calibri" w:eastAsia="Calibri" w:cs="Calibri"/>
          <w:color w:val="000000"/>
          <w:sz w:val="22"/>
          <w:szCs w:val="22"/>
        </w:rPr>
        <w:t xml:space="preserve"> </w:t>
      </w:r>
      <w:hyperlink r:id="rId94786a329428cf546" w:history="1">
        <w:r>
          <w:rPr>
            <w:rFonts w:ascii="Calibri" w:hAnsi="Calibri" w:eastAsia="Calibri" w:cs="Calibri"/>
            <w:color w:val="0000CC"/>
            <w:sz w:val="22"/>
            <w:szCs w:val="22"/>
            <w:u w:val="single"/>
          </w:rPr>
          <w:t xml:space="preserve">content/uploads/2020-Weed-Survey_Grass-crops.xlsx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VASCAN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Database of Vascular Plants of Canada. </w:t>
      </w:r>
      <w:hyperlink r:id="rId92056a329428cf5a3" w:history="1">
        <w:r>
          <w:rPr>
            <w:rFonts w:ascii="Calibri" w:hAnsi="Calibri" w:eastAsia="Calibri" w:cs="Calibri"/>
            <w:color w:val="0000CC"/>
            <w:sz w:val="22"/>
            <w:szCs w:val="22"/>
            <w:u w:val="single"/>
          </w:rPr>
          <w:t xml:space="preserve">https://data.canadensys.net/vascan/search</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Vidotto F, Selvaggi A (2018) Note floristiche piemontesi n.888.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(Solanaceae).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Wahlert GA, Chiarini FE, Bohs L (2015) A Revision of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Lathyrocarpum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Carolinense </w:t>
      </w:r>
      <w:r>
        <w:rPr>
          <w:rFonts w:ascii="Calibri" w:hAnsi="Calibri" w:eastAsia="Calibri" w:cs="Calibri"/>
          <w:color w:val="000000"/>
          <w:sz w:val="22"/>
          <w:szCs w:val="22"/>
        </w:rPr>
        <w:t xml:space="preserve">clade, Solanaceae). </w:t>
      </w:r>
      <w:r>
        <w:rPr>
          <w:rFonts w:ascii="Calibri" w:hAnsi="Calibri" w:eastAsia="Calibri" w:cs="Calibri"/>
          <w:i/>
          <w:iCs/>
          <w:color w:val="000000"/>
          <w:sz w:val="22"/>
          <w:szCs w:val="22"/>
        </w:rPr>
        <w:t xml:space="preserve">Systematic Botany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853–887. </w:t>
      </w:r>
      <w:hyperlink r:id="rId32236a329428cf710" w:history="1">
        <w:r>
          <w:rPr>
            <w:rFonts w:ascii="Calibri" w:hAnsi="Calibri" w:eastAsia="Calibri" w:cs="Calibri"/>
            <w:color w:val="0000CC"/>
            <w:sz w:val="22"/>
            <w:szCs w:val="22"/>
            <w:u w:val="single"/>
          </w:rPr>
          <w:t xml:space="preserve">https://doi.org/10.1600/03636</w:t>
        </w:r>
      </w:hyperlink>
      <w:r>
        <w:rPr>
          <w:rFonts w:ascii="Calibri" w:hAnsi="Calibri" w:eastAsia="Calibri" w:cs="Calibri"/>
          <w:color w:val="000000"/>
          <w:sz w:val="22"/>
          <w:szCs w:val="22"/>
        </w:rPr>
        <w:t xml:space="preserve"> </w:t>
      </w:r>
      <w:hyperlink r:id="rId10026a329428cf72f" w:history="1">
        <w:r>
          <w:rPr>
            <w:rFonts w:ascii="Calibri" w:hAnsi="Calibri" w:eastAsia="Calibri" w:cs="Calibri"/>
            <w:color w:val="0000CC"/>
            <w:sz w:val="22"/>
            <w:szCs w:val="22"/>
            <w:u w:val="single"/>
          </w:rPr>
          <w:t xml:space="preserve">4415X689302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T (2008) Weed survey – southern States. </w:t>
      </w:r>
      <w:r>
        <w:rPr>
          <w:rFonts w:ascii="Calibri" w:hAnsi="Calibri" w:eastAsia="Calibri" w:cs="Calibri"/>
          <w:i/>
          <w:iCs/>
          <w:color w:val="000000"/>
          <w:sz w:val="22"/>
          <w:szCs w:val="22"/>
        </w:rPr>
        <w:t xml:space="preserve">Proceedings, Southern Weed Science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224–243.</w:t>
      </w:r>
    </w:p>
    <w:p>
      <w:pPr>
        <w:widowControl w:val="on"/>
        <w:pBdr/>
        <w:spacing w:before="220" w:after="220" w:line="240" w:lineRule="auto"/>
        <w:ind w:left="0" w:right="0"/>
        <w:jc w:val="left"/>
      </w:pPr>
      <w:r>
        <w:rPr>
          <w:rFonts w:ascii="Calibri" w:hAnsi="Calibri" w:eastAsia="Calibri" w:cs="Calibri"/>
          <w:color w:val="000000"/>
          <w:sz w:val="22"/>
          <w:szCs w:val="22"/>
        </w:rPr>
        <w:t xml:space="preserve">Wehtje G, Wilcut JW, Hicks TV, Sims GR (1987) Reproductive biology and control of </w:t>
      </w:r>
      <w:r>
        <w:rPr>
          <w:rFonts w:ascii="Calibri" w:hAnsi="Calibri" w:eastAsia="Calibri" w:cs="Calibri"/>
          <w:i/>
          <w:iCs/>
          <w:color w:val="000000"/>
          <w:sz w:val="22"/>
          <w:szCs w:val="22"/>
        </w:rPr>
        <w:t xml:space="preserve">Solanum dimidiatum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356–359.</w:t>
      </w:r>
    </w:p>
    <w:p>
      <w:pPr>
        <w:widowControl w:val="on"/>
        <w:pBdr/>
        <w:spacing w:before="220" w:after="220" w:line="240" w:lineRule="auto"/>
        <w:ind w:left="0" w:right="0"/>
        <w:jc w:val="left"/>
      </w:pPr>
      <w:r>
        <w:rPr>
          <w:rFonts w:ascii="Calibri" w:hAnsi="Calibri" w:eastAsia="Calibri" w:cs="Calibri"/>
          <w:color w:val="000000"/>
          <w:sz w:val="22"/>
          <w:szCs w:val="22"/>
        </w:rPr>
        <w:t xml:space="preserve">Whaley CM, Vangessel MJ (2002)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with a field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weed management program.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Wiles LJ, Oliver GW, York AC, Gold HJ, Wilkerson GG (1992) Spatial distribution of broadleaf weeds in North Carolina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554–557.</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(2018) The notoriously destructive potato stalk borer (Trichobaris trinotata) has negligible impact on its native host, Solanum carolinense (horsenettle). Arthropod-Plant Interactions 12, 385–394.</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Sacchi CF (1996) Impact of two specialist insect herbivores on reproduction of horse 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328-337.</w:t>
      </w:r>
    </w:p>
    <w:p>
      <w:pPr>
        <w:widowControl w:val="on"/>
        <w:pBdr/>
        <w:spacing w:before="220" w:after="220" w:line="240" w:lineRule="auto"/>
        <w:ind w:left="0" w:right="0"/>
        <w:jc w:val="left"/>
      </w:pPr>
      <w:r>
        <w:rPr>
          <w:rFonts w:ascii="Calibri" w:hAnsi="Calibri" w:eastAsia="Calibri" w:cs="Calibri"/>
          <w:color w:val="000000"/>
          <w:sz w:val="22"/>
          <w:szCs w:val="22"/>
        </w:rPr>
        <w:t xml:space="preserve">Zanotti E (1993) Segnalazione di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nel Bresciano. </w:t>
      </w:r>
      <w:r>
        <w:rPr>
          <w:rFonts w:ascii="Calibri" w:hAnsi="Calibri" w:eastAsia="Calibri" w:cs="Calibri"/>
          <w:i/>
          <w:iCs/>
          <w:color w:val="000000"/>
          <w:sz w:val="22"/>
          <w:szCs w:val="22"/>
        </w:rPr>
        <w:t xml:space="preserve">Natura Bresciano</w:t>
      </w:r>
      <w:r>
        <w:rPr>
          <w:rFonts w:ascii="Calibri" w:hAnsi="Calibri" w:eastAsia="Calibri" w:cs="Calibri"/>
          <w:color w:val="000000"/>
          <w:sz w:val="22"/>
          <w:szCs w:val="22"/>
        </w:rPr>
        <w:t xml:space="preserve"> 28, 125–129.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for the EPPO region in January and February 2022. The composition of the expert working group was: G. Brundu (University of Sassari, Department of Agriculture, IT), J Byrd (Mississippi State University, US), D. Chapman (Stirling University, UK), S. Follak (AGES, AT), G. Fried (ANSES, FR), M Herbst (Julius Kühn Institut, DE), T Imaizumi (Institute for Plant Protection, National Agriculture and Food Research Organization, JP), Y Kulakova (All Russian Plant Quarantine Center, RU),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EPPO datasheets on pests recommended for regulation. Available online. </w:t>
      </w:r>
      <w:hyperlink r:id="rId42016a329428cfb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100-107.  </w:t>
      </w:r>
      <w:hyperlink r:id="rId78346a329428cfbe3" w:history="1">
        <w:r>
          <w:rPr>
            <w:rFonts w:ascii="Calibri" w:hAnsi="Calibri" w:eastAsia="Calibri" w:cs="Calibri"/>
            <w:color w:val="0000CC"/>
            <w:sz w:val="22"/>
            <w:szCs w:val="22"/>
            <w:u w:val="single"/>
          </w:rPr>
          <w:t xml:space="preserve">https://doi.org/10.1111/epp.12894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575543">
    <w:multiLevelType w:val="hybridMultilevel"/>
    <w:lvl w:ilvl="0" w:tplc="93096680">
      <w:start w:val="1"/>
      <w:numFmt w:val="decimal"/>
      <w:lvlText w:val="%1."/>
      <w:lvlJc w:val="left"/>
      <w:pPr>
        <w:ind w:left="720" w:hanging="360"/>
      </w:pPr>
    </w:lvl>
    <w:lvl w:ilvl="1" w:tplc="93096680" w:tentative="1">
      <w:start w:val="1"/>
      <w:numFmt w:val="lowerLetter"/>
      <w:lvlText w:val="%2."/>
      <w:lvlJc w:val="left"/>
      <w:pPr>
        <w:ind w:left="1440" w:hanging="360"/>
      </w:pPr>
    </w:lvl>
    <w:lvl w:ilvl="2" w:tplc="93096680" w:tentative="1">
      <w:start w:val="1"/>
      <w:numFmt w:val="lowerRoman"/>
      <w:lvlText w:val="%3."/>
      <w:lvlJc w:val="right"/>
      <w:pPr>
        <w:ind w:left="2160" w:hanging="180"/>
      </w:pPr>
    </w:lvl>
    <w:lvl w:ilvl="3" w:tplc="93096680" w:tentative="1">
      <w:start w:val="1"/>
      <w:numFmt w:val="decimal"/>
      <w:lvlText w:val="%4."/>
      <w:lvlJc w:val="left"/>
      <w:pPr>
        <w:ind w:left="2880" w:hanging="360"/>
      </w:pPr>
    </w:lvl>
    <w:lvl w:ilvl="4" w:tplc="93096680" w:tentative="1">
      <w:start w:val="1"/>
      <w:numFmt w:val="lowerLetter"/>
      <w:lvlText w:val="%5."/>
      <w:lvlJc w:val="left"/>
      <w:pPr>
        <w:ind w:left="3600" w:hanging="360"/>
      </w:pPr>
    </w:lvl>
    <w:lvl w:ilvl="5" w:tplc="93096680" w:tentative="1">
      <w:start w:val="1"/>
      <w:numFmt w:val="lowerRoman"/>
      <w:lvlText w:val="%6."/>
      <w:lvlJc w:val="right"/>
      <w:pPr>
        <w:ind w:left="4320" w:hanging="180"/>
      </w:pPr>
    </w:lvl>
    <w:lvl w:ilvl="6" w:tplc="93096680" w:tentative="1">
      <w:start w:val="1"/>
      <w:numFmt w:val="decimal"/>
      <w:lvlText w:val="%7."/>
      <w:lvlJc w:val="left"/>
      <w:pPr>
        <w:ind w:left="5040" w:hanging="360"/>
      </w:pPr>
    </w:lvl>
    <w:lvl w:ilvl="7" w:tplc="93096680" w:tentative="1">
      <w:start w:val="1"/>
      <w:numFmt w:val="lowerLetter"/>
      <w:lvlText w:val="%8."/>
      <w:lvlJc w:val="left"/>
      <w:pPr>
        <w:ind w:left="5760" w:hanging="360"/>
      </w:pPr>
    </w:lvl>
    <w:lvl w:ilvl="8" w:tplc="93096680" w:tentative="1">
      <w:start w:val="1"/>
      <w:numFmt w:val="lowerRoman"/>
      <w:lvlText w:val="%9."/>
      <w:lvlJc w:val="right"/>
      <w:pPr>
        <w:ind w:left="6480" w:hanging="180"/>
      </w:pPr>
    </w:lvl>
  </w:abstractNum>
  <w:abstractNum w:abstractNumId="48575542">
    <w:multiLevelType w:val="hybridMultilevel"/>
    <w:lvl w:ilvl="0" w:tplc="64573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575542">
    <w:abstractNumId w:val="48575542"/>
  </w:num>
  <w:num w:numId="48575543">
    <w:abstractNumId w:val="485755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1554881" Type="http://schemas.microsoft.com/office/2011/relationships/commentsExtended" Target="commentsExtended.xml"/><Relationship Id="rId474235080" Type="http://schemas.microsoft.com/office/2011/relationships/people" Target="people.xml"/><Relationship Id="rId87956a329428c8f47" Type="http://schemas.openxmlformats.org/officeDocument/2006/relationships/hyperlink" Target="https://gd.eppo.int/taxon/SOLCA/" TargetMode="External"/><Relationship Id="rId81156a329428c8f8f" Type="http://schemas.openxmlformats.org/officeDocument/2006/relationships/hyperlink" Target="https://gd.eppo.int/taxon/SOLCA/categorization" TargetMode="External"/><Relationship Id="rId19356a329428c9e08" Type="http://schemas.openxmlformats.org/officeDocument/2006/relationships/hyperlink" Target="https://gd.eppo.int/taxon/SOLCA/photos" TargetMode="External"/><Relationship Id="rId16466a329428c9fa9" Type="http://schemas.openxmlformats.org/officeDocument/2006/relationships/hyperlink" Target="http://inaturalist.org/" TargetMode="External"/><Relationship Id="rId30476a329428cd721" Type="http://schemas.openxmlformats.org/officeDocument/2006/relationships/hyperlink" Target="http://www.gazette.gc.ca/rp-pr/p2/2016/2016-05-18/html/sor-dors93-eng.html" TargetMode="External"/><Relationship Id="rId56336a329428cd748" Type="http://schemas.openxmlformats.org/officeDocument/2006/relationships/hyperlink" Target="http://www.gazette.gc.ca/rp-pr/p2/2016/2016-05-18/html/sor-dors93-eng.html" TargetMode="External"/><Relationship Id="rId31986a329428cd7a9" Type="http://schemas.openxmlformats.org/officeDocument/2006/relationships/hyperlink" Target="https://www.invasive.org/browse/subinfo.cfm?sub=6440" TargetMode="External"/><Relationship Id="rId88906a329428cd7c9" Type="http://schemas.openxmlformats.org/officeDocument/2006/relationships/hyperlink" Target="https://www.invasive.org/browse/subinfo.cfm?sub=6440" TargetMode="External"/><Relationship Id="rId20516a329428cd827" Type="http://schemas.openxmlformats.org/officeDocument/2006/relationships/hyperlink" Target="https://pierpestregister.mpi.govt.nz/PestsRegister/ImportCommodity/" TargetMode="External"/><Relationship Id="rId27006a329428cd846" Type="http://schemas.openxmlformats.org/officeDocument/2006/relationships/hyperlink" Target="https://pierpestregister.mpi.govt.nz/PestsRegister/ImportCommodity/" TargetMode="External"/><Relationship Id="rId21476a329428cd9e7" Type="http://schemas.openxmlformats.org/officeDocument/2006/relationships/hyperlink" Target="https://wssa.net/wp-content/uploads/antique/USDA%20yearbook%201895.pdf" TargetMode="External"/><Relationship Id="rId42526a329428cda08" Type="http://schemas.openxmlformats.org/officeDocument/2006/relationships/hyperlink" Target="https://wssa.net/wp-content/uploads/antique/USDA%20yearbook%201895.pdf" TargetMode="External"/><Relationship Id="rId30806a329428cde24" Type="http://schemas.openxmlformats.org/officeDocument/2006/relationships/hyperlink" Target="https://www.cabi.org/isc/datasheet/50510" TargetMode="External"/><Relationship Id="rId98916a329428cdfde" Type="http://schemas.openxmlformats.org/officeDocument/2006/relationships/hyperlink" Target="https://www.verspreidingsatlas.nl/5540%0023" TargetMode="External"/><Relationship Id="rId78186a329428ce160" Type="http://schemas.openxmlformats.org/officeDocument/2006/relationships/hyperlink" Target="https://www.gbif.org/species/2932011" TargetMode="External"/><Relationship Id="rId30606a329428ce4af" Type="http://schemas.openxmlformats.org/officeDocument/2006/relationships/hyperlink" Target="https://doi.org/10.1007/s10530-022-02741-6" TargetMode="External"/><Relationship Id="rId92986a329428ce675" Type="http://schemas.openxmlformats.org/officeDocument/2006/relationships/hyperlink" Target="https://doi.org/10.1371/journal.pone.0028459" TargetMode="External"/><Relationship Id="rId66666a329428ce695" Type="http://schemas.openxmlformats.org/officeDocument/2006/relationships/hyperlink" Target="https://doi.org/10.1371/journal.pone.0028459" TargetMode="External"/><Relationship Id="rId13246a329428ce711" Type="http://schemas.openxmlformats.org/officeDocument/2006/relationships/hyperlink" Target="https://doi.org/10.5073/jka.2012.434.077" TargetMode="External"/><Relationship Id="rId50636a329428ce730" Type="http://schemas.openxmlformats.org/officeDocument/2006/relationships/hyperlink" Target="https://doi.org/10.5073/jka.2012.434.077" TargetMode="External"/><Relationship Id="rId42146a329428cf104" Type="http://schemas.openxmlformats.org/officeDocument/2006/relationships/hyperlink" Target="http://floradobrasil.jbrj.gov.br/jabot/floradobrasil/FB127331" TargetMode="External"/><Relationship Id="rId18166a329428cf124" Type="http://schemas.openxmlformats.org/officeDocument/2006/relationships/hyperlink" Target="http://floradobrasil.jbrj.gov.br/jabot/floradobrasil/FB127331" TargetMode="External"/><Relationship Id="rId97846a329428cf416" Type="http://schemas.openxmlformats.org/officeDocument/2006/relationships/hyperlink" Target="https://npgsweb.ars-grin.gov/gringlobal/taxon/taxonomydetail?id=100938" TargetMode="External"/><Relationship Id="rId75026a329428cf436" Type="http://schemas.openxmlformats.org/officeDocument/2006/relationships/hyperlink" Target="https://npgsweb.ars-grin.gov/gringlobal/taxon/taxonomydetail?id=100938" TargetMode="External"/><Relationship Id="rId46556a329428cf496" Type="http://schemas.openxmlformats.org/officeDocument/2006/relationships/hyperlink" Target="https://plants.sc.egov.usda.gov/home" TargetMode="External"/><Relationship Id="rId78056a329428cf4d5" Type="http://schemas.openxmlformats.org/officeDocument/2006/relationships/hyperlink" Target="http://wssa.net/wp-content/uploads/2015-Weed-Survey_Baseline.xlsx" TargetMode="External"/><Relationship Id="rId36836a329428cf4e8" Type="http://schemas.openxmlformats.org/officeDocument/2006/relationships/hyperlink" Target="http://wssa.net/wp-content/uploads/2015-Weed-Survey_Baseline.xlsx" TargetMode="External"/><Relationship Id="rId40956a329428cf527" Type="http://schemas.openxmlformats.org/officeDocument/2006/relationships/hyperlink" Target="http://wssa.net/wp-content/uploads/2020-Weed-Survey_Grass-crops.xlsx" TargetMode="External"/><Relationship Id="rId94786a329428cf546" Type="http://schemas.openxmlformats.org/officeDocument/2006/relationships/hyperlink" Target="http://wssa.net/wp-content/uploads/2020-Weed-Survey_Grass-crops.xlsx" TargetMode="External"/><Relationship Id="rId92056a329428cf5a3" Type="http://schemas.openxmlformats.org/officeDocument/2006/relationships/hyperlink" Target="https://data.canadensys.net/vascan/search" TargetMode="External"/><Relationship Id="rId32236a329428cf710" Type="http://schemas.openxmlformats.org/officeDocument/2006/relationships/hyperlink" Target="https://doi.org/10.1600/036364415X689302" TargetMode="External"/><Relationship Id="rId10026a329428cf72f" Type="http://schemas.openxmlformats.org/officeDocument/2006/relationships/hyperlink" Target="https://doi.org/10.1600/036364415X689302" TargetMode="External"/><Relationship Id="rId42016a329428cfb10" Type="http://schemas.openxmlformats.org/officeDocument/2006/relationships/hyperlink" Target="https://gd.eppo.int" TargetMode="External"/><Relationship Id="rId78346a329428cfbe3" Type="http://schemas.openxmlformats.org/officeDocument/2006/relationships/hyperlink" Target="https://doi.org/10.1111/epp.12894" TargetMode="External"/><Relationship Id="rId62316a329428c9cb4" Type="http://schemas.openxmlformats.org/officeDocument/2006/relationships/image" Target="media/imgrId62316a329428c9cb4.jpg"/><Relationship Id="rId84656a329428caa36" Type="http://schemas.openxmlformats.org/officeDocument/2006/relationships/image" Target="media/imgrId84656a329428caa3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