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Hood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Anaphothrips andreae</w:t>
            </w:r>
            <w:r>
              <w:rPr>
                <w:rFonts w:ascii="Calibri" w:hAnsi="Calibri" w:eastAsia="Calibri" w:cs="Calibri"/>
                <w:color w:val="000000"/>
                <w:position w:val="-3"/>
                <w:sz w:val="22"/>
                <w:szCs w:val="22"/>
              </w:rPr>
              <w:t xml:space="preserve"> Karny, </w:t>
            </w:r>
            <w:r>
              <w:rPr>
                <w:rFonts w:ascii="Calibri" w:hAnsi="Calibri" w:eastAsia="Calibri" w:cs="Calibri"/>
                <w:i/>
                <w:iCs/>
                <w:color w:val="000000"/>
                <w:position w:val="-3"/>
                <w:sz w:val="22"/>
                <w:szCs w:val="22"/>
              </w:rPr>
              <w:t xml:space="preserve">Anaphothrips dorsalis</w:t>
            </w:r>
            <w:r>
              <w:rPr>
                <w:rFonts w:ascii="Calibri" w:hAnsi="Calibri" w:eastAsia="Calibri" w:cs="Calibri"/>
                <w:color w:val="000000"/>
                <w:position w:val="-3"/>
                <w:sz w:val="22"/>
                <w:szCs w:val="22"/>
              </w:rPr>
              <w:t xml:space="preserve"> Hood, </w:t>
            </w:r>
            <w:r>
              <w:rPr>
                <w:rFonts w:ascii="Calibri" w:hAnsi="Calibri" w:eastAsia="Calibri" w:cs="Calibri"/>
                <w:i/>
                <w:iCs/>
                <w:color w:val="000000"/>
                <w:position w:val="-3"/>
                <w:sz w:val="22"/>
                <w:szCs w:val="22"/>
              </w:rPr>
              <w:t xml:space="preserve">Anaphothrips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Heliothrips minutissimus</w:t>
            </w:r>
            <w:r>
              <w:rPr>
                <w:rFonts w:ascii="Calibri" w:hAnsi="Calibri" w:eastAsia="Calibri" w:cs="Calibri"/>
                <w:color w:val="000000"/>
                <w:position w:val="-3"/>
                <w:sz w:val="22"/>
                <w:szCs w:val="22"/>
              </w:rPr>
              <w:t xml:space="preserve"> Bagnall, </w:t>
            </w:r>
            <w:r>
              <w:rPr>
                <w:rFonts w:ascii="Calibri" w:hAnsi="Calibri" w:eastAsia="Calibri" w:cs="Calibri"/>
                <w:i/>
                <w:iCs/>
                <w:color w:val="000000"/>
                <w:position w:val="-3"/>
                <w:sz w:val="22"/>
                <w:szCs w:val="22"/>
              </w:rPr>
              <w:t xml:space="preserve">Neophysopus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Scirtothrips dorsalis var. padmae</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Assam thrips, chilli thrips, flower thrips, strawberry thrips, yellow tea thrips</w:t>
            </w:r>
            <w:hyperlink r:id="rId307669c1c6919773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47469c1c6919779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475863" name="name539469c1c69197d0b" descr="15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12.jpg"/>
                          <pic:cNvPicPr/>
                        </pic:nvPicPr>
                        <pic:blipFill>
                          <a:blip r:embed="rId951369c1c69197d09" cstate="print"/>
                          <a:stretch>
                            <a:fillRect/>
                          </a:stretch>
                        </pic:blipFill>
                        <pic:spPr>
                          <a:xfrm>
                            <a:off x="0" y="0"/>
                            <a:ext cx="2160000" cy="1281600"/>
                          </a:xfrm>
                          <a:prstGeom prst="rect">
                            <a:avLst/>
                          </a:prstGeom>
                          <a:ln w="0">
                            <a:noFill/>
                          </a:ln>
                        </pic:spPr>
                      </pic:pic>
                    </a:graphicData>
                  </a:graphic>
                </wp:inline>
              </w:drawing>
            </w:r>
            <w:hyperlink r:id="rId206869c1c69197e4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was described by Hood (1919) from 34 females collected by Ramakrisna in 1916 in Coimbatore (India) on "castor and chillies" shoots. Mound (1968) recognised </w:t>
      </w:r>
      <w:r>
        <w:rPr>
          <w:rFonts w:ascii="Calibri" w:hAnsi="Calibri" w:eastAsia="Calibri" w:cs="Calibri"/>
          <w:i/>
          <w:iCs/>
          <w:color w:val="000000"/>
          <w:sz w:val="22"/>
          <w:szCs w:val="22"/>
        </w:rPr>
        <w:t xml:space="preserve">Heliothrips minutissimus</w:t>
      </w:r>
      <w:r>
        <w:rPr>
          <w:rFonts w:ascii="Calibri" w:hAnsi="Calibri" w:eastAsia="Calibri" w:cs="Calibri"/>
          <w:color w:val="000000"/>
          <w:sz w:val="22"/>
          <w:szCs w:val="22"/>
        </w:rPr>
        <w:t xml:space="preserve"> Bagnall from Bombay as the same species, and Jacot-Guillarmod (1971) also lists </w:t>
      </w:r>
      <w:r>
        <w:rPr>
          <w:rFonts w:ascii="Calibri" w:hAnsi="Calibri" w:eastAsia="Calibri" w:cs="Calibri"/>
          <w:i/>
          <w:iCs/>
          <w:color w:val="000000"/>
          <w:sz w:val="22"/>
          <w:szCs w:val="22"/>
        </w:rPr>
        <w:t xml:space="preserve">Anaphothrips andreae</w:t>
      </w:r>
      <w:r>
        <w:rPr>
          <w:rFonts w:ascii="Calibri" w:hAnsi="Calibri" w:eastAsia="Calibri" w:cs="Calibri"/>
          <w:color w:val="000000"/>
          <w:sz w:val="22"/>
          <w:szCs w:val="22"/>
        </w:rPr>
        <w:t xml:space="preserve"> Karny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padmae</w:t>
      </w:r>
      <w:r>
        <w:rPr>
          <w:rFonts w:ascii="Calibri" w:hAnsi="Calibri" w:eastAsia="Calibri" w:cs="Calibri"/>
          <w:color w:val="000000"/>
          <w:sz w:val="22"/>
          <w:szCs w:val="22"/>
        </w:rPr>
        <w:t xml:space="preserve"> Ramakrishna as synonyms. Moreover, the strawberry thrips from Australia, </w:t>
      </w:r>
      <w:r>
        <w:rPr>
          <w:rFonts w:ascii="Calibri" w:hAnsi="Calibri" w:eastAsia="Calibri" w:cs="Calibri"/>
          <w:i/>
          <w:iCs/>
          <w:color w:val="000000"/>
          <w:sz w:val="22"/>
          <w:szCs w:val="22"/>
        </w:rPr>
        <w:t xml:space="preserve">S. fragariae</w:t>
      </w:r>
      <w:r>
        <w:rPr>
          <w:rFonts w:ascii="Calibri" w:hAnsi="Calibri" w:eastAsia="Calibri" w:cs="Calibri"/>
          <w:color w:val="000000"/>
          <w:sz w:val="22"/>
          <w:szCs w:val="22"/>
        </w:rPr>
        <w:t xml:space="preserve"> (Girault), is recognised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after studying Girault's material by Mound &amp; Palmer (1981). </w:t>
      </w:r>
      <w:r>
        <w:rPr>
          <w:rFonts w:ascii="Calibri" w:hAnsi="Calibri" w:eastAsia="Calibri" w:cs="Calibri"/>
          <w:i/>
          <w:iCs/>
          <w:color w:val="000000"/>
          <w:sz w:val="22"/>
          <w:szCs w:val="22"/>
        </w:rPr>
        <w:t xml:space="preserve">S. oligochaetus</w:t>
      </w:r>
      <w:r>
        <w:rPr>
          <w:rFonts w:ascii="Calibri" w:hAnsi="Calibri" w:eastAsia="Calibri" w:cs="Calibri"/>
          <w:color w:val="000000"/>
          <w:sz w:val="22"/>
          <w:szCs w:val="22"/>
        </w:rPr>
        <w:t xml:space="preserve"> (Karny), which has been regarded by several authors as the same species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was recognised by Mound &amp; Palmer (1981) as a distinct valid species. But in view of the confusion between these two species, old published records from India may require confirmation. Based on molecular techniques (sequences of the ITS1 and ITS2 regions),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suggested that Indian and South African specimens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(identified morphologically) might not be the same species. This was further confirmed by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DNA barcode library and seven nuclear markers via next-generation sequencing, reported the delimitation of nine cryptic species and two morphologically distinguishable species comprising the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species complex. One of these, designated as “South Asia 1” which is native to India, is considered highly invasive (e.g. in Japan, Israel, USA). Two other species, “South Asia 2”, and “East Asia 1” are regarded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highly polyphagous, but at an earlier stage of global invasion. The other members of the complex are regionally endemic and vary in their pest status and level of polyphagy. The existence of several morphologically indistinguishable species raises practical questions regarding the quarantine status of this species. In the following, the term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should be understood as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complex, considering that the currently available literature on this species does not distinguish between the different cryptic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reported to be highly polyphagous, feeding on more than 100 species in 40 different plant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 plants include various Fabaceae,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known as a pest on many crops including kiwi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w:t>
      </w:r>
      <w:r>
        <w:rPr>
          <w:rFonts w:ascii="Calibri" w:hAnsi="Calibri" w:eastAsia="Calibri" w:cs="Calibri"/>
          <w:color w:val="000000"/>
          <w:sz w:val="22"/>
          <w:szCs w:val="22"/>
        </w:rPr>
        <w:t xml:space="preserve">, onions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tamarinds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and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only cited as a significant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Japan and Taiwan. However, members of the cryptic species complex may have reduced host ranges compared to the whole complex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chamaedrifolia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macrostachya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cathartica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Almeidea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genistelloides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bealei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Bremeria pervillei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Brexia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carpatica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erythrocarpos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Caryopteris x clandonensis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Catunaregam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 var. plumosa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javitensis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purpurascens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massaica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Dissotis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Embelia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Euadenia eminens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hypericifolia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exasperata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lingua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Fittonia albivenis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costatum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liliiflorus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Iguanura geonomiformis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floridanum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sambac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extensa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Laguncularia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Lebronnecia kokioides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ruhmeriana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Markhamia zanzibarica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Mitriostigma axillare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Monanthotaxis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Napoleonaea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lindheimeri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Palisota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Pavetta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senacia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Plerandra elegantissima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macrophyllus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ornifolia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Quisqualis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Ramosmania rodriguesii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Saraca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pictus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Skimmia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Stereospermum nematocarpum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auriculata var. dyeriana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Tabernaemontana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alleizettei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boivinii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neotaliala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vogeliana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havanensis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Trilepisium madagascariense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Trimezia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Turraea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suspensum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x marylandica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presumed to originate in Asia but its exact area of origin is unclear, with different origins proposed by different authors, ranging from South Asia to the Indian subcontinent or from Pakistan in the west to Japan and Queensland in the east, or from Australasia, or part of Africa. The distribution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expanded globally over recent years with spread in the Americas, Africa and now the EPPO region. The understanding of the native distribution is further complicated by the fact that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 cryptic species complex containing morphologically indistinguishable species (see Notes on taxonomy and nomenclature).</w:t>
      </w:r>
      <w:r>
        <w:drawing>
          <wp:inline distT="0" distB="0" distL="0" distR="0">
            <wp:extent cx="6120000" cy="3067200"/>
            <wp:docPr id="71949410" name="name588269c1c6919b15e" descr="SCIT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DO_distribution_map.jpg"/>
                    <pic:cNvPicPr/>
                  </pic:nvPicPr>
                  <pic:blipFill>
                    <a:blip r:embed="rId120969c1c6919b1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Germany, Greece (Kriti), Israel, Netherlands, Portugal (mainland), Spain (mainland,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 Ghana, Kenya,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Chongqing, Fujian, Guangdong, Guangxi, Guizhou, Hainan, Henan, Hubei, Hunan, Jiangsu, Jiangxi, Shandong, Sichuan, Xianggang (Hong Kong), Yunnan, Zhejiang), India (Andhra Pradesh, Arunachal Pradesh, Assam, Chhattisgarh, Delhi, Goa, Gujarat, Haryana, Himachal Pradesh, Jammu &amp; Kashmir, Karnataka, Kerala, Madhya Pradesh, Maharashtra, Manipur, Meghalaya, Odisha, Punjab, Rajasthan, Sikkim, Tamil Nadu, Uttarakhand, Uttar Pradesh, West Bengal), Indonesia (Java, Sulawesi, Sumatra), Iran, Islamic Republic of, Israel, Japan (Honshu, Kyushu, Ryukyu Archipelago), Korea, Republic of, Malaysia (West), Maldives,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Maryland, Massachusetts, New Jersey, New York, North Carolina, Pennsylvania, Rhode Island,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Cuba, Guadeloupe, Jamaica,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Colombia, French Guiana,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New Caledonia,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life cycle includes 6 stages (egg, first and second instar larva, prepupa, pupa and adult) and it reproduces both sexually and parthenogenically (unfertilized eggs produce males). Development is directly influenced by temperature, moisture, and the type of host it is feeding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produces a highly variable number of generations per year, depending on the climatic conditions of the region. From four to eight generations in temperate areas of Japan according to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only three to four in nursery conditions at 25°C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14-18 generations per year projected by Holtz (2006), using a degree-day model in Florida. In Central Japan, adults overwinter in litter and soil, but also on leaves and branches (Okada, 1982) whereas in India, no diapause is observed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Japan and South Korea overwintered adults become active from early March, and move to the leaf zone. After feeding on and laying eggs into new leaves, the adults of the first generation die between end of April and mid-May. The mean incubation time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is between 7 et 10 days (Tatara, 1994;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Based on Tatara (1994), the developmental zero temperature and the maximum temperature threshold for the development from oviposition to adult emergence is 9.7 and 33.0°C, respectively with an accumulative temperature of 265 degree-days. Larvae and adults feed particularly on young, developing tissue including shoots, leaves, young fruit, and flowers. Pupae (a quiescent stage) are found in the leaf litter, in leaf axils, in curled leaves, or under the calyx of flowers and fruits. Because of the length of the oviposition period (about 13 days), from the third generation, there are overlapping generations. The combined larval and pupal periods ranged from 11 days to 13 days and the lifespan of females is about 19 days and slightly less for males (in laboratory conditions)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common with several other members of the genus, this species can cause major damage to infested plants. Leaves curl and exhibit characteristic silvering of the leaf surface and linear thickening of the leaf lamina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with premature senescence and abscission of leaves. Fruits have grey to black markings or distortion. These symptoms are often associated with brown frass markings on the leaves and fruits. On groundnuts (peanuts), dull yellowish-green patches form on the upper surface of leaves and brown necrotic areas and silvery sheen on the lower surfaces (Hodges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On celery, affected plants exhibited light to dark brownish scars on various parts. The leaves are discoloured and distorted (Kumar &amp; Rachana, 2021). On Citrus, fruits show ring scarring around the stem and dark brown discolouring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vector of plant viruses, for example the groundnut yellow spot virus, GYSV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which has symptoms that include yellow chlorotic spots on partially/fully opened growing buds. The infected seedlings and leaflets are reduced in size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108 species of the pantropical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difficult to distinguish because they are small (about 1mm), and usually pale yellow or white in colour. Good slide-mounted specimens and the use of a differential interference microscope are recommended in order to observe minute details of structure, such as microtrichia and sculpture, that are essential for precise identification (Ng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molecular tools are available for diagnostics.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developed a molecular key to pestiferous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the internal transcribed spacer regions 1 and 2 (ITS1 and ITS2) of nuclear ribosomal DNA.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designed a multiplex PCR-based molecular test for two Japanese ‘strains’ by using the differences in their ITS2 sequences that correspond to four cryptic species according to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described a procedure for the simultaneous identification of tospoviruses and thrips species (incl.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testing of individual thrips.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microscopic (0.075 mm long and 0.070 mm wide), smooth and reniform and creamy white.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creamish white to almost white. The sizes of the first instars and second instars range between 0.37-0.39 and 0.68-0.71 mm respectively (Kumar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 key to differentiate the second instar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among the most commonly encountered Western Palaearctic species (and also some species of quarantine interest) using a microscope (with phase contrast) is available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characterized in having two quiescent immature stages known as propupa and pupa between the larval and adult stages. Their size range between 0.55 and 0.80 mm (Duraimurugan &amp; Jagadish, 2011;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propupa and pupa are yellow. Their antennal segmentation is reduced but the pupa has backward-curved antennae above its head. The mouth parts are non-functional. Wing pads can be seen in the propupa, reaching only up to the third abdominal segment, but are much longer in the 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characters: surface of pronotum covered with many closely spaced transverse striae; abdominal tergites laterally with numerous parallel rows of tiny microtrichia; sternites with marginal setae arising at posterior margin; metanotum with median pair of setae arising near anterior margin. The only closely similar genus is </w:t>
      </w:r>
      <w:r>
        <w:rPr>
          <w:rFonts w:ascii="Calibri" w:hAnsi="Calibri" w:eastAsia="Calibri" w:cs="Calibri"/>
          <w:i/>
          <w:iCs/>
          <w:color w:val="000000"/>
          <w:sz w:val="22"/>
          <w:szCs w:val="22"/>
        </w:rPr>
        <w:t xml:space="preserve">Drepanothrips</w:t>
      </w:r>
      <w:r>
        <w:rPr>
          <w:rFonts w:ascii="Calibri" w:hAnsi="Calibri" w:eastAsia="Calibri" w:cs="Calibri"/>
          <w:color w:val="000000"/>
          <w:sz w:val="22"/>
          <w:szCs w:val="22"/>
        </w:rPr>
        <w:t xml:space="preserve"> (with only one species, </w:t>
      </w:r>
      <w:r>
        <w:rPr>
          <w:rFonts w:ascii="Calibri" w:hAnsi="Calibri" w:eastAsia="Calibri" w:cs="Calibri"/>
          <w:i/>
          <w:iCs/>
          <w:color w:val="000000"/>
          <w:sz w:val="22"/>
          <w:szCs w:val="22"/>
        </w:rPr>
        <w:t xml:space="preserve">D. reuteri)</w:t>
      </w:r>
      <w:r>
        <w:rPr>
          <w:rFonts w:ascii="Calibri" w:hAnsi="Calibri" w:eastAsia="Calibri" w:cs="Calibri"/>
          <w:color w:val="000000"/>
          <w:sz w:val="22"/>
          <w:szCs w:val="22"/>
        </w:rPr>
        <w:t xml:space="preserve">, a native European pest of grapevine, but that has 6-segmented antennae instead of 8-segmented.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their pale colour and their behavioural responses (thigmotaxis),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easily overlooked if the import inspection is carried out visually. Only heavily infested plants are likely to be detected by visual examination. However, high infestations are rarely the case in the context of import control. So the detection of thrips is more effective with the use of a Berlese funnel (thrips move down into the funnel to escape desiccation and are captured in a jar) allowing fast extraction of adults and larvae within 48h in port and airport facilities. A plastic cup trap (as described by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can also collect intact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specimens. The use of coloured sticky traps, even if this system is easy to operate, is not recommended because thrips are difficult to extract and are often no longer recognizable.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of introductions, EFSA (2020) recommends surveillance in facilities that process imported commodities originating from areas where the pest is present, i.e. cut flowers,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plants for planting and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to move long distances is relatively limited by the size of adults, which move passively with air currents. Long distance spread is only expected through international trade of infested commodities (for example: plants for planting, fruits and vegetables as well as fresh cut flowers and foliage) that may go undetected. An incubation period of 6 or 7 days is also sufficiently long to allow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in air cargo shipments from infested regions to airports in pest-free countries to pass through quarantine check points without detection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Moreover, interceptions in consignments from Africa or Asia are not rare (Anses, unpublished data, 2023; Holtz, 2006; Farris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2014) and as highlighted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cryptic species within the complex appear to be invasive (see “Notes on taxonomy and nomenclature” for more details). Even if the risks of cross-border transport are considered as high for air passengers, crew and their baggage by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this means of dispersal is not documented elsewhere in the literature. The survival of adults on non-plant supports followed by a dispersal to a suitable host plant seems to be questionable.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movement with host fruit, vegetables, cut flowers/foliage depends mainly on the risk of transfer to host plants at destination. It is low when the commodities are distributed directly to the final consumer (e.g. fruits or leafy vegetables packed in the country of origin). There may be a risk of transfer if these products are stored in contact with plants for planting at destination, as may be the case for cut flowers that are sold in garden centres. Vegetables that are underground parts of host plants (e.g. potato or taro) are not considered as a pathway if no soil is attached to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principal range in Tropical Asia,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serious pest of herbaceous plants: vegetables in Taiwan and Thailand,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groundnuts and onions in India, cotton in India and Pakistan. It is also a pest of flowers, for example of roses in India. In Malaysia, it is a pest of the flowers and leaves of </w:t>
      </w:r>
      <w:r>
        <w:rPr>
          <w:rFonts w:ascii="Calibri" w:hAnsi="Calibri" w:eastAsia="Calibri" w:cs="Calibri"/>
          <w:i/>
          <w:iCs/>
          <w:color w:val="000000"/>
          <w:sz w:val="22"/>
          <w:szCs w:val="22"/>
        </w:rPr>
        <w:t xml:space="preserve">Hevea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the foremost pest in Indian tea plantations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infestation can result in 11-17% crop loss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Japan and Taiwan,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is seriously affected (Tatara &amp; Furuhashi, 1992) while in Iran,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locally very abundant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(Minaei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Japan and Australia,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pest of grapevine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was also found in kiwi orchards In Japan, but without causing damage to the fruits (Sakakibara &amp; Nishigaki, 1988). In 2020 large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were reported near Perth in Western Australia causing considerable damage to rose plants, and in India, loss by thrips feeding on roses results in 28-95 % damage (Gahukar, 2003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Sridhar &amp; Naik, 2015).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one of the key pests causing economic damage to the fruit production of mango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greatly affecting the market price and export potential. According to Kumar &amp; Rachana (2021),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causes economic damage in India to cassava, chilli (with yield loss up to 74%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Kumar &amp; Rachana 2021]), groundnut, rose,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and tea. In Florida, it has become an economically important pest of ornamental plants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 economic analysis performed in 2004 in the USA (Garret, 2004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Holtz, 2006), based on a hypothesis of 5 percent crop yield loss to 28 hosts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would result in 3 billion USD in potential losses and up to 6 billion USD for a 10 percent crop yield loss.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an important vector of Orthotospoviruses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including chilli leaf curl virus (CLCV), Groundnut bud necrosis virus (GBNV), Groundnut chlorotic fan-spot virus (GCFSV), Groundnut yellow spot virus (GYSV), tobacco streak virus (TSV), Capsicum chlorosis virus (CaCV), Melon yellow spot virus (MYSV), Watermelon silver mottle virus (WSMoV)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Rotenberg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management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based on chemical control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many studies highlight the efficacy of selected insecticides. Imidacloprid, spinetoram, thiamethoxam, fipronil, acetamiprid and spinosad are frequently reported as effective for reducing thrips populations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Patel &amp; Kumar, 2017; Samota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Lahiri &amp; Panthi, 2020; Panthi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Lakshmi &amp; Kumar 2021). But numerous other active ingredients are used for the control of this pest in Southern India (buprofezin, indoxacarb, triazophos, tolfenpyrad, pymetrozine, etc.). However, application of certain products by growers on calendar basis may lead to the development of insecticide resistance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South-East Asia, resistance among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documented to various insecticide modes of action, including organophosphates, organochlorines and carbamates (Seal &amp; Kumar, 2010). Recent results of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also indicate potential emergence of resistance to several newer active substances from the spinosyn, diamide and neonicotinoid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used as an alternative strategy for the control of thrips and there are many examples of successful biological control, but few studies relating directly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potential use of mycoinsecticides on vegetables or ornamental plants has been assessed for this species by different authors, in laboratory conditions, in greenhouses tests or in field trials, with a high variability of results (Seal &amp; Kumar, 2010;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Panyasiri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in greenhouses, environmental conditions (high humidity and low UV exposure) can be manipulated to favour entomopathogenic fungi while in fields, regular rainfall may wash away the fungal suspension. </w:t>
      </w:r>
      <w:r>
        <w:rPr>
          <w:rFonts w:ascii="Calibri" w:hAnsi="Calibri" w:eastAsia="Calibri" w:cs="Calibri"/>
          <w:i/>
          <w:iCs/>
          <w:color w:val="000000"/>
          <w:sz w:val="22"/>
          <w:szCs w:val="22"/>
        </w:rPr>
        <w:t xml:space="preserve">Heterorhabditis indica</w:t>
      </w:r>
      <w:r>
        <w:rPr>
          <w:rFonts w:ascii="Calibri" w:hAnsi="Calibri" w:eastAsia="Calibri" w:cs="Calibri"/>
          <w:color w:val="000000"/>
          <w:sz w:val="22"/>
          <w:szCs w:val="22"/>
        </w:rPr>
        <w:t xml:space="preserve"> (Nematoda: Rhabditida) or </w:t>
      </w:r>
      <w:r>
        <w:rPr>
          <w:rFonts w:ascii="Calibri" w:hAnsi="Calibri" w:eastAsia="Calibri" w:cs="Calibri"/>
          <w:i/>
          <w:iCs/>
          <w:color w:val="000000"/>
          <w:sz w:val="22"/>
          <w:szCs w:val="22"/>
        </w:rPr>
        <w:t xml:space="preserve">Thripinema</w:t>
      </w:r>
      <w:r>
        <w:rPr>
          <w:rFonts w:ascii="Calibri" w:hAnsi="Calibri" w:eastAsia="Calibri" w:cs="Calibri"/>
          <w:color w:val="000000"/>
          <w:sz w:val="22"/>
          <w:szCs w:val="22"/>
        </w:rPr>
        <w:t xml:space="preserve"> spp. (Nematoda: Tylenchida) are entomopathogenic nematodes reported to effectively control field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according to Jagdish &amp; Purnima (2011) and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But reliable results are lacking in the literature, and their effectiveness has yet to be consolidated by additional results. Predatory mites have been used against some thrips species in greenhouse vegetables and ornamentals for many years with some success and more recently on</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The efficacy of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is considered as more effective than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on peppers by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Doğramaci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that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is an effective predator. Other candidate predators include anthocorid and mirid bugs, syrphids, some gall midges, lacewing larvae, spiders, sphecid wasps, predatory thrips and pseudoscorpions (Holtz, 2006;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further studies are required before any attempt is made of augmentation and conservation of predators in IPM programmes. Almost nothing is known about parasitoids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egg parasitoid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sp. (Hymenoptera: Trichogrammatidae) was reported in Japan by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not effective for controlling the population density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on grapes. Some </w:t>
      </w:r>
      <w:r>
        <w:rPr>
          <w:rFonts w:ascii="Calibri" w:hAnsi="Calibri" w:eastAsia="Calibri" w:cs="Calibri"/>
          <w:i/>
          <w:iCs/>
          <w:color w:val="000000"/>
          <w:sz w:val="22"/>
          <w:szCs w:val="22"/>
        </w:rPr>
        <w:t xml:space="preserve">larval</w:t>
      </w:r>
      <w:r>
        <w:rPr>
          <w:rFonts w:ascii="Calibri" w:hAnsi="Calibri" w:eastAsia="Calibri" w:cs="Calibri"/>
          <w:color w:val="000000"/>
          <w:sz w:val="22"/>
          <w:szCs w:val="22"/>
        </w:rPr>
        <w:t xml:space="preserve"> endoparasitoids of the eulophid family are also listed by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from India but their effect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populations is not documented.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tropical species, but its occurrence in citrus-growing areas with a subtropical climate suggests that it could possibly establish on citrus in Southern Europe and the Mediterranean area, as this was confirmed by the recent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 Southern Spain in 2017. Based on niche modelling, de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estimated the potential projected suitability in Europe as low, probably due to low temperatures. However, the model projected at risk areas in Portugal, the west coast of Spain, South-West France, a coastal region from Croatia to Greece, and the west coast of Turkey and surprisingly the west coast of the United Kingdom. The host range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includes a number of vegetable crops, and the possibility of introduction onto glasshouse crops in Europe should be considered. The EFSA Panel on Plant Health (2014) highlighted that there are three main pathways for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into the EU: plants intended for planting, cut flowers and fruits and vegetables of host species. They noted that host plants are very widely distributed in the EU and therefore do not represent a limiting factor for its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should be applied to host fruit, vegetables, cut flowers/foliage to ensure that they are pest-free.</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 rapid detection after an introduction under protected conditions, the chance of eradication would be high by using phytosanitary measures including prohibition of movement of plants within and out of the place of production, and the destruction of the lot with the infested plants. The prospects are better if the species cannot survive outdoors.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 McKenzie CL, Chen J, Dogramaci M, Brennan M, Houben K &amp; Osborne L (2009) Evaluation of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as biological control agents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SP, Aristizábal LF &amp; Avery PB (2013) Evaluation of entomopathogenic fungi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b/>
          <w:bCs/>
          <w:color w:val="000000"/>
          <w:sz w:val="22"/>
          <w:szCs w:val="22"/>
        </w:rPr>
        <w:t xml:space="preserve"> 13</w:t>
      </w:r>
      <w:r>
        <w:rPr>
          <w:rFonts w:ascii="Calibri" w:hAnsi="Calibri" w:eastAsia="Calibri" w:cs="Calibri"/>
          <w:color w:val="000000"/>
          <w:sz w:val="22"/>
          <w:szCs w:val="22"/>
        </w:rPr>
        <w:t xml:space="preserve">(1), 1-16.</w:t>
      </w:r>
    </w:p>
    <w:p>
      <w:pPr>
        <w:widowControl w:val="on"/>
        <w:pBdr/>
        <w:spacing w:before="220" w:after="220" w:line="240" w:lineRule="auto"/>
        <w:ind w:left="0" w:right="0"/>
        <w:jc w:val="left"/>
      </w:pPr>
      <w:r>
        <w:rPr>
          <w:rFonts w:ascii="Calibri" w:hAnsi="Calibri" w:eastAsia="Calibri" w:cs="Calibri"/>
          <w:color w:val="000000"/>
          <w:sz w:val="22"/>
          <w:szCs w:val="22"/>
        </w:rPr>
        <w:t xml:space="preserve">Babu PS, Kumar A, Ramakrishna BC &amp; Venkateswarlu P (2021) Population dynamics and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Kharif.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1225-1228.</w:t>
      </w:r>
    </w:p>
    <w:p>
      <w:pPr>
        <w:widowControl w:val="on"/>
        <w:pBdr/>
        <w:spacing w:before="220" w:after="220" w:line="240" w:lineRule="auto"/>
        <w:ind w:left="0" w:right="0"/>
        <w:jc w:val="left"/>
      </w:pPr>
      <w:r>
        <w:rPr>
          <w:rFonts w:ascii="Calibri" w:hAnsi="Calibri" w:eastAsia="Calibri" w:cs="Calibri"/>
          <w:color w:val="000000"/>
          <w:sz w:val="22"/>
          <w:szCs w:val="22"/>
        </w:rPr>
        <w:t xml:space="preserve">Chu CC, Ciomperlik MA, Chang NT, Richards M &amp; Henneberry TJ (2006) Developing and evaluating traps for monitoring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47-55.</w:t>
      </w:r>
    </w:p>
    <w:p>
      <w:pPr>
        <w:widowControl w:val="on"/>
        <w:pBdr/>
        <w:spacing w:before="220" w:after="220" w:line="240" w:lineRule="auto"/>
        <w:ind w:left="0" w:right="0"/>
        <w:jc w:val="left"/>
      </w:pPr>
      <w:r>
        <w:rPr>
          <w:rFonts w:ascii="Calibri" w:hAnsi="Calibri" w:eastAsia="Calibri" w:cs="Calibri"/>
          <w:color w:val="000000"/>
          <w:sz w:val="22"/>
          <w:szCs w:val="22"/>
        </w:rPr>
        <w:t xml:space="preserve">de Aguiar CV, Alencar JB, da Silva Santana G &amp; Teles BR (2023) Predicting the potential global distribution of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Hood)(Thysanoptera: Thripidae) with emphasis on the Americas using an ecological niche model. </w:t>
      </w:r>
      <w:r>
        <w:rPr>
          <w:rFonts w:ascii="Calibri" w:hAnsi="Calibri" w:eastAsia="Calibri" w:cs="Calibri"/>
          <w:i/>
          <w:iCs/>
          <w:color w:val="000000"/>
          <w:sz w:val="22"/>
          <w:szCs w:val="22"/>
        </w:rPr>
        <w:t xml:space="preserve">Neotropical Entomology</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512-520.</w:t>
      </w:r>
    </w:p>
    <w:p>
      <w:pPr>
        <w:widowControl w:val="on"/>
        <w:pBdr/>
        <w:spacing w:before="220" w:after="220" w:line="240" w:lineRule="auto"/>
        <w:ind w:left="0" w:right="0"/>
        <w:jc w:val="left"/>
      </w:pPr>
      <w:r>
        <w:rPr>
          <w:rFonts w:ascii="Calibri" w:hAnsi="Calibri" w:eastAsia="Calibri" w:cs="Calibri"/>
          <w:color w:val="000000"/>
          <w:sz w:val="22"/>
          <w:szCs w:val="22"/>
        </w:rPr>
        <w:t xml:space="preserve">Deka B, Babu A &amp; Sarkar S (2020)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major pest of tea plantations in North East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1222-1228.</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AM, Kumar V, Hoddle MS, Funderburk JE, Morgan JK, Jara-Cavieres A, Shatters RG jr, Osborne LS &amp; McKenzie CL (2015) The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species complex: endemism and invasion in a global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1-22.</w:t>
      </w:r>
    </w:p>
    <w:p>
      <w:pPr>
        <w:widowControl w:val="on"/>
        <w:pBdr/>
        <w:spacing w:before="220" w:after="220" w:line="240" w:lineRule="auto"/>
        <w:ind w:left="0" w:right="0"/>
        <w:jc w:val="left"/>
      </w:pPr>
      <w:r>
        <w:rPr>
          <w:rFonts w:ascii="Calibri" w:hAnsi="Calibri" w:eastAsia="Calibri" w:cs="Calibri"/>
          <w:color w:val="000000"/>
          <w:sz w:val="22"/>
          <w:szCs w:val="22"/>
        </w:rPr>
        <w:t xml:space="preserve">Doğramaci M, Arthurs SP, Chen J, McKenzie C, Irrizary F &amp; Osborne L (2011) Management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peppers by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and </w:t>
      </w:r>
      <w:r>
        <w:rPr>
          <w:rFonts w:ascii="Calibri" w:hAnsi="Calibri" w:eastAsia="Calibri" w:cs="Calibri"/>
          <w:i/>
          <w:iCs/>
          <w:color w:val="000000"/>
          <w:sz w:val="22"/>
          <w:szCs w:val="22"/>
        </w:rPr>
        <w:t xml:space="preserve">Orius insidiosus</w:t>
      </w:r>
      <w:r>
        <w:rPr>
          <w:rFonts w:ascii="Calibri" w:hAnsi="Calibri" w:eastAsia="Calibri" w:cs="Calibri"/>
          <w:color w:val="000000"/>
          <w:sz w:val="22"/>
          <w:szCs w:val="22"/>
        </w:rPr>
        <w:t xml:space="preserve"> (Hemiptera: Anthocoridae).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(3), 340-347.</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P &amp; Jagadish A (2011) Preliminary studies on the biology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as a pest of rose in India.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37-45.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categorisation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12(12), 3915.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(2020)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w:t>
      </w:r>
      <w:r>
        <w:rPr>
          <w:rFonts w:ascii="Calibri" w:hAnsi="Calibri" w:eastAsia="Calibri" w:cs="Calibri"/>
          <w:color w:val="000000"/>
          <w:sz w:val="22"/>
          <w:szCs w:val="22"/>
        </w:rPr>
        <w:t xml:space="preserve"> </w:t>
      </w:r>
      <w:hyperlink r:id="rId452969c1c6919ccd5" w:history="1">
        <w:r>
          <w:rPr>
            <w:rFonts w:ascii="Calibri" w:hAnsi="Calibri" w:eastAsia="Calibri" w:cs="Calibri"/>
            <w:color w:val="0000CC"/>
            <w:sz w:val="22"/>
            <w:szCs w:val="22"/>
            <w:u w:val="single"/>
          </w:rPr>
          <w:t xml:space="preserve">https://efsa.maps.arcgis.com/apps/MapJournal/index.html?appid=d7daac97ff284b13a5b00a687be75d5e#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546869c1c6919cd61"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Farris RE, Ruiz-Arce R, Ciomperlik M, Vasquez JD &amp; DeLeón R (2010) Development of a ribosomal DNA ITS2 marker for the identification of the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 1-15.</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Krishna Reddy M, Reddy DVR &amp; Muniyappa V (2010) Transmission of peanut yellow spot virus (PYSV) by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groundnut.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421-429.</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&amp;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491-500.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G, Edwards GB &amp; Dixon W (2005)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new pest thrips for Florida. Pest alert FDACS-P-01660. Florida Department of Agriculture and Consumer Service, Department of Primary Industries. </w:t>
      </w:r>
      <w:hyperlink r:id="rId747069c1c6919cf32" w:history="1">
        <w:r>
          <w:rPr>
            <w:rFonts w:ascii="Calibri" w:hAnsi="Calibri" w:eastAsia="Calibri" w:cs="Calibri"/>
            <w:color w:val="0000CC"/>
            <w:sz w:val="22"/>
            <w:szCs w:val="22"/>
            <w:u w:val="single"/>
          </w:rPr>
          <w:t xml:space="preserve">https://www.fdacs.gov/Agriculture-Industry/Pests-and-Diseases/Plant-Pests-and-Diseases/Pest-Alerts</w:t>
        </w:r>
      </w:hyperlink>
      <w:r>
        <w:rPr>
          <w:rFonts w:ascii="Calibri" w:hAnsi="Calibri" w:eastAsia="Calibri" w:cs="Calibri"/>
          <w:color w:val="000000"/>
          <w:sz w:val="22"/>
          <w:szCs w:val="22"/>
        </w:rPr>
        <w:t xml:space="preserve"> [accessed on 30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Holtz T. (2006) NPAG Report: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New Pest Advisory Group, Center for Plant Health Science and technology, APHIS, USDA, Raleigh, North Carolina. 7p.</w:t>
      </w:r>
    </w:p>
    <w:p>
      <w:pPr>
        <w:widowControl w:val="on"/>
        <w:pBdr/>
        <w:spacing w:before="220" w:after="220" w:line="240" w:lineRule="auto"/>
        <w:ind w:left="0" w:right="0"/>
        <w:jc w:val="left"/>
      </w:pPr>
      <w:r>
        <w:rPr>
          <w:rFonts w:ascii="Calibri" w:hAnsi="Calibri" w:eastAsia="Calibri" w:cs="Calibri"/>
          <w:color w:val="000000"/>
          <w:sz w:val="22"/>
          <w:szCs w:val="22"/>
        </w:rPr>
        <w:t xml:space="preserve">Hood JD (1919) On some new Thysanoptera from southern India. </w:t>
      </w:r>
      <w:r>
        <w:rPr>
          <w:rFonts w:ascii="Calibri" w:hAnsi="Calibri" w:eastAsia="Calibri" w:cs="Calibri"/>
          <w:i/>
          <w:iCs/>
          <w:color w:val="000000"/>
          <w:sz w:val="22"/>
          <w:szCs w:val="22"/>
        </w:rPr>
        <w:t xml:space="preserve">Insecutor inscitiae menstruus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Lee KS, Song JH, Yi PH, Kwon HM, Hyun DH &amp; Kim KS (2012) Seasonal occurrence of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citrus orchards and its damage symptoms on citrus fruits.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1-7.</w:t>
      </w:r>
    </w:p>
    <w:p>
      <w:pPr>
        <w:widowControl w:val="on"/>
        <w:pBdr/>
        <w:spacing w:before="220" w:after="220" w:line="240" w:lineRule="auto"/>
        <w:ind w:left="0" w:right="0"/>
        <w:jc w:val="left"/>
      </w:pPr>
      <w:r>
        <w:rPr>
          <w:rFonts w:ascii="Calibri" w:hAnsi="Calibri" w:eastAsia="Calibri" w:cs="Calibri"/>
          <w:color w:val="000000"/>
          <w:sz w:val="22"/>
          <w:szCs w:val="22"/>
        </w:rPr>
        <w:t xml:space="preserve">Jacot-Guillarmod F (1971) Catalogue of the Thysanoptera of the world (Part 2).</w:t>
      </w:r>
      <w:r>
        <w:rPr>
          <w:rFonts w:ascii="Calibri" w:hAnsi="Calibri" w:eastAsia="Calibri" w:cs="Calibri"/>
          <w:i/>
          <w:iCs/>
          <w:color w:val="000000"/>
          <w:sz w:val="22"/>
          <w:szCs w:val="22"/>
        </w:rPr>
        <w:t xml:space="preserve"> Annals Of The Cape Provincial Museums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217-515.</w:t>
      </w:r>
    </w:p>
    <w:p>
      <w:pPr>
        <w:widowControl w:val="on"/>
        <w:pBdr/>
        <w:spacing w:before="220" w:after="220" w:line="240" w:lineRule="auto"/>
        <w:ind w:left="0" w:right="0"/>
        <w:jc w:val="left"/>
      </w:pPr>
      <w:r>
        <w:rPr>
          <w:rFonts w:ascii="Calibri" w:hAnsi="Calibri" w:eastAsia="Calibri" w:cs="Calibri"/>
          <w:color w:val="000000"/>
          <w:sz w:val="22"/>
          <w:szCs w:val="22"/>
        </w:rPr>
        <w:t xml:space="preserve">Jagdish EJ &amp; Purnima AP (2011) Evaluation of selective botanicals and entomopathogens against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 under polyhouse conditions on rose. </w:t>
      </w:r>
      <w:r>
        <w:rPr>
          <w:rFonts w:ascii="Calibri" w:hAnsi="Calibri" w:eastAsia="Calibri" w:cs="Calibri"/>
          <w:i/>
          <w:iCs/>
          <w:color w:val="000000"/>
          <w:sz w:val="22"/>
          <w:szCs w:val="22"/>
        </w:rPr>
        <w:t xml:space="preserve">Journal of Biopesticides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81-85.</w:t>
      </w:r>
    </w:p>
    <w:p>
      <w:pPr>
        <w:widowControl w:val="on"/>
        <w:pBdr/>
        <w:spacing w:before="220" w:after="220" w:line="240" w:lineRule="auto"/>
        <w:ind w:left="0" w:right="0"/>
        <w:jc w:val="left"/>
      </w:pPr>
      <w:r>
        <w:rPr>
          <w:rFonts w:ascii="Calibri" w:hAnsi="Calibri" w:eastAsia="Calibri" w:cs="Calibri"/>
          <w:color w:val="000000"/>
          <w:sz w:val="22"/>
          <w:szCs w:val="22"/>
        </w:rPr>
        <w:t xml:space="preserve">Kaur G, Stelinski LL, Martini X, Boyd N &amp; Lahiri S (2023) Reduced insecticide susceptibility among populations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strawberry production.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(4),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Kakkar G, McKenzie CL, Seal DR &amp; Osborne LS (2013) An overview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biology, distribution and management. In </w:t>
      </w:r>
      <w:r>
        <w:rPr>
          <w:rFonts w:ascii="Calibri" w:hAnsi="Calibri" w:eastAsia="Calibri" w:cs="Calibri"/>
          <w:i/>
          <w:iCs/>
          <w:color w:val="000000"/>
          <w:sz w:val="22"/>
          <w:szCs w:val="22"/>
        </w:rPr>
        <w:t xml:space="preserve">Weed and pest control-conventional and new challenges</w:t>
      </w:r>
      <w:r>
        <w:rPr>
          <w:rFonts w:ascii="Calibri" w:hAnsi="Calibri" w:eastAsia="Calibri" w:cs="Calibri"/>
          <w:color w:val="000000"/>
          <w:sz w:val="22"/>
          <w:szCs w:val="22"/>
        </w:rPr>
        <w:t xml:space="preserve"> (Eds Soloneski S, Larramendy M), pp. 53-77.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PS &amp; Rachana RR (2021)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is a pest of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(Apiales: Apiaceae): first report and diagnostic characters.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Seal DR &amp; Kakkar G (2021a)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University of Florida – IFAS Extension, publication EENY463, 1-10.</w:t>
      </w:r>
    </w:p>
    <w:p>
      <w:pPr>
        <w:widowControl w:val="on"/>
        <w:pBdr/>
        <w:spacing w:before="220" w:after="220" w:line="240" w:lineRule="auto"/>
        <w:ind w:left="0" w:right="0"/>
        <w:jc w:val="left"/>
      </w:pPr>
      <w:r>
        <w:rPr>
          <w:rFonts w:ascii="Calibri" w:hAnsi="Calibri" w:eastAsia="Calibri" w:cs="Calibri"/>
          <w:color w:val="000000"/>
          <w:sz w:val="22"/>
          <w:szCs w:val="22"/>
        </w:rPr>
        <w:t xml:space="preserve">Lahiri S &amp; Panthi B (2020) Insecticide efficacy for chilli thrips management in strawberry, 2019.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1-2.</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KSI &amp; Kumar A (2021)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annum</w:t>
      </w:r>
      <w:r>
        <w:rPr>
          <w:rFonts w:ascii="Calibri" w:hAnsi="Calibri" w:eastAsia="Calibri" w:cs="Calibri"/>
          <w:color w:val="000000"/>
          <w:sz w:val="22"/>
          <w:szCs w:val="22"/>
        </w:rPr>
        <w:t xml:space="preserve"> Linnaeus.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126-130.</w:t>
      </w:r>
    </w:p>
    <w:p>
      <w:pPr>
        <w:widowControl w:val="on"/>
        <w:pBdr/>
        <w:spacing w:before="220" w:after="220" w:line="240" w:lineRule="auto"/>
        <w:ind w:left="0" w:right="0"/>
        <w:jc w:val="left"/>
      </w:pPr>
      <w:r>
        <w:rPr>
          <w:rFonts w:ascii="Calibri" w:hAnsi="Calibri" w:eastAsia="Calibri" w:cs="Calibri"/>
          <w:color w:val="000000"/>
          <w:sz w:val="22"/>
          <w:szCs w:val="22"/>
        </w:rPr>
        <w:t xml:space="preserve">Lin CN, Wei MY, Chang NT &amp; Chuang YY (2015) The occurrence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mango orchards and factors influencing its population dynamics in Taiwan.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Lemay A, Borchert D, Nietschke B, Neeley A, Magarey R, Ciomperlik M, Brodel C &amp; Dobbs T (2005) Evaluation of possible pathways of introduction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from the Caribbean into the continental United States. Raleigh: Center for Plant Health Science and Technology, Plant Epidemiology and Risk Assessment Laboratory.</w:t>
      </w:r>
    </w:p>
    <w:p>
      <w:pPr>
        <w:widowControl w:val="on"/>
        <w:pBdr/>
        <w:spacing w:before="220" w:after="220" w:line="240" w:lineRule="auto"/>
        <w:ind w:left="0" w:right="0"/>
        <w:jc w:val="left"/>
      </w:pPr>
      <w:r>
        <w:rPr>
          <w:rFonts w:ascii="Calibri" w:hAnsi="Calibri" w:eastAsia="Calibri" w:cs="Calibri"/>
          <w:color w:val="000000"/>
          <w:sz w:val="22"/>
          <w:szCs w:val="22"/>
        </w:rPr>
        <w:t xml:space="preserve">Minaei K, Bagherian SAA &amp; Aleosfoor M (2015)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as a pest of citrus in Fars province, Iran. </w:t>
      </w:r>
      <w:r>
        <w:rPr>
          <w:rFonts w:ascii="Calibri" w:hAnsi="Calibri" w:eastAsia="Calibri" w:cs="Calibri"/>
          <w:i/>
          <w:iCs/>
          <w:color w:val="000000"/>
          <w:sz w:val="22"/>
          <w:szCs w:val="22"/>
        </w:rPr>
        <w:t xml:space="preserve">Iranian Journal of 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Wang Z, Lima ÉF &amp; Marullo R (2022) Problems with the concept of “pest” among the diversity of pestiferous thrips.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1-17.</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(1968) A review of R.S. Bagnall's Thysanoptera collections. </w:t>
      </w:r>
      <w:r>
        <w:rPr>
          <w:rFonts w:ascii="Calibri" w:hAnsi="Calibri" w:eastAsia="Calibri" w:cs="Calibri"/>
          <w:i/>
          <w:iCs/>
          <w:color w:val="000000"/>
          <w:sz w:val="22"/>
          <w:szCs w:val="22"/>
        </w:rPr>
        <w:t xml:space="preserve">Bulletin of the British Museum (Natural History), Entomology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1-181.</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Ng YF, Mound LA &amp; Azidah AA (2014)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Malaysia, with four new species and comments on </w:t>
      </w:r>
      <w:r>
        <w:rPr>
          <w:rFonts w:ascii="Calibri" w:hAnsi="Calibri" w:eastAsia="Calibri" w:cs="Calibri"/>
          <w:i/>
          <w:iCs/>
          <w:color w:val="000000"/>
          <w:sz w:val="22"/>
          <w:szCs w:val="22"/>
        </w:rPr>
        <w:t xml:space="preserve">Biltothrips</w:t>
      </w:r>
      <w:r>
        <w:rPr>
          <w:rFonts w:ascii="Calibri" w:hAnsi="Calibri" w:eastAsia="Calibri" w:cs="Calibri"/>
          <w:color w:val="000000"/>
          <w:sz w:val="22"/>
          <w:szCs w:val="22"/>
        </w:rPr>
        <w:t xml:space="preserve">, a related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3856</w:t>
      </w:r>
      <w:r>
        <w:rPr>
          <w:rFonts w:ascii="Calibri" w:hAnsi="Calibri" w:eastAsia="Calibri" w:cs="Calibri"/>
          <w:color w:val="000000"/>
          <w:sz w:val="22"/>
          <w:szCs w:val="22"/>
        </w:rPr>
        <w:t xml:space="preserve">(2),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(1982) Overwintering sites and stages of Scirtothrips dorsalis Hood (Thysanoptera: Thripidae) in tea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177-182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Panthi B, Liburd O, Lahiri S &amp; Rhodes E (2020) Efficacy test of various insecticides to control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southern highbush blueberries.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Supothina S, Veeranondha S, Chanthaket R, Boonruangprapa T &amp; Vichai V (2022) Control efficacy of entomopathogenic fungus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against chili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on chili plant.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(8), 1-14.</w:t>
      </w:r>
    </w:p>
    <w:p>
      <w:pPr>
        <w:widowControl w:val="on"/>
        <w:pBdr/>
        <w:spacing w:before="220" w:after="220" w:line="240" w:lineRule="auto"/>
        <w:ind w:left="0" w:right="0"/>
        <w:jc w:val="left"/>
      </w:pPr>
      <w:r>
        <w:rPr>
          <w:rFonts w:ascii="Calibri" w:hAnsi="Calibri" w:eastAsia="Calibri" w:cs="Calibri"/>
          <w:color w:val="000000"/>
          <w:sz w:val="22"/>
          <w:szCs w:val="22"/>
        </w:rPr>
        <w:t xml:space="preserve">Patel VD &amp; Kumar A (2017) Field efficacy of certain botanical and chemical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497-499.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Joseph SV, Srinivasan R &amp; Diffie S (2011) Thrips vectors of tospoviruses.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1-10.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Jacobson AL, Schneweis DJ &amp; Whitfield AE (2015) Thrips transmission of tospoviruses.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80-89.</w:t>
      </w:r>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Hoddle MS, Mound LA &amp; Stouthamer R (2006) Molecular identification key for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(5), 1813-1819.</w:t>
      </w:r>
    </w:p>
    <w:p>
      <w:pPr>
        <w:widowControl w:val="on"/>
        <w:pBdr/>
        <w:spacing w:before="220" w:after="220" w:line="240" w:lineRule="auto"/>
        <w:ind w:left="0" w:right="0"/>
        <w:jc w:val="left"/>
      </w:pPr>
      <w:r>
        <w:rPr>
          <w:rFonts w:ascii="Calibri" w:hAnsi="Calibri" w:eastAsia="Calibri" w:cs="Calibri"/>
          <w:color w:val="000000"/>
          <w:sz w:val="22"/>
          <w:szCs w:val="22"/>
        </w:rPr>
        <w:t xml:space="preserve">Sakakibara N &amp; Nishigaki J (1988) Seasonal abundance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a kiwi fruit orchard. </w:t>
      </w:r>
      <w:r>
        <w:rPr>
          <w:rFonts w:ascii="Calibri" w:hAnsi="Calibri" w:eastAsia="Calibri" w:cs="Calibri"/>
          <w:i/>
          <w:iCs/>
          <w:color w:val="000000"/>
          <w:sz w:val="22"/>
          <w:szCs w:val="22"/>
        </w:rPr>
        <w:t xml:space="preserve">Bulletin of the 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Samota RG, Jat BL &amp; Choudhary MD (2017) Efficacy of newer insecticides and biopesticides against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chilli.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1458-1462.</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Ciomperlik M, Richards ML &amp; Klassen W (2006) Comparative effectiveness of chemical insecticides against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pepper and their compatibility with natural enemies.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(9), 949-955.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Klassen W &amp; Kumar V (2010) Biological parameters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selected hosts.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1389-1398.</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&amp; Kumar V (2010) Biological response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to various regimes of chemical and biorational insecticides.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1241-1247.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Hosomi A &amp;Tanaka H (2000) Seasonal fluctuation in percentage parasitism of the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by an egg parasitoid of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(Hymenoptera: Trichogrammatidae) on grapes.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611-613.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Tanaka F, Tsukuda R &amp; Fujisaki K (1991) Overwintering sites and stages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grape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161-163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Sridhar V &amp; Naik SO (2015) Efficacy of colour sticky traps for monitoring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rose.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&amp; Furuhashi K (1992) [Analytical study on damage to satsuma mandarin fruit by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with particular reference to pest density].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217-223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(1994) Effect of temperature and host plant on the development, fertility and longevity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31-37.</w:t>
      </w:r>
    </w:p>
    <w:p>
      <w:pPr>
        <w:widowControl w:val="on"/>
        <w:pBdr/>
        <w:spacing w:before="220" w:after="220" w:line="240" w:lineRule="auto"/>
        <w:ind w:left="0" w:right="0"/>
        <w:jc w:val="left"/>
      </w:pPr>
      <w:r>
        <w:rPr>
          <w:rFonts w:ascii="Calibri" w:hAnsi="Calibri" w:eastAsia="Calibri" w:cs="Calibri"/>
          <w:color w:val="000000"/>
          <w:sz w:val="22"/>
          <w:szCs w:val="22"/>
        </w:rPr>
        <w:t xml:space="preserve">Toda S, Hirose T, Kakiuchi K, Kodama H, Kijima K &amp; Mochizuki M (2014) Occurrence of a novel strain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in Japan and development of its molecular diagnostics.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231-239.</w:t>
      </w:r>
    </w:p>
    <w:p>
      <w:pPr>
        <w:widowControl w:val="on"/>
        <w:pBdr/>
        <w:spacing w:before="220" w:after="220" w:line="240" w:lineRule="auto"/>
        <w:ind w:left="0" w:right="0"/>
        <w:jc w:val="left"/>
      </w:pPr>
      <w:r>
        <w:rPr>
          <w:rFonts w:ascii="Calibri" w:hAnsi="Calibri" w:eastAsia="Calibri" w:cs="Calibri"/>
          <w:color w:val="000000"/>
          <w:sz w:val="22"/>
          <w:szCs w:val="22"/>
        </w:rPr>
        <w:t xml:space="preserve">Varatharajan R, Roy S, Prasad AK, Mukhopadhyay A &amp; Muraleedharan N (2019) Bionomics and management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on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(L) O. Kuntze in tea plantations of north-eastern India.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179-194.</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&amp; Kirk WD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Philippe Reynaud, Anses,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EPPO datasheets on pests recommended for regulation. Available online. </w:t>
      </w:r>
      <w:hyperlink r:id="rId116669c1c6919e19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3485133" name="name566869c1c6919e55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5469c1c6919e55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660646">
    <w:multiLevelType w:val="hybridMultilevel"/>
    <w:lvl w:ilvl="0" w:tplc="68046229">
      <w:start w:val="1"/>
      <w:numFmt w:val="decimal"/>
      <w:lvlText w:val="%1."/>
      <w:lvlJc w:val="left"/>
      <w:pPr>
        <w:ind w:left="720" w:hanging="360"/>
      </w:pPr>
    </w:lvl>
    <w:lvl w:ilvl="1" w:tplc="68046229" w:tentative="1">
      <w:start w:val="1"/>
      <w:numFmt w:val="lowerLetter"/>
      <w:lvlText w:val="%2."/>
      <w:lvlJc w:val="left"/>
      <w:pPr>
        <w:ind w:left="1440" w:hanging="360"/>
      </w:pPr>
    </w:lvl>
    <w:lvl w:ilvl="2" w:tplc="68046229" w:tentative="1">
      <w:start w:val="1"/>
      <w:numFmt w:val="lowerRoman"/>
      <w:lvlText w:val="%3."/>
      <w:lvlJc w:val="right"/>
      <w:pPr>
        <w:ind w:left="2160" w:hanging="180"/>
      </w:pPr>
    </w:lvl>
    <w:lvl w:ilvl="3" w:tplc="68046229" w:tentative="1">
      <w:start w:val="1"/>
      <w:numFmt w:val="decimal"/>
      <w:lvlText w:val="%4."/>
      <w:lvlJc w:val="left"/>
      <w:pPr>
        <w:ind w:left="2880" w:hanging="360"/>
      </w:pPr>
    </w:lvl>
    <w:lvl w:ilvl="4" w:tplc="68046229" w:tentative="1">
      <w:start w:val="1"/>
      <w:numFmt w:val="lowerLetter"/>
      <w:lvlText w:val="%5."/>
      <w:lvlJc w:val="left"/>
      <w:pPr>
        <w:ind w:left="3600" w:hanging="360"/>
      </w:pPr>
    </w:lvl>
    <w:lvl w:ilvl="5" w:tplc="68046229" w:tentative="1">
      <w:start w:val="1"/>
      <w:numFmt w:val="lowerRoman"/>
      <w:lvlText w:val="%6."/>
      <w:lvlJc w:val="right"/>
      <w:pPr>
        <w:ind w:left="4320" w:hanging="180"/>
      </w:pPr>
    </w:lvl>
    <w:lvl w:ilvl="6" w:tplc="68046229" w:tentative="1">
      <w:start w:val="1"/>
      <w:numFmt w:val="decimal"/>
      <w:lvlText w:val="%7."/>
      <w:lvlJc w:val="left"/>
      <w:pPr>
        <w:ind w:left="5040" w:hanging="360"/>
      </w:pPr>
    </w:lvl>
    <w:lvl w:ilvl="7" w:tplc="68046229" w:tentative="1">
      <w:start w:val="1"/>
      <w:numFmt w:val="lowerLetter"/>
      <w:lvlText w:val="%8."/>
      <w:lvlJc w:val="left"/>
      <w:pPr>
        <w:ind w:left="5760" w:hanging="360"/>
      </w:pPr>
    </w:lvl>
    <w:lvl w:ilvl="8" w:tplc="68046229" w:tentative="1">
      <w:start w:val="1"/>
      <w:numFmt w:val="lowerRoman"/>
      <w:lvlText w:val="%9."/>
      <w:lvlJc w:val="right"/>
      <w:pPr>
        <w:ind w:left="6480" w:hanging="180"/>
      </w:pPr>
    </w:lvl>
  </w:abstractNum>
  <w:abstractNum w:abstractNumId="38660645">
    <w:multiLevelType w:val="hybridMultilevel"/>
    <w:lvl w:ilvl="0" w:tplc="771423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660645">
    <w:abstractNumId w:val="38660645"/>
  </w:num>
  <w:num w:numId="38660646">
    <w:abstractNumId w:val="386606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9768284" Type="http://schemas.microsoft.com/office/2011/relationships/commentsExtended" Target="commentsExtended.xml"/><Relationship Id="rId182843899" Type="http://schemas.microsoft.com/office/2011/relationships/people" Target="people.xml"/><Relationship Id="rId307669c1c69197733" Type="http://schemas.openxmlformats.org/officeDocument/2006/relationships/hyperlink" Target="https://gd.eppo.int/taxon/SCITDO/" TargetMode="External"/><Relationship Id="rId947469c1c6919779e" Type="http://schemas.openxmlformats.org/officeDocument/2006/relationships/hyperlink" Target="https://gd.eppo.int/taxon/SCITDO/categorization" TargetMode="External"/><Relationship Id="rId206869c1c69197e44" Type="http://schemas.openxmlformats.org/officeDocument/2006/relationships/hyperlink" Target="https://gd.eppo.int/taxon/SCITDO/photos" TargetMode="External"/><Relationship Id="rId452969c1c6919ccd5" Type="http://schemas.openxmlformats.org/officeDocument/2006/relationships/hyperlink" Target="https://efsa.maps.arcgis.com/apps/MapJournal/index.html?appid=d7daac97ff284b13a5b00a687be75d5e" TargetMode="External"/><Relationship Id="rId546869c1c6919cd61" Type="http://schemas.openxmlformats.org/officeDocument/2006/relationships/hyperlink" Target="https://gd.eppo.int/standards/PM7/" TargetMode="External"/><Relationship Id="rId747069c1c6919cf32" Type="http://schemas.openxmlformats.org/officeDocument/2006/relationships/hyperlink" Target="https://www.fdacs.gov/Agriculture-Industry/Pests-and-Diseases/Plant-Pests-and-Diseases/Pest-Alerts" TargetMode="External"/><Relationship Id="rId116669c1c6919e194" Type="http://schemas.openxmlformats.org/officeDocument/2006/relationships/hyperlink" Target="https://gd.eppo.int" TargetMode="External"/><Relationship Id="rId951369c1c69197d09" Type="http://schemas.openxmlformats.org/officeDocument/2006/relationships/image" Target="media/imgrId951369c1c69197d09.jpg"/><Relationship Id="rId120969c1c6919b15a" Type="http://schemas.openxmlformats.org/officeDocument/2006/relationships/image" Target="media/imgrId120969c1c6919b15a.jpg"/><Relationship Id="rId205469c1c6919e55a" Type="http://schemas.openxmlformats.org/officeDocument/2006/relationships/image" Target="media/imgrId205469c1c6919e55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