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Lecanosticta acicola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Lecanosticta acicola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(von Thümen) Sydow</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Dothideomycetidae: Mycosphaerellales: Mycosphaerellaceae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Cryptosporium acicola</w:t>
            </w:r>
            <w:r>
              <w:rPr>
                <w:rFonts w:ascii="Calibri" w:hAnsi="Calibri" w:eastAsia="Calibri" w:cs="Calibri"/>
                <w:color w:val="000000"/>
                <w:position w:val="-3"/>
                <w:sz w:val="22"/>
                <w:szCs w:val="22"/>
              </w:rPr>
              <w:t xml:space="preserve"> von Thümen, </w:t>
            </w:r>
            <w:r>
              <w:rPr>
                <w:rFonts w:ascii="Calibri" w:hAnsi="Calibri" w:eastAsia="Calibri" w:cs="Calibri"/>
                <w:i/>
                <w:iCs/>
                <w:color w:val="000000"/>
                <w:position w:val="-3"/>
                <w:sz w:val="22"/>
                <w:szCs w:val="22"/>
              </w:rPr>
              <w:t xml:space="preserve">Dothiostroma acicola</w:t>
            </w:r>
            <w:r>
              <w:rPr>
                <w:rFonts w:ascii="Calibri" w:hAnsi="Calibri" w:eastAsia="Calibri" w:cs="Calibri"/>
                <w:color w:val="000000"/>
                <w:position w:val="-3"/>
                <w:sz w:val="22"/>
                <w:szCs w:val="22"/>
              </w:rPr>
              <w:t xml:space="preserve"> (von Thümen) Schischkina &amp; Tsanava, </w:t>
            </w:r>
            <w:r>
              <w:rPr>
                <w:rFonts w:ascii="Calibri" w:hAnsi="Calibri" w:eastAsia="Calibri" w:cs="Calibri"/>
                <w:i/>
                <w:iCs/>
                <w:color w:val="000000"/>
                <w:position w:val="-3"/>
                <w:sz w:val="22"/>
                <w:szCs w:val="22"/>
              </w:rPr>
              <w:t xml:space="preserve">Lecanosticta pini</w:t>
            </w:r>
            <w:r>
              <w:rPr>
                <w:rFonts w:ascii="Calibri" w:hAnsi="Calibri" w:eastAsia="Calibri" w:cs="Calibri"/>
                <w:color w:val="000000"/>
                <w:position w:val="-3"/>
                <w:sz w:val="22"/>
                <w:szCs w:val="22"/>
              </w:rPr>
              <w:t xml:space="preserve"> Sydow, </w:t>
            </w:r>
            <w:r>
              <w:rPr>
                <w:rFonts w:ascii="Calibri" w:hAnsi="Calibri" w:eastAsia="Calibri" w:cs="Calibri"/>
                <w:i/>
                <w:iCs/>
                <w:color w:val="000000"/>
                <w:position w:val="-3"/>
                <w:sz w:val="22"/>
                <w:szCs w:val="22"/>
              </w:rPr>
              <w:t xml:space="preserve">Mycosphaerella dearnessii</w:t>
            </w:r>
            <w:r>
              <w:rPr>
                <w:rFonts w:ascii="Calibri" w:hAnsi="Calibri" w:eastAsia="Calibri" w:cs="Calibri"/>
                <w:color w:val="000000"/>
                <w:position w:val="-3"/>
                <w:sz w:val="22"/>
                <w:szCs w:val="22"/>
              </w:rPr>
              <w:t xml:space="preserve"> Rostrup, </w:t>
            </w:r>
            <w:r>
              <w:rPr>
                <w:rFonts w:ascii="Calibri" w:hAnsi="Calibri" w:eastAsia="Calibri" w:cs="Calibri"/>
                <w:i/>
                <w:iCs/>
                <w:color w:val="000000"/>
                <w:position w:val="-3"/>
                <w:sz w:val="22"/>
                <w:szCs w:val="22"/>
              </w:rPr>
              <w:t xml:space="preserve">Oligostroma acicola</w:t>
            </w:r>
            <w:r>
              <w:rPr>
                <w:rFonts w:ascii="Calibri" w:hAnsi="Calibri" w:eastAsia="Calibri" w:cs="Calibri"/>
                <w:color w:val="000000"/>
                <w:position w:val="-3"/>
                <w:sz w:val="22"/>
                <w:szCs w:val="22"/>
              </w:rPr>
              <w:t xml:space="preserve"> Dearness, </w:t>
            </w:r>
            <w:r>
              <w:rPr>
                <w:rFonts w:ascii="Calibri" w:hAnsi="Calibri" w:eastAsia="Calibri" w:cs="Calibri"/>
                <w:i/>
                <w:iCs/>
                <w:color w:val="000000"/>
                <w:position w:val="-3"/>
                <w:sz w:val="22"/>
                <w:szCs w:val="22"/>
              </w:rPr>
              <w:t xml:space="preserve">Scirrhia acicola</w:t>
            </w:r>
            <w:r>
              <w:rPr>
                <w:rFonts w:ascii="Calibri" w:hAnsi="Calibri" w:eastAsia="Calibri" w:cs="Calibri"/>
                <w:color w:val="000000"/>
                <w:position w:val="-3"/>
                <w:sz w:val="22"/>
                <w:szCs w:val="22"/>
              </w:rPr>
              <w:t xml:space="preserve"> (Dearness) Siggers, </w:t>
            </w:r>
            <w:r>
              <w:rPr>
                <w:rFonts w:ascii="Calibri" w:hAnsi="Calibri" w:eastAsia="Calibri" w:cs="Calibri"/>
                <w:i/>
                <w:iCs/>
                <w:color w:val="000000"/>
                <w:position w:val="-3"/>
                <w:sz w:val="22"/>
                <w:szCs w:val="22"/>
              </w:rPr>
              <w:t xml:space="preserve">Septoria acicola</w:t>
            </w:r>
            <w:r>
              <w:rPr>
                <w:rFonts w:ascii="Calibri" w:hAnsi="Calibri" w:eastAsia="Calibri" w:cs="Calibri"/>
                <w:color w:val="000000"/>
                <w:position w:val="-3"/>
                <w:sz w:val="22"/>
                <w:szCs w:val="22"/>
              </w:rPr>
              <w:t xml:space="preserve"> (von Thümen) Saccardo, </w:t>
            </w:r>
            <w:r>
              <w:rPr>
                <w:rFonts w:ascii="Calibri" w:hAnsi="Calibri" w:eastAsia="Calibri" w:cs="Calibri"/>
                <w:i/>
                <w:iCs/>
                <w:color w:val="000000"/>
                <w:position w:val="-3"/>
                <w:sz w:val="22"/>
                <w:szCs w:val="22"/>
              </w:rPr>
              <w:t xml:space="preserve">Systremma acicola</w:t>
            </w:r>
            <w:r>
              <w:rPr>
                <w:rFonts w:ascii="Calibri" w:hAnsi="Calibri" w:eastAsia="Calibri" w:cs="Calibri"/>
                <w:color w:val="000000"/>
                <w:position w:val="-3"/>
                <w:sz w:val="22"/>
                <w:szCs w:val="22"/>
              </w:rPr>
              <w:t xml:space="preserve"> (Dearness) Wolf &amp; Barbour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brown spot needle blight, brown spot of pine, needle blight of pine</w:t>
            </w:r>
            <w:hyperlink r:id="rId740869efa61660a1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399769efa61660a8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SCIRAC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3902885" name="name818569efa616614a0" descr="14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95.jpg"/>
                          <pic:cNvPicPr/>
                        </pic:nvPicPr>
                        <pic:blipFill>
                          <a:blip r:embed="rId958369efa61661497" cstate="print"/>
                          <a:stretch>
                            <a:fillRect/>
                          </a:stretch>
                        </pic:blipFill>
                        <pic:spPr>
                          <a:xfrm>
                            <a:off x="0" y="0"/>
                            <a:ext cx="2160000" cy="1281600"/>
                          </a:xfrm>
                          <a:prstGeom prst="rect">
                            <a:avLst/>
                          </a:prstGeom>
                          <a:ln w="0">
                            <a:noFill/>
                          </a:ln>
                        </pic:spPr>
                      </pic:pic>
                    </a:graphicData>
                  </a:graphic>
                </wp:inline>
              </w:drawing>
            </w:r>
            <w:hyperlink r:id="rId418169efa6166177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was described by De Thuemen in 1878 as </w:t>
      </w:r>
      <w:r>
        <w:rPr>
          <w:rFonts w:ascii="Calibri" w:hAnsi="Calibri" w:eastAsia="Calibri" w:cs="Calibri"/>
          <w:i/>
          <w:iCs/>
          <w:color w:val="000000"/>
          <w:sz w:val="22"/>
          <w:szCs w:val="22"/>
        </w:rPr>
        <w:t xml:space="preserve">Cryptosporium aciculum</w:t>
      </w:r>
      <w:r>
        <w:rPr>
          <w:rFonts w:ascii="Calibri" w:hAnsi="Calibri" w:eastAsia="Calibri" w:cs="Calibri"/>
          <w:color w:val="000000"/>
          <w:sz w:val="22"/>
          <w:szCs w:val="22"/>
        </w:rPr>
        <w:t xml:space="preserve"> (De Thuemen, 1878).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Potentially all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are hosts. The main hosts in the EPPO region are: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Certain species, such as </w:t>
      </w:r>
      <w:r>
        <w:rPr>
          <w:rFonts w:ascii="Calibri" w:hAnsi="Calibri" w:eastAsia="Calibri" w:cs="Calibri"/>
          <w:i/>
          <w:iCs/>
          <w:color w:val="000000"/>
          <w:sz w:val="22"/>
          <w:szCs w:val="22"/>
        </w:rPr>
        <w:t xml:space="preserve">P. banksiana</w:t>
      </w:r>
      <w:r>
        <w:rPr>
          <w:rFonts w:ascii="Calibri" w:hAnsi="Calibri" w:eastAsia="Calibri" w:cs="Calibri"/>
          <w:color w:val="000000"/>
          <w:sz w:val="22"/>
          <w:szCs w:val="22"/>
        </w:rPr>
        <w:t xml:space="preserve">, have been shown to be highly resistant (Skilling &amp; Nicholls, 1974), whilst traces of infection were noted on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artificially exposed to a heavy spore inoculum. Recently, the pathogen was reported from </w:t>
      </w:r>
      <w:r>
        <w:rPr>
          <w:rFonts w:ascii="Calibri" w:hAnsi="Calibri" w:eastAsia="Calibri" w:cs="Calibri"/>
          <w:i/>
          <w:iCs/>
          <w:color w:val="000000"/>
          <w:sz w:val="22"/>
          <w:szCs w:val="22"/>
        </w:rPr>
        <w:t xml:space="preserve">Cedrus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libani</w:t>
      </w:r>
      <w:r>
        <w:rPr>
          <w:rFonts w:ascii="Calibri" w:hAnsi="Calibri" w:eastAsia="Calibri" w:cs="Calibri"/>
          <w:color w:val="000000"/>
          <w:sz w:val="22"/>
          <w:szCs w:val="22"/>
        </w:rPr>
        <w:t xml:space="preserve"> in Turkey (Oskay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w:t>
      </w:r>
      <w:r>
        <w:rPr>
          <w:rFonts w:ascii="Calibri" w:hAnsi="Calibri" w:eastAsia="Calibri" w:cs="Calibri"/>
          <w:i/>
          <w:iCs/>
          <w:color w:val="000000"/>
          <w:sz w:val="22"/>
          <w:szCs w:val="22"/>
        </w:rPr>
        <w:t xml:space="preserve">C. atlantica</w:t>
      </w:r>
      <w:r>
        <w:rPr>
          <w:rFonts w:ascii="Calibri" w:hAnsi="Calibri" w:eastAsia="Calibri" w:cs="Calibri"/>
          <w:color w:val="000000"/>
          <w:sz w:val="22"/>
          <w:szCs w:val="22"/>
        </w:rPr>
        <w:t xml:space="preserve"> in France (Schenck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libani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attenuata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ayacahuite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brutia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caribaea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clausa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 var.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coulteri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cubensis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jeffreyi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maximinoi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 subsp. uncinata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 var. pumilio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laricio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pallasiana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oocarpa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 subsp. escarena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 var. scopulorum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tecunumanii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x rhaetica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x sondereggeri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was isolated for the first time in 1876 from needles of </w:t>
      </w:r>
      <w:r>
        <w:rPr>
          <w:rFonts w:ascii="Calibri" w:hAnsi="Calibri" w:eastAsia="Calibri" w:cs="Calibri"/>
          <w:i/>
          <w:iCs/>
          <w:color w:val="000000"/>
          <w:sz w:val="22"/>
          <w:szCs w:val="22"/>
        </w:rPr>
        <w:t xml:space="preserve">Pinus caribaea </w:t>
      </w:r>
      <w:r>
        <w:rPr>
          <w:rFonts w:ascii="Calibri" w:hAnsi="Calibri" w:eastAsia="Calibri" w:cs="Calibri"/>
          <w:color w:val="000000"/>
          <w:sz w:val="22"/>
          <w:szCs w:val="22"/>
        </w:rPr>
        <w:t xml:space="preserve">in South Carolina, USA. In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the disease became common in the south-eastern parts of the USA on the highly susceptible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(long leaf pine). Later the disease spread to northern parts of the USA, to Canada and to Europe, Asia and South America (Janoušek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Nearly 50% of all reports of the pathogen are from 2009-2019 and this reflects the ongoing increasing spread of the species (van der Nest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In Europe the first records of the disease were in 1942 (Spain; Martinez 1942) and 1976 (Croatia; Milatović,1976). In many countries the outbreaks were initially limited to urban sites, but from 2010 on they are increasingly reported from forests as well. </w:t>
      </w:r>
    </w:p>
    <w:p>
      <w:pPr>
        <w:widowControl w:val="on"/>
        <w:pBdr/>
        <w:spacing w:before="220" w:after="220" w:line="240" w:lineRule="auto"/>
        <w:ind w:left="0" w:right="0"/>
        <w:jc w:val="both"/>
      </w:pPr>
      <w:r>
        <w:rPr>
          <w:rFonts w:ascii="Calibri" w:hAnsi="Calibri" w:eastAsia="Calibri" w:cs="Calibri"/>
          <w:color w:val="000000"/>
          <w:sz w:val="22"/>
          <w:szCs w:val="22"/>
        </w:rPr>
        <w:t xml:space="preserve">Eight of the known species of the genus </w:t>
      </w:r>
      <w:r>
        <w:rPr>
          <w:rFonts w:ascii="Calibri" w:hAnsi="Calibri" w:eastAsia="Calibri" w:cs="Calibri"/>
          <w:i/>
          <w:iCs/>
          <w:color w:val="000000"/>
          <w:sz w:val="22"/>
          <w:szCs w:val="22"/>
        </w:rPr>
        <w:t xml:space="preserve">Lecanosticta</w:t>
      </w:r>
      <w:r>
        <w:rPr>
          <w:rFonts w:ascii="Calibri" w:hAnsi="Calibri" w:eastAsia="Calibri" w:cs="Calibri"/>
          <w:color w:val="000000"/>
          <w:sz w:val="22"/>
          <w:szCs w:val="22"/>
        </w:rPr>
        <w:t xml:space="preserve"> were described from Central America and therefore a Mesoamerican centre of development of the genus </w:t>
      </w:r>
      <w:r>
        <w:rPr>
          <w:rFonts w:ascii="Calibri" w:hAnsi="Calibri" w:eastAsia="Calibri" w:cs="Calibri"/>
          <w:i/>
          <w:iCs/>
          <w:color w:val="000000"/>
          <w:sz w:val="22"/>
          <w:szCs w:val="22"/>
        </w:rPr>
        <w:t xml:space="preserve">Lecanosticta</w:t>
      </w:r>
      <w:r>
        <w:rPr>
          <w:rFonts w:ascii="Calibri" w:hAnsi="Calibri" w:eastAsia="Calibri" w:cs="Calibri"/>
          <w:color w:val="000000"/>
          <w:sz w:val="22"/>
          <w:szCs w:val="22"/>
        </w:rPr>
        <w:t xml:space="preserve"> is probable (Van Der Nest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The only widespread species,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however, probably derives from southern North America and resolves in three lineages differing in cultural morphology and pathogenicity.  One lineage from the Northern USA was likely introduced into Central and Northern Europe. The second lineage from the Southern USA was introduced into France, Spain and Columbia as well as into Asia. The third lineage, deriving from Mexico, is limited to Mexico up to now (Janoušek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This lineage is the most diverse of all probably comprising one or more cryptic species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Janoušek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van der Nest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For seven of the eight known species from Central America no records are known from other regions and pathogenicity is largely unknown.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 </w:t>
      </w:r>
      <w:r>
        <w:rPr>
          <w:rFonts w:ascii="Calibri" w:hAnsi="Calibri" w:eastAsia="Calibri" w:cs="Calibri"/>
          <w:color w:val="000000"/>
          <w:sz w:val="22"/>
          <w:szCs w:val="22"/>
        </w:rPr>
        <w:t xml:space="preserve">is heterothallic (Janoušek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both mating types are present in Europe. In several European countries including Spain the ratio of mating type idiomorphs indicates frequent and widespread occurrence of sexual recombination (Janoušek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sexual stage was recorded in Spain (Mesanca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w:t>
      </w:r>
    </w:p>
    <w:p>
      <w:r>
        <w:drawing>
          <wp:inline distT="0" distB="0" distL="0" distR="0">
            <wp:extent cx="6120000" cy="3067200"/>
            <wp:docPr id="41809197" name="name780169efa6166367a" descr="SCIRA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RAC_distribution_map.jpg"/>
                    <pic:cNvPicPr/>
                  </pic:nvPicPr>
                  <pic:blipFill>
                    <a:blip r:embed="rId612769efa6166367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Bulgaria, Croatia, Czechia, Estonia, Finland, France (mainland), Georgia, Germany, Ireland, Italy (mainland), Latvia, Lithuania, Poland, Portugal (mainland), Romania, Russian Federation (Central Russia, Southern Russia), Slovakia, Slovenia, Spain (mainland), Switzerland, Türkiye,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Guangdong, Guangxi, Jiangsu, Jiangxi, Zhejiang), Japan (Honshu, Kyushu),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New Brunswick, Ontario, Québec), Mexico, United States of America (Alabama, Arkansas, Florida, Georgia, Idaho, Illinois, Iowa, Kansas, Kentucky, Louisiana, Maine, Michigan, Minnesota, Mississippi, Missouri, Montana, Nebraska, New Hampshire, New York, North Carolina, Ohio, Oregon, Pennsylvania, South Carolina, Tennessee, Texas, Vermont,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Guatemala, Honduras, Jamaica, Nicaragua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 Ecuador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Climate represents the main critical factor influencing disease intensity of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Both temperature and precipitation directly affect production and dispersal of conidia, ascospores and infection rates. Conidia release occurs at temperatures between -5.5°C and 28°C (Siggers, 1944; Wyka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Ascospores can be trapped at temperatures from 4°C upwards but are most commonly found at temperatures around 15°C (Kais, 1971). Peaks of release are seen when weekly temperatures average 15.5°C, decrease measurably at 10°C and apparently cease around 4°C (Kais, 1971).</w:t>
      </w:r>
    </w:p>
    <w:p>
      <w:pPr>
        <w:widowControl w:val="on"/>
        <w:pBdr/>
        <w:spacing w:before="220" w:after="220" w:line="240" w:lineRule="auto"/>
        <w:ind w:left="0" w:right="0"/>
        <w:jc w:val="both"/>
      </w:pPr>
      <w:r>
        <w:rPr>
          <w:rFonts w:ascii="Calibri" w:hAnsi="Calibri" w:eastAsia="Calibri" w:cs="Calibri"/>
          <w:color w:val="000000"/>
          <w:sz w:val="22"/>
          <w:szCs w:val="22"/>
        </w:rPr>
        <w:t xml:space="preserve">Under moist conditions, conidia exude from the acervulus in a mucilaginous, green, wedge-shaped cirrus and are dispersed by rain-splash (probably also by mist or fog moved by wind) to adjacent trees. Conidia are dispersed up to a distance of  60 m (Wyka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maximal distances of 1 km can be expected (Mullett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ascospores however, long distance spread by wind is likely.</w:t>
      </w:r>
    </w:p>
    <w:p>
      <w:pPr>
        <w:widowControl w:val="on"/>
        <w:pBdr/>
        <w:spacing w:before="220" w:after="220" w:line="240" w:lineRule="auto"/>
        <w:ind w:left="0" w:right="0"/>
        <w:jc w:val="both"/>
      </w:pPr>
      <w:r>
        <w:rPr>
          <w:rFonts w:ascii="Calibri" w:hAnsi="Calibri" w:eastAsia="Calibri" w:cs="Calibri"/>
          <w:color w:val="000000"/>
          <w:sz w:val="22"/>
          <w:szCs w:val="22"/>
        </w:rPr>
        <w:t xml:space="preserve">Germination of conidia requires temperatures between 5°C and 32-35°C (Northern lineage of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The Southern lineage tolerates higher temperatures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For infection, optimal temperatures are 30 °C during the day and 21 °C at night (Kais, 1975). The temperature amplitude for the survival of the pathogen is certainly wider: in plants, the pathogen resists long frost periods as well as extreme hot periods. </w:t>
      </w:r>
    </w:p>
    <w:p>
      <w:pPr>
        <w:widowControl w:val="on"/>
        <w:pBdr/>
        <w:spacing w:before="220" w:after="220" w:line="240" w:lineRule="auto"/>
        <w:ind w:left="0" w:right="0"/>
        <w:jc w:val="both"/>
      </w:pPr>
      <w:r>
        <w:rPr>
          <w:rFonts w:ascii="Calibri" w:hAnsi="Calibri" w:eastAsia="Calibri" w:cs="Calibri"/>
          <w:color w:val="000000"/>
          <w:sz w:val="22"/>
          <w:szCs w:val="22"/>
        </w:rPr>
        <w:t xml:space="preserve">As numerous observations showed, conidial release is connected to rainfall patterns. This explains why disease spread is slower in dry summer periods (Beenken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2018). Ascospores however are discharged with or without rainfall (Kais, 1971).</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 germinate with tubes entering the needles via stomata or wounds (Kais, 1978). Light stimulates the opening of stomata, and the germ tube penetrates the needle (Kais, 1975). Direct penetration via appressoria is uncertain. The incubation period depends on needle-age varying from 1-2 months on young needles to 4-7 months on older foliage and there are differences among pine species with respect to varying susceptibility of needles with age. On the needles acervuli develop. The disease cycle renews the following spring when the overwintering fruiting bodies release conidia as temperature and rainfall increase. In warmer climates, the conidia remain on the needle for many months. Ascostromata are formed on necrotic distal parts of living needles infected in the previous year (Henry, 1954; Jewell, 1983). Ascospores are forcibly expelled and dispersed by wind currents or rain splash driven by wind. Both sexual and asexual stages also develop and mature on cast needles and constitute an important source of interseasonal survival.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 acicola</w:t>
      </w:r>
      <w:r>
        <w:rPr>
          <w:rFonts w:ascii="Calibri" w:hAnsi="Calibri" w:eastAsia="Calibri" w:cs="Calibri"/>
          <w:color w:val="000000"/>
          <w:sz w:val="22"/>
          <w:szCs w:val="22"/>
        </w:rPr>
        <w:t xml:space="preserve"> causes brown spot needle blight of pines. Symptoms on needles vary depending on the host species. On many hosts, the first visible symptoms are orange/yellow, often resin-soaked irregular circular spots, which later become dark brown in the centre, but often with a yellowish halo. The spots usually widen to bands encircling the needle and causing death of the distal parts. Lesions are always sharply delimited from the surrounding living tissue (Hedgcock, 1929). These spots turn brown, sometimes they appear resin-soaked, and they often have a yellowish-orange halo. Later brown bands develop from the spots. On the needle surface any trace of reddish (brick-red) discoloration, typical for </w:t>
      </w:r>
      <w:r>
        <w:rPr>
          <w:rFonts w:ascii="Calibri" w:hAnsi="Calibri" w:eastAsia="Calibri" w:cs="Calibri"/>
          <w:i/>
          <w:iCs/>
          <w:color w:val="000000"/>
          <w:sz w:val="22"/>
          <w:szCs w:val="22"/>
        </w:rPr>
        <w:t xml:space="preserve">Dothistroma</w:t>
      </w:r>
      <w:r>
        <w:rPr>
          <w:rFonts w:ascii="Calibri" w:hAnsi="Calibri" w:eastAsia="Calibri" w:cs="Calibri"/>
          <w:color w:val="000000"/>
          <w:sz w:val="22"/>
          <w:szCs w:val="22"/>
        </w:rPr>
        <w:t xml:space="preserve">, is usually missing (for probable exceptions see Evans, 1984). In some cases, as this has been reported for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strobus</w:t>
      </w:r>
      <w:r>
        <w:rPr>
          <w:rFonts w:ascii="Calibri" w:hAnsi="Calibri" w:eastAsia="Calibri" w:cs="Calibri"/>
          <w:color w:val="000000"/>
          <w:sz w:val="22"/>
          <w:szCs w:val="22"/>
        </w:rPr>
        <w:t xml:space="preserve">, symptoms may only be displayed as chlorosis of the needles without banding (Broders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Diseased needles typically show dead tips, central zones with spots in green tissue, and green bases. Infected needles usually die from the apex to the base. Often the proximal part of the needle remains green for a while, and this gives a good indication (but not evidence) for presence of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Eventually the whole needle turns brown and is shed. In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sylvestris</w:t>
      </w:r>
      <w:r>
        <w:rPr>
          <w:rFonts w:ascii="Calibri" w:hAnsi="Calibri" w:eastAsia="Calibri" w:cs="Calibri"/>
          <w:color w:val="000000"/>
          <w:sz w:val="22"/>
          <w:szCs w:val="22"/>
        </w:rPr>
        <w:t xml:space="preserve"> this typically occurs before the conidiomata become visible.</w:t>
      </w:r>
    </w:p>
    <w:p>
      <w:pPr>
        <w:widowControl w:val="on"/>
        <w:pBdr/>
        <w:spacing w:before="220" w:after="220" w:line="240" w:lineRule="auto"/>
        <w:ind w:left="0" w:right="0"/>
        <w:jc w:val="both"/>
      </w:pPr>
      <w:r>
        <w:rPr>
          <w:rFonts w:ascii="Calibri" w:hAnsi="Calibri" w:eastAsia="Calibri" w:cs="Calibri"/>
          <w:color w:val="000000"/>
          <w:sz w:val="22"/>
          <w:szCs w:val="22"/>
        </w:rPr>
        <w:t xml:space="preserve">Initially only the second year and older needles are affected, leaving healthy new growth at the tips of the branches. Usually, infection starts in the lower parts of the canopy and then progresses upwards in the trees (Sinclair and Lyon, 2005; Skilling and Nicholls, 1974). Over several years, this may result in total loss of older needles leaving only the current year’s needles, which are distinctly shorter (‘paintbrush’-like branches) and often already visibly infected (brown tips or distal parts brown with conidiomata). Infection of the current year’s needles often results in branch and later tree death. However, all these symptoms can be confused with those of other needle pathogens, above all </w:t>
      </w:r>
      <w:r>
        <w:rPr>
          <w:rFonts w:ascii="Calibri" w:hAnsi="Calibri" w:eastAsia="Calibri" w:cs="Calibri"/>
          <w:i/>
          <w:iCs/>
          <w:color w:val="000000"/>
          <w:sz w:val="22"/>
          <w:szCs w:val="22"/>
        </w:rPr>
        <w:t xml:space="preserve">Dothistroma </w:t>
      </w:r>
      <w:r>
        <w:rPr>
          <w:rFonts w:ascii="Calibri" w:hAnsi="Calibri" w:eastAsia="Calibri" w:cs="Calibri"/>
          <w:color w:val="000000"/>
          <w:sz w:val="22"/>
          <w:szCs w:val="22"/>
        </w:rPr>
        <w:t xml:space="preserve">needle blight.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Anamorphic stage: acervuli are black to olive green, subepidermal, becoming erumpent and stromatic, elliptical to elongate, arranged parallel to the long axis of the needle, 200-800 x 150-200 µm in size. Stromata are flat, raising only slightly the epidermis and appearing somehow shiny. They open via a longitudinal slit to release the conidia. Excessive stroma development results in loculate acervuli. Conidia extremely variable in form, subhyaline to dark-brown, echinulate to verrucose or tuberculate, thick-walled, straight to curved, with one to five septa, fusiform to cylindrical (11)–31–(64) x (1)–3.4–(6) µm, with a rounded apex and truncate base (morphological variations see Evans, 1984). Spermogonia of an </w:t>
      </w:r>
      <w:r>
        <w:rPr>
          <w:rFonts w:ascii="Calibri" w:hAnsi="Calibri" w:eastAsia="Calibri" w:cs="Calibri"/>
          <w:i/>
          <w:iCs/>
          <w:color w:val="000000"/>
          <w:sz w:val="22"/>
          <w:szCs w:val="22"/>
        </w:rPr>
        <w:t xml:space="preserve">Asteromella</w:t>
      </w:r>
      <w:r>
        <w:rPr>
          <w:rFonts w:ascii="Calibri" w:hAnsi="Calibri" w:eastAsia="Calibri" w:cs="Calibri"/>
          <w:color w:val="000000"/>
          <w:sz w:val="22"/>
          <w:szCs w:val="22"/>
        </w:rPr>
        <w:t xml:space="preserve"> synanamorph present in uniloculate or multiloculate stromata; spermatia subhyaline to pale-green, rod-shaped, 2-4 x 0.8-1.3 µm.</w:t>
      </w:r>
    </w:p>
    <w:p>
      <w:pPr>
        <w:widowControl w:val="on"/>
        <w:pBdr/>
        <w:spacing w:before="220" w:after="220" w:line="240" w:lineRule="auto"/>
        <w:ind w:left="0" w:right="0"/>
        <w:jc w:val="both"/>
      </w:pPr>
      <w:r>
        <w:rPr>
          <w:rFonts w:ascii="Calibri" w:hAnsi="Calibri" w:eastAsia="Calibri" w:cs="Calibri"/>
          <w:color w:val="000000"/>
          <w:sz w:val="22"/>
          <w:szCs w:val="22"/>
        </w:rPr>
        <w:t xml:space="preserve">Sexual stage: ascostromata are scattered, linear, innate, subepidermal, becoming strongly erumpent, black, invariably multiloculate (two to 18 locules), 400-850(-1200) x 120-250 µm. Ascospores are hyaline, smooth, one-septate, usually four-guttulate, oblong to cuneate, 7.5-14 x 2-3.5 µm, bluntly rounded at one end, tapering and fusiform at other. Since ascostromata are produced irregularly they are not particularly useful for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Culture characteristics: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can be isolated on Malt Extract Agar from symptomatic needles following surface sterilization (EPPO, 2015). Firstly, a white aerial mycelium appears which turns greenish olive to dark olive, forming stromatic and erumpent colonies producing an olive-green conidial slime. At 20°C in daylight, the mycelium grows 2.5–3 mm a week. Colonies produce a yellow diffusate.</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descriptions of the morphology of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 </w:t>
      </w:r>
      <w:r>
        <w:rPr>
          <w:rFonts w:ascii="Calibri" w:hAnsi="Calibri" w:eastAsia="Calibri" w:cs="Calibri"/>
          <w:color w:val="000000"/>
          <w:sz w:val="22"/>
          <w:szCs w:val="22"/>
        </w:rPr>
        <w:t xml:space="preserve">as well as characteristics in culture are to be found in the EPPO diagnostic protocol for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(EPPO, 2015).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Samples should preferably be taken on sites where hosts show striking loss of needles, living needles distinctly shorter than usual and a significant proportion of needles with a brown distal part. This reflects the symptom expression in an advanced infestation stage on a highly susceptible host (e.g.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mugo</w:t>
      </w:r>
      <w:r>
        <w:rPr>
          <w:rFonts w:ascii="Calibri" w:hAnsi="Calibri" w:eastAsia="Calibri" w:cs="Calibri"/>
          <w:color w:val="000000"/>
          <w:sz w:val="22"/>
          <w:szCs w:val="22"/>
        </w:rPr>
        <w:t xml:space="preserve">) and can be detected even from a distance. On Scots pine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sylvestris</w:t>
      </w:r>
      <w:r>
        <w:rPr>
          <w:rFonts w:ascii="Calibri" w:hAnsi="Calibri" w:eastAsia="Calibri" w:cs="Calibri"/>
          <w:color w:val="000000"/>
          <w:sz w:val="22"/>
          <w:szCs w:val="22"/>
        </w:rPr>
        <w:t xml:space="preserve">) conidiomata often ripen on already cast needles, so apart from symptomatic needles from the canopy needles from the litter should also be sampled. </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detection of needles showing brown dead tissues (dead tips, brown spots, bands or dead parts with black stroma spots) and structures indicating conidial tufts (hand-lens) or needles with an even yellowish discoloration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strobus</w:t>
      </w:r>
      <w:r>
        <w:rPr>
          <w:rFonts w:ascii="Calibri" w:hAnsi="Calibri" w:eastAsia="Calibri" w:cs="Calibri"/>
          <w:color w:val="000000"/>
          <w:sz w:val="22"/>
          <w:szCs w:val="22"/>
        </w:rPr>
        <w:t xml:space="preserve">), needle samples should be taken for identification by a diagnostic laboratory.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movement of infected planting material between regions and countries (long-distance spread) is thought to be the main anthropogenic pathway of spread of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(van der Nest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This corresponds to the numerous incidents of single tree-outbreaks in several Northern and Central European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Intercontinental movement is possible in seed lots contaminated with infested needle debris. In addition, people and livestock are also thought to transfer spores from infested areas (e.g. tourists transmitting the pathogen into sensitive nature reserves (Jankovský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Siggers, 1944).</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sources of spread are documented for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acicola</w:t>
      </w:r>
      <w:r>
        <w:rPr>
          <w:rFonts w:ascii="Calibri" w:hAnsi="Calibri" w:eastAsia="Calibri" w:cs="Calibri"/>
          <w:color w:val="000000"/>
          <w:sz w:val="22"/>
          <w:szCs w:val="22"/>
        </w:rPr>
        <w:t xml:space="preserve"> (MacLeod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Jurc &amp; Piškur, 2017):</w:t>
      </w:r>
    </w:p>
    <w:p>
      <w:pPr>
        <w:widowControl w:val="on"/>
        <w:pBdr/>
        <w:spacing w:before="220" w:after="220" w:line="240" w:lineRule="auto"/>
        <w:ind w:left="0" w:right="0"/>
        <w:jc w:val="left"/>
      </w:pPr>
      <w:r>
        <w:rPr>
          <w:rFonts w:ascii="Calibri" w:hAnsi="Calibri" w:eastAsia="Calibri" w:cs="Calibri"/>
          <w:color w:val="000000"/>
          <w:sz w:val="22"/>
          <w:szCs w:val="22"/>
        </w:rPr>
        <w:t xml:space="preserve">- Luggage of passengers</w:t>
      </w:r>
      <w:r>
        <w:rPr>
          <w:rFonts w:ascii="Calibri" w:hAnsi="Calibri" w:eastAsia="Calibri" w:cs="Calibri"/>
          <w:color w:val="000000"/>
          <w:sz w:val="22"/>
          <w:szCs w:val="22"/>
        </w:rPr>
        <w:br/>
        <w:t xml:space="preserve">- Forestry tools and equipment (Skilling &amp; Nicholls, 1974) and car tyres</w:t>
      </w:r>
      <w:r>
        <w:rPr>
          <w:rFonts w:ascii="Calibri" w:hAnsi="Calibri" w:eastAsia="Calibri" w:cs="Calibri"/>
          <w:color w:val="000000"/>
          <w:sz w:val="22"/>
          <w:szCs w:val="22"/>
        </w:rPr>
        <w:br/>
        <w:t xml:space="preserve">- Clothing and shoes</w:t>
      </w:r>
      <w:r>
        <w:rPr>
          <w:rFonts w:ascii="Calibri" w:hAnsi="Calibri" w:eastAsia="Calibri" w:cs="Calibri"/>
          <w:color w:val="000000"/>
          <w:sz w:val="22"/>
          <w:szCs w:val="22"/>
        </w:rPr>
        <w:br/>
        <w:t xml:space="preserve">- Seeds, if the seed lots are contaminated by needles</w:t>
      </w:r>
      <w:r>
        <w:rPr>
          <w:rFonts w:ascii="Calibri" w:hAnsi="Calibri" w:eastAsia="Calibri" w:cs="Calibri"/>
          <w:color w:val="000000"/>
          <w:sz w:val="22"/>
          <w:szCs w:val="22"/>
        </w:rPr>
        <w:br/>
        <w:t xml:space="preserve">- Insects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acicola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an important pine foliage disease, particularly of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in south-eastern parts of the USA and on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grown as Christmas trees (Enebak &amp; Starkey, 2012). In China, extensive outbreaks were recorded in the 1970s in pine plantations including those of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(Ye &amp; Wu, 2011). In Central America the pathogen was reported as omnipresent in native pine forests (</w:t>
      </w:r>
      <w:r>
        <w:rPr>
          <w:rFonts w:ascii="Calibri" w:hAnsi="Calibri" w:eastAsia="Calibri" w:cs="Calibri"/>
          <w:i/>
          <w:iCs/>
          <w:color w:val="000000"/>
          <w:sz w:val="22"/>
          <w:szCs w:val="22"/>
        </w:rPr>
        <w:t xml:space="preserve">P. caribaea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oocarpa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maximinoi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but not associated with serious needle blight according to Evans (1984), whose identification was based on morphological examination techniques.</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impacts on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seem to be variable at present but generally relatively slight (Van der Nest, 2019a).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nigra</w:t>
      </w:r>
      <w:r>
        <w:rPr>
          <w:rFonts w:ascii="Calibri" w:hAnsi="Calibri" w:eastAsia="Calibri" w:cs="Calibri"/>
          <w:color w:val="000000"/>
          <w:sz w:val="22"/>
          <w:szCs w:val="22"/>
        </w:rPr>
        <w:t xml:space="preserve"> appears not to be badly affected (Hintsteiner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in Slovenia increasing loss of adult Austrian black pines is reported by Jurc &amp; Piskur (2017). In Austria, the shrubby species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mugo</w:t>
      </w:r>
      <w:r>
        <w:rPr>
          <w:rFonts w:ascii="Calibri" w:hAnsi="Calibri" w:eastAsia="Calibri" w:cs="Calibri"/>
          <w:color w:val="000000"/>
          <w:sz w:val="22"/>
          <w:szCs w:val="22"/>
        </w:rPr>
        <w:t xml:space="preserve"> (Mountain pine) and the upright growing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uncinata</w:t>
      </w:r>
      <w:r>
        <w:rPr>
          <w:rFonts w:ascii="Calibri" w:hAnsi="Calibri" w:eastAsia="Calibri" w:cs="Calibri"/>
          <w:color w:val="000000"/>
          <w:sz w:val="22"/>
          <w:szCs w:val="22"/>
        </w:rPr>
        <w:t xml:space="preserve">, locally affected by </w:t>
      </w:r>
      <w:r>
        <w:rPr>
          <w:rFonts w:ascii="Calibri" w:hAnsi="Calibri" w:eastAsia="Calibri" w:cs="Calibri"/>
          <w:i/>
          <w:iCs/>
          <w:color w:val="000000"/>
          <w:sz w:val="22"/>
          <w:szCs w:val="22"/>
        </w:rPr>
        <w:t xml:space="preserve">L. acicola </w:t>
      </w:r>
      <w:r>
        <w:rPr>
          <w:rFonts w:ascii="Calibri" w:hAnsi="Calibri" w:eastAsia="Calibri" w:cs="Calibri"/>
          <w:color w:val="000000"/>
          <w:sz w:val="22"/>
          <w:szCs w:val="22"/>
        </w:rPr>
        <w:t xml:space="preserve">in high elevation habitats (protection forests), are subject to decline (Steyrer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addition, heavy infestations of trees in bogs in Germany, Austria, Switzerland and the Czech Republic cause losses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mugo</w:t>
      </w:r>
      <w:r>
        <w:rPr>
          <w:rFonts w:ascii="Calibri" w:hAnsi="Calibri" w:eastAsia="Calibri" w:cs="Calibri"/>
          <w:color w:val="000000"/>
          <w:sz w:val="22"/>
          <w:szCs w:val="22"/>
        </w:rPr>
        <w:t xml:space="preserve"> (Schwanda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Beenken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Jankovsky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Straßer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Generally, the expected impact of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on Europe’s extensive natural and planted pine forests is a major concern considering the apparent recent increase in the pathogen’s range.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Both cultural and chemical control techniques have been developed, tested and practiced in the USA and are mostly targeted at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For this fire-tolerant species controlled burning to destroy infected litter on the ground was one of the oldest measures against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(Barnett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in many European countries environmental concerns limit the practice of burning. Alternatively silvicultural and forest hygienic measures are apt to reduce spread of the disease in a stand. Avoidance of dense (damp), foggy or waterlogged sites to reduce humidity leads to a decrease in inoculum (Munck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McIntire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Increasing the airflow lowers the probability of an infection for neighbouring trees (McIntire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Where practical, pruning out heavily infected lower branches and removing especially heavily infected trees has also reduced infection in the vicinity according to several studies (Glavaš, 1979; Mesanza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2021b). The effects of mixed aged afforestation on disease progression needs further study, especially regarding the European pine ecosystems.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extremely difficult to eradicate regional outbreaks of brown spot needle blight in natural environments by means of hygienic measures. Therefore, efforts are necessary to prevent further spread. Selective removal of pines from highly visited touristic areas is being tested in Slovenia (Piškur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Zavrtanik &amp; Kolšek, 2020). </w:t>
      </w:r>
    </w:p>
    <w:p>
      <w:pPr>
        <w:widowControl w:val="on"/>
        <w:pBdr/>
        <w:spacing w:before="220" w:after="220" w:line="240" w:lineRule="auto"/>
        <w:ind w:left="0" w:right="0"/>
        <w:jc w:val="both"/>
      </w:pPr>
      <w:r>
        <w:rPr>
          <w:rFonts w:ascii="Calibri" w:hAnsi="Calibri" w:eastAsia="Calibri" w:cs="Calibri"/>
          <w:color w:val="000000"/>
          <w:sz w:val="22"/>
          <w:szCs w:val="22"/>
        </w:rPr>
        <w:t xml:space="preserve">As far as plant production products are concerned, chemical control using active ingredients such as sulphur, copper, calcium hydroxide, and calcium caseinate was already widely used against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in the first half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More recently chlorothalonil and dithiocarbamate were used (Kais, 1989; Parris, 1969). Systemic fungicides such as benomyl also reduced infection of pine seedlings (Kais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In China, treatment of bare rooted seedlings of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with carbendazim or thiophanate-methyl was also effective (Hang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Inoculations of seedlings with mycorrhiza (</w:t>
      </w:r>
      <w:r>
        <w:rPr>
          <w:rFonts w:ascii="Calibri" w:hAnsi="Calibri" w:eastAsia="Calibri" w:cs="Calibri"/>
          <w:i/>
          <w:iCs/>
          <w:color w:val="000000"/>
          <w:sz w:val="22"/>
          <w:szCs w:val="22"/>
        </w:rPr>
        <w:t xml:space="preserve">Pisolithus tinctorius</w:t>
      </w:r>
      <w:r>
        <w:rPr>
          <w:rFonts w:ascii="Calibri" w:hAnsi="Calibri" w:eastAsia="Calibri" w:cs="Calibri"/>
          <w:color w:val="000000"/>
          <w:sz w:val="22"/>
          <w:szCs w:val="22"/>
        </w:rPr>
        <w:t xml:space="preserve">) proved most effective when combined with fungicides including benomyl (Kais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and copper oxychloride (Ferrer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Fertilisation has been used to increase tree vigour and resistance to infection with mixed results (Siggers, 1944). Fertilisation applied as a measure against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requires knowledge of relations between disease and soil properties, but there is only little known about the impacts of soil structure, micronutrient content, etc. on susceptibility of trees to the pathogen (Toole, 1939).</w:t>
      </w:r>
    </w:p>
    <w:p>
      <w:pPr>
        <w:widowControl w:val="on"/>
        <w:pBdr/>
        <w:spacing w:before="220" w:after="220" w:line="240" w:lineRule="auto"/>
        <w:ind w:left="0" w:right="0"/>
        <w:jc w:val="both"/>
      </w:pPr>
      <w:r>
        <w:rPr>
          <w:rFonts w:ascii="Calibri" w:hAnsi="Calibri" w:eastAsia="Calibri" w:cs="Calibri"/>
          <w:color w:val="000000"/>
          <w:sz w:val="22"/>
          <w:szCs w:val="22"/>
        </w:rPr>
        <w:t xml:space="preserve">Breeding for host resistance was successful in North America after 1970 but it was limited to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(Barnett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Hybrids of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have also been developed with some resistance to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(Derr, 1966; Lott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w:t>
      </w:r>
    </w:p>
    <w:p>
      <w:pPr>
        <w:widowControl w:val="on"/>
        <w:pBdr/>
        <w:spacing w:before="220" w:after="220" w:line="240" w:lineRule="auto"/>
        <w:ind w:left="0" w:right="0"/>
        <w:jc w:val="both"/>
      </w:pPr>
      <w:r>
        <w:rPr>
          <w:rFonts w:ascii="Calibri" w:hAnsi="Calibri" w:eastAsia="Calibri" w:cs="Calibri"/>
          <w:color w:val="000000"/>
          <w:sz w:val="22"/>
          <w:szCs w:val="22"/>
        </w:rPr>
        <w:t xml:space="preserve">Another option is to apply ‘species change’ in a forest, i.e. replacement of susceptible species by more tolerant or resistant pines or by other conifer genera (Siggers, 1944). </w:t>
      </w:r>
    </w:p>
    <w:p>
      <w:pPr>
        <w:widowControl w:val="on"/>
        <w:pBdr/>
        <w:spacing w:before="220" w:after="220" w:line="240" w:lineRule="auto"/>
        <w:ind w:left="0" w:right="0"/>
        <w:jc w:val="both"/>
      </w:pPr>
      <w:r>
        <w:rPr>
          <w:rFonts w:ascii="Calibri" w:hAnsi="Calibri" w:eastAsia="Calibri" w:cs="Calibri"/>
          <w:color w:val="000000"/>
          <w:sz w:val="22"/>
          <w:szCs w:val="22"/>
        </w:rPr>
        <w:t xml:space="preserve">Successful management often needs a combination of different strategies. In North America, a combination of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varieties with low susceptibility to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with fungicide applications were the key for a successful disease control (Kais &amp; Griggs, 1986). In China, resistance of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clones was enhanced by fertiliser applications (Gong &amp; Liang,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local but widespread occurrences of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in many European countries, and the distinct increase in number of outbreaks both in urban sites and natural forests pose a high risk for European pine ecosystems. According to the recent finding of ascomata of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sexual recombination is present in Europe increasing the risk according to probable changes in pathogenicity and in aerial long-distance spread.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Until 2019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was listed as Annex I/AI quarantine organism (EU Directive 2000/29/EU), with legal requirements for exclusion, eradication and containment through phytosanitary measures and specific surveys in all EU countries. Now, the species is listed under the Regulated Non-Quarantine Pests (RNQP) according to Commission implementing regulation (EU) 2019/2072. Required measures are statutory inspections of all plants for planting (ornamental and forest plants for planting) to ensure freedom from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prior to sale. Surveillance and management requirements for outbreaks in forests and urban sites are now limited to national regulations and these differ among the European states. However, the common occurrence of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on urban trees requires surveillance and eradication systems to avoid infection centres spreading the disease into natural forests. In EPPO Standard PM 8/2 </w:t>
      </w:r>
      <w:r>
        <w:rPr>
          <w:rFonts w:ascii="Calibri" w:hAnsi="Calibri" w:eastAsia="Calibri" w:cs="Calibri"/>
          <w:i/>
          <w:iCs/>
          <w:color w:val="000000"/>
          <w:sz w:val="22"/>
          <w:szCs w:val="22"/>
        </w:rPr>
        <w:t xml:space="preserve">Conifer</w:t>
      </w:r>
      <w:r>
        <w:rPr>
          <w:rFonts w:ascii="Calibri" w:hAnsi="Calibri" w:eastAsia="Calibri" w:cs="Calibri"/>
          <w:i/>
          <w:iCs/>
          <w:color w:val="000000"/>
          <w:sz w:val="22"/>
          <w:szCs w:val="22"/>
        </w:rPr>
        <w:t xml:space="preserve">ae</w:t>
      </w:r>
      <w:r>
        <w:rPr>
          <w:rFonts w:ascii="Calibri" w:hAnsi="Calibri" w:eastAsia="Calibri" w:cs="Calibri"/>
          <w:color w:val="000000"/>
          <w:sz w:val="22"/>
          <w:szCs w:val="22"/>
        </w:rPr>
        <w:t xml:space="preserve">, there is further information for National governments to support decisions on phytosanitary measures targeted at the prevention of introduction and spread of quarantine pests through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plants and plant products moving in international trade. For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this concerns all kinds of plant stock including large trees as well as bonsais, but also cut branches intended for decorative use and not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Barnett JP, Haywood JD &amp; Pearson HA (2011) Louisiana’s Palustris Experimental Forest: </w:t>
      </w:r>
      <w:r>
        <w:rPr>
          <w:rFonts w:ascii="Calibri" w:hAnsi="Calibri" w:eastAsia="Calibri" w:cs="Calibri"/>
          <w:i/>
          <w:iCs/>
          <w:color w:val="000000"/>
          <w:sz w:val="22"/>
          <w:szCs w:val="22"/>
        </w:rPr>
        <w:t xml:space="preserve">75 Years of Research that Transformed the South Southern</w:t>
      </w:r>
      <w:r>
        <w:rPr>
          <w:rFonts w:ascii="Calibri" w:hAnsi="Calibri" w:eastAsia="Calibri" w:cs="Calibri"/>
          <w:color w:val="000000"/>
          <w:sz w:val="22"/>
          <w:szCs w:val="22"/>
        </w:rPr>
        <w:t xml:space="preserve">. USDA Forest Service. Southern Research Station General Technical Report SRS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1-68.</w:t>
      </w:r>
    </w:p>
    <w:p>
      <w:pPr>
        <w:widowControl w:val="on"/>
        <w:pBdr/>
        <w:spacing w:before="220" w:after="220" w:line="240" w:lineRule="auto"/>
        <w:ind w:left="0" w:right="0"/>
        <w:jc w:val="left"/>
      </w:pPr>
      <w:r>
        <w:rPr>
          <w:rFonts w:ascii="Calibri" w:hAnsi="Calibri" w:eastAsia="Calibri" w:cs="Calibri"/>
          <w:color w:val="000000"/>
          <w:sz w:val="22"/>
          <w:szCs w:val="22"/>
        </w:rPr>
        <w:t xml:space="preserve">Beenken L, Queloz V, Kupper Q, Schneider S, Buser- Schöbel C &amp; Meyer JB (2018) Abschlussbericht zum BAFU Projekt Ausbreitung von Föhrenkrankheiten in der Schweiz [Final report on the BAFU-project Spread of pine-diseases in Switzerland]. </w:t>
      </w:r>
      <w:r>
        <w:rPr>
          <w:rFonts w:ascii="Calibri" w:hAnsi="Calibri" w:eastAsia="Calibri" w:cs="Calibri"/>
          <w:i/>
          <w:iCs/>
          <w:color w:val="000000"/>
          <w:sz w:val="22"/>
          <w:szCs w:val="22"/>
        </w:rPr>
        <w:t xml:space="preserve">Swiss Federal Research Institute WSL,</w:t>
      </w:r>
      <w:r>
        <w:rPr>
          <w:rFonts w:ascii="Calibri" w:hAnsi="Calibri" w:eastAsia="Calibri" w:cs="Calibri"/>
          <w:color w:val="000000"/>
          <w:sz w:val="22"/>
          <w:szCs w:val="22"/>
        </w:rPr>
        <w:t xml:space="preserve"> 1-37.</w:t>
      </w:r>
    </w:p>
    <w:p>
      <w:pPr>
        <w:widowControl w:val="on"/>
        <w:pBdr/>
        <w:spacing w:before="220" w:after="220" w:line="240" w:lineRule="auto"/>
        <w:ind w:left="0" w:right="0"/>
        <w:jc w:val="left"/>
      </w:pPr>
      <w:r>
        <w:rPr>
          <w:rFonts w:ascii="Calibri" w:hAnsi="Calibri" w:eastAsia="Calibri" w:cs="Calibri"/>
          <w:color w:val="000000"/>
          <w:sz w:val="22"/>
          <w:szCs w:val="22"/>
        </w:rPr>
        <w:t xml:space="preserve">Broders KD, Munck I, Wyka S, Iriarte G &amp; Beaudoin E (2015) Characterization of fungal pathogens associated with white pine needle damage (WPND) in northeastern North America.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4088-4104.</w:t>
      </w:r>
    </w:p>
    <w:p>
      <w:pPr>
        <w:widowControl w:val="on"/>
        <w:pBdr/>
        <w:spacing w:before="220" w:after="220" w:line="240" w:lineRule="auto"/>
        <w:ind w:left="0" w:right="0"/>
        <w:jc w:val="left"/>
      </w:pPr>
      <w:r>
        <w:rPr>
          <w:rFonts w:ascii="Calibri" w:hAnsi="Calibri" w:eastAsia="Calibri" w:cs="Calibri"/>
          <w:color w:val="000000"/>
          <w:sz w:val="22"/>
          <w:szCs w:val="22"/>
        </w:rPr>
        <w:t xml:space="preserve">Cech T &amp; Krehan H (2008) </w:t>
      </w:r>
      <w:r>
        <w:rPr>
          <w:rFonts w:ascii="Calibri" w:hAnsi="Calibri" w:eastAsia="Calibri" w:cs="Calibri"/>
          <w:i/>
          <w:iCs/>
          <w:color w:val="000000"/>
          <w:sz w:val="22"/>
          <w:szCs w:val="22"/>
        </w:rPr>
        <w:t xml:space="preserve">Lecanosticta</w:t>
      </w:r>
      <w:r>
        <w:rPr>
          <w:rFonts w:ascii="Calibri" w:hAnsi="Calibri" w:eastAsia="Calibri" w:cs="Calibri"/>
          <w:color w:val="000000"/>
          <w:sz w:val="22"/>
          <w:szCs w:val="22"/>
        </w:rPr>
        <w:t xml:space="preserve">-Krankheit der Kiefer erstmals im Wald nachgewiesen [Lecanosticta-disease of pine, first record in a forest].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4-5.</w:t>
      </w:r>
    </w:p>
    <w:p>
      <w:pPr>
        <w:widowControl w:val="on"/>
        <w:pBdr/>
        <w:spacing w:before="220" w:after="220" w:line="240" w:lineRule="auto"/>
        <w:ind w:left="0" w:right="0"/>
        <w:jc w:val="left"/>
      </w:pPr>
      <w:r>
        <w:rPr>
          <w:rFonts w:ascii="Calibri" w:hAnsi="Calibri" w:eastAsia="Calibri" w:cs="Calibri"/>
          <w:color w:val="000000"/>
          <w:sz w:val="22"/>
          <w:szCs w:val="22"/>
        </w:rPr>
        <w:t xml:space="preserve">Derr HJ (1966) Longleaf x slash hybrids at age 7: Survival, growth, and disease susceptibility.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236-239.</w:t>
      </w:r>
    </w:p>
    <w:p>
      <w:pPr>
        <w:widowControl w:val="on"/>
        <w:pBdr/>
        <w:spacing w:before="220" w:after="220" w:line="240" w:lineRule="auto"/>
        <w:ind w:left="0" w:right="0"/>
        <w:jc w:val="left"/>
      </w:pPr>
      <w:r>
        <w:rPr>
          <w:rFonts w:ascii="Calibri" w:hAnsi="Calibri" w:eastAsia="Calibri" w:cs="Calibri"/>
          <w:color w:val="000000"/>
          <w:sz w:val="22"/>
          <w:szCs w:val="22"/>
        </w:rPr>
        <w:t xml:space="preserve">Enebak SA &amp; Starkey T (2012) Brown Spot Needle Blight. In (Eds. Cram, M.M., Frank, M. S. &amp; Starkey, T.) </w:t>
      </w:r>
      <w:r>
        <w:rPr>
          <w:rFonts w:ascii="Calibri" w:hAnsi="Calibri" w:eastAsia="Calibri" w:cs="Calibri"/>
          <w:i/>
          <w:iCs/>
          <w:color w:val="000000"/>
          <w:sz w:val="22"/>
          <w:szCs w:val="22"/>
        </w:rPr>
        <w:t xml:space="preserve">USDA Agriculture Handbook</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680</w:t>
      </w:r>
      <w:r>
        <w:rPr>
          <w:rFonts w:ascii="Calibri" w:hAnsi="Calibri" w:eastAsia="Calibri" w:cs="Calibri"/>
          <w:color w:val="000000"/>
          <w:sz w:val="22"/>
          <w:szCs w:val="22"/>
        </w:rPr>
        <w:t xml:space="preserve">. Forest Nursery Pests: Conifer Diseases, 28-31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PM 7/46 (3)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Mycosphaerella dearnessii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Dothistroma septosporum</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Mycosphaerella pini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Dothistroma pini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(2), 163–182</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HC (1984) The genus </w:t>
      </w:r>
      <w:r>
        <w:rPr>
          <w:rFonts w:ascii="Calibri" w:hAnsi="Calibri" w:eastAsia="Calibri" w:cs="Calibri"/>
          <w:i/>
          <w:iCs/>
          <w:color w:val="000000"/>
          <w:sz w:val="22"/>
          <w:szCs w:val="22"/>
        </w:rPr>
        <w:t xml:space="preserve">Mycosphaerella</w:t>
      </w:r>
      <w:r>
        <w:rPr>
          <w:rFonts w:ascii="Calibri" w:hAnsi="Calibri" w:eastAsia="Calibri" w:cs="Calibri"/>
          <w:color w:val="000000"/>
          <w:sz w:val="22"/>
          <w:szCs w:val="22"/>
        </w:rPr>
        <w:t xml:space="preserve"> and its anamorphs </w:t>
      </w:r>
      <w:r>
        <w:rPr>
          <w:rFonts w:ascii="Calibri" w:hAnsi="Calibri" w:eastAsia="Calibri" w:cs="Calibri"/>
          <w:i/>
          <w:iCs/>
          <w:color w:val="000000"/>
          <w:sz w:val="22"/>
          <w:szCs w:val="22"/>
        </w:rPr>
        <w:t xml:space="preserve">Cercoseptoria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Dothistroma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Lecanosticta</w:t>
      </w:r>
      <w:r>
        <w:rPr>
          <w:rFonts w:ascii="Calibri" w:hAnsi="Calibri" w:eastAsia="Calibri" w:cs="Calibri"/>
          <w:color w:val="000000"/>
          <w:sz w:val="22"/>
          <w:szCs w:val="22"/>
        </w:rPr>
        <w:t xml:space="preserve"> on pines. </w:t>
      </w:r>
      <w:r>
        <w:rPr>
          <w:rFonts w:ascii="Calibri" w:hAnsi="Calibri" w:eastAsia="Calibri" w:cs="Calibri"/>
          <w:i/>
          <w:iCs/>
          <w:color w:val="000000"/>
          <w:sz w:val="22"/>
          <w:szCs w:val="22"/>
        </w:rPr>
        <w:t xml:space="preserve">Mycological Papers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1-102.</w:t>
      </w:r>
    </w:p>
    <w:p>
      <w:pPr>
        <w:widowControl w:val="on"/>
        <w:pBdr/>
        <w:spacing w:before="220" w:after="220" w:line="240" w:lineRule="auto"/>
        <w:ind w:left="0" w:right="0"/>
        <w:jc w:val="left"/>
      </w:pPr>
      <w:r>
        <w:rPr>
          <w:rFonts w:ascii="Calibri" w:hAnsi="Calibri" w:eastAsia="Calibri" w:cs="Calibri"/>
          <w:color w:val="000000"/>
          <w:sz w:val="22"/>
          <w:szCs w:val="22"/>
        </w:rPr>
        <w:t xml:space="preserve">Ferrer A, Alonso R, Arévalos V, Betancourt M, Rengifo E &amp; Montalvo JM (2000) Interacción de los hongos ectomicorrizógenos y fungicidas sobre la enfermedad mancha parda en posturas de </w:t>
      </w:r>
      <w:r>
        <w:rPr>
          <w:rFonts w:ascii="Calibri" w:hAnsi="Calibri" w:eastAsia="Calibri" w:cs="Calibri"/>
          <w:i/>
          <w:iCs/>
          <w:color w:val="000000"/>
          <w:sz w:val="22"/>
          <w:szCs w:val="22"/>
        </w:rPr>
        <w:t xml:space="preserve">Pinus maestrensis</w:t>
      </w:r>
      <w:r>
        <w:rPr>
          <w:rFonts w:ascii="Calibri" w:hAnsi="Calibri" w:eastAsia="Calibri" w:cs="Calibri"/>
          <w:color w:val="000000"/>
          <w:sz w:val="22"/>
          <w:szCs w:val="22"/>
        </w:rPr>
        <w:t xml:space="preserve"> Bisse. [Interactions between ectomycorrizal fungi and fungicides used against brown spot needle blight in </w:t>
      </w:r>
      <w:r>
        <w:rPr>
          <w:rFonts w:ascii="Calibri" w:hAnsi="Calibri" w:eastAsia="Calibri" w:cs="Calibri"/>
          <w:i/>
          <w:iCs/>
          <w:color w:val="000000"/>
          <w:sz w:val="22"/>
          <w:szCs w:val="22"/>
        </w:rPr>
        <w:t xml:space="preserve">P.  maestrensis</w:t>
      </w:r>
      <w:r>
        <w:rPr>
          <w:rFonts w:ascii="Calibri" w:hAnsi="Calibri" w:eastAsia="Calibri" w:cs="Calibri"/>
          <w:color w:val="000000"/>
          <w:sz w:val="22"/>
          <w:szCs w:val="22"/>
        </w:rPr>
        <w:t xml:space="preserve"> plantations]. </w:t>
      </w:r>
      <w:r>
        <w:rPr>
          <w:rFonts w:ascii="Calibri" w:hAnsi="Calibri" w:eastAsia="Calibri" w:cs="Calibri"/>
          <w:i/>
          <w:iCs/>
          <w:color w:val="000000"/>
          <w:sz w:val="22"/>
          <w:szCs w:val="22"/>
        </w:rPr>
        <w:t xml:space="preserve">Fitosanidad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49-53.</w:t>
      </w:r>
    </w:p>
    <w:p>
      <w:pPr>
        <w:widowControl w:val="on"/>
        <w:pBdr/>
        <w:spacing w:before="220" w:after="220" w:line="240" w:lineRule="auto"/>
        <w:ind w:left="0" w:right="0"/>
        <w:jc w:val="left"/>
      </w:pPr>
      <w:r>
        <w:rPr>
          <w:rFonts w:ascii="Calibri" w:hAnsi="Calibri" w:eastAsia="Calibri" w:cs="Calibri"/>
          <w:color w:val="000000"/>
          <w:sz w:val="22"/>
          <w:szCs w:val="22"/>
        </w:rPr>
        <w:t xml:space="preserve">Glavaš M (1979) O suzbijanju </w:t>
      </w:r>
      <w:r>
        <w:rPr>
          <w:rFonts w:ascii="Calibri" w:hAnsi="Calibri" w:eastAsia="Calibri" w:cs="Calibri"/>
          <w:i/>
          <w:iCs/>
          <w:color w:val="000000"/>
          <w:sz w:val="22"/>
          <w:szCs w:val="22"/>
        </w:rPr>
        <w:t xml:space="preserve">Scirrhia acicola </w:t>
      </w:r>
      <w:r>
        <w:rPr>
          <w:rFonts w:ascii="Calibri" w:hAnsi="Calibri" w:eastAsia="Calibri" w:cs="Calibri"/>
          <w:color w:val="000000"/>
          <w:sz w:val="22"/>
          <w:szCs w:val="22"/>
        </w:rPr>
        <w:t xml:space="preserve">(Dearn.) Siggers u Crvenoj Luci [Eradication of </w:t>
      </w:r>
      <w:r>
        <w:rPr>
          <w:rFonts w:ascii="Calibri" w:hAnsi="Calibri" w:eastAsia="Calibri" w:cs="Calibri"/>
          <w:i/>
          <w:iCs/>
          <w:color w:val="000000"/>
          <w:sz w:val="22"/>
          <w:szCs w:val="22"/>
        </w:rPr>
        <w:t xml:space="preserve">Scirrhia acicola</w:t>
      </w:r>
      <w:r>
        <w:rPr>
          <w:rFonts w:ascii="Calibri" w:hAnsi="Calibri" w:eastAsia="Calibri" w:cs="Calibri"/>
          <w:color w:val="000000"/>
          <w:sz w:val="22"/>
          <w:szCs w:val="22"/>
        </w:rPr>
        <w:t xml:space="preserve"> (Dearn.) Siggers in Crvena Luka]. </w:t>
      </w:r>
      <w:r>
        <w:rPr>
          <w:rFonts w:ascii="Calibri" w:hAnsi="Calibri" w:eastAsia="Calibri" w:cs="Calibri"/>
          <w:i/>
          <w:iCs/>
          <w:color w:val="000000"/>
          <w:sz w:val="22"/>
          <w:szCs w:val="22"/>
        </w:rPr>
        <w:t xml:space="preserve">Šumarski list</w:t>
      </w:r>
      <w:r>
        <w:rPr>
          <w:rFonts w:ascii="Calibri" w:hAnsi="Calibri" w:eastAsia="Calibri" w:cs="Calibri"/>
          <w:color w:val="000000"/>
          <w:sz w:val="22"/>
          <w:szCs w:val="22"/>
        </w:rPr>
        <w:t xml:space="preserve"> (Glasilo saveza inženjera i tehničara šumarstva i drvene industrije SR Hrvatske)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429–432.</w:t>
      </w:r>
    </w:p>
    <w:p>
      <w:pPr>
        <w:widowControl w:val="on"/>
        <w:pBdr/>
        <w:spacing w:before="220" w:after="220" w:line="240" w:lineRule="auto"/>
        <w:ind w:left="0" w:right="0"/>
        <w:jc w:val="left"/>
      </w:pPr>
      <w:r>
        <w:rPr>
          <w:rFonts w:ascii="Calibri" w:hAnsi="Calibri" w:eastAsia="Calibri" w:cs="Calibri"/>
          <w:color w:val="000000"/>
          <w:sz w:val="22"/>
          <w:szCs w:val="22"/>
        </w:rPr>
        <w:t xml:space="preserve">Gong XD &amp; Liang ZC (1988) The resistance of slash pine to brown spot needle blight. </w:t>
      </w:r>
      <w:r>
        <w:rPr>
          <w:rFonts w:ascii="Calibri" w:hAnsi="Calibri" w:eastAsia="Calibri" w:cs="Calibri"/>
          <w:i/>
          <w:iCs/>
          <w:color w:val="000000"/>
          <w:sz w:val="22"/>
          <w:szCs w:val="22"/>
        </w:rPr>
        <w:t xml:space="preserve">Journal of South China Agricultural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54-59.</w:t>
      </w:r>
    </w:p>
    <w:p>
      <w:pPr>
        <w:widowControl w:val="on"/>
        <w:pBdr/>
        <w:spacing w:before="220" w:after="220" w:line="240" w:lineRule="auto"/>
        <w:ind w:left="0" w:right="0"/>
        <w:jc w:val="left"/>
      </w:pPr>
      <w:r>
        <w:rPr>
          <w:rFonts w:ascii="Calibri" w:hAnsi="Calibri" w:eastAsia="Calibri" w:cs="Calibri"/>
          <w:color w:val="000000"/>
          <w:sz w:val="22"/>
          <w:szCs w:val="22"/>
        </w:rPr>
        <w:t xml:space="preserve">Hang ZYJ, Zheng PLC, Xu G, Sunbao GS, Zhou C &amp; Zhuo T (1992) The systematic fungicide root dip treatment controls brown spot needle blight. </w:t>
      </w:r>
      <w:r>
        <w:rPr>
          <w:rFonts w:ascii="Calibri" w:hAnsi="Calibri" w:eastAsia="Calibri" w:cs="Calibri"/>
          <w:i/>
          <w:iCs/>
          <w:color w:val="000000"/>
          <w:sz w:val="22"/>
          <w:szCs w:val="22"/>
        </w:rPr>
        <w:t xml:space="preserve">Journal of Nanjing Forestry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 7.</w:t>
      </w:r>
    </w:p>
    <w:p>
      <w:pPr>
        <w:widowControl w:val="on"/>
        <w:pBdr/>
        <w:spacing w:before="220" w:after="220" w:line="240" w:lineRule="auto"/>
        <w:ind w:left="0" w:right="0"/>
        <w:jc w:val="left"/>
      </w:pPr>
      <w:r>
        <w:rPr>
          <w:rFonts w:ascii="Calibri" w:hAnsi="Calibri" w:eastAsia="Calibri" w:cs="Calibri"/>
          <w:color w:val="000000"/>
          <w:sz w:val="22"/>
          <w:szCs w:val="22"/>
        </w:rPr>
        <w:t xml:space="preserve">Hedgcock GG (1929) </w:t>
      </w:r>
      <w:r>
        <w:rPr>
          <w:rFonts w:ascii="Calibri" w:hAnsi="Calibri" w:eastAsia="Calibri" w:cs="Calibri"/>
          <w:i/>
          <w:iCs/>
          <w:color w:val="000000"/>
          <w:sz w:val="22"/>
          <w:szCs w:val="22"/>
        </w:rPr>
        <w:t xml:space="preserve">Septoria acicola</w:t>
      </w:r>
      <w:r>
        <w:rPr>
          <w:rFonts w:ascii="Calibri" w:hAnsi="Calibri" w:eastAsia="Calibri" w:cs="Calibri"/>
          <w:color w:val="000000"/>
          <w:sz w:val="22"/>
          <w:szCs w:val="22"/>
        </w:rPr>
        <w:t xml:space="preserve"> and the brown spot disease of pine needles.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993-999.</w:t>
      </w:r>
    </w:p>
    <w:p>
      <w:pPr>
        <w:widowControl w:val="on"/>
        <w:pBdr/>
        <w:spacing w:before="220" w:after="220" w:line="240" w:lineRule="auto"/>
        <w:ind w:left="0" w:right="0"/>
        <w:jc w:val="left"/>
      </w:pPr>
      <w:r>
        <w:rPr>
          <w:rFonts w:ascii="Calibri" w:hAnsi="Calibri" w:eastAsia="Calibri" w:cs="Calibri"/>
          <w:color w:val="000000"/>
          <w:sz w:val="22"/>
          <w:szCs w:val="22"/>
        </w:rPr>
        <w:t xml:space="preserve">Henry BW</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(1954) Sporulation by the brown spot fungus on longleaf pine needles.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385-386.</w:t>
      </w:r>
    </w:p>
    <w:p>
      <w:pPr>
        <w:widowControl w:val="on"/>
        <w:pBdr/>
        <w:spacing w:before="220" w:after="220" w:line="240" w:lineRule="auto"/>
        <w:ind w:left="0" w:right="0"/>
        <w:jc w:val="left"/>
      </w:pPr>
      <w:r>
        <w:rPr>
          <w:rFonts w:ascii="Calibri" w:hAnsi="Calibri" w:eastAsia="Calibri" w:cs="Calibri"/>
          <w:color w:val="000000"/>
          <w:sz w:val="22"/>
          <w:szCs w:val="22"/>
        </w:rPr>
        <w:t xml:space="preserve">Hintsteiner M, Cech TL, Halmschlager E, Stauffer C &amp; Kirisits T (2012) First report of </w:t>
      </w:r>
      <w:r>
        <w:rPr>
          <w:rFonts w:ascii="Calibri" w:hAnsi="Calibri" w:eastAsia="Calibri" w:cs="Calibri"/>
          <w:i/>
          <w:iCs/>
          <w:color w:val="000000"/>
          <w:sz w:val="22"/>
          <w:szCs w:val="22"/>
        </w:rPr>
        <w:t xml:space="preserve">Mycosphaerella dearnessii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Pinus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nigra</w:t>
      </w:r>
      <w:r>
        <w:rPr>
          <w:rFonts w:ascii="Calibri" w:hAnsi="Calibri" w:eastAsia="Calibri" w:cs="Calibri"/>
          <w:color w:val="000000"/>
          <w:sz w:val="22"/>
          <w:szCs w:val="22"/>
        </w:rPr>
        <w:t xml:space="preserve"> in Austria.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437-440. </w:t>
      </w:r>
    </w:p>
    <w:p>
      <w:pPr>
        <w:widowControl w:val="on"/>
        <w:pBdr/>
        <w:spacing w:before="220" w:after="220" w:line="240" w:lineRule="auto"/>
        <w:ind w:left="0" w:right="0"/>
        <w:jc w:val="left"/>
      </w:pPr>
      <w:r>
        <w:rPr>
          <w:rFonts w:ascii="Calibri" w:hAnsi="Calibri" w:eastAsia="Calibri" w:cs="Calibri"/>
          <w:color w:val="000000"/>
          <w:sz w:val="22"/>
          <w:szCs w:val="22"/>
        </w:rPr>
        <w:t xml:space="preserve">Huang ZY, Smalley EB &amp; Guries RP (1995) Differentiation of </w:t>
      </w:r>
      <w:r>
        <w:rPr>
          <w:rFonts w:ascii="Calibri" w:hAnsi="Calibri" w:eastAsia="Calibri" w:cs="Calibri"/>
          <w:i/>
          <w:iCs/>
          <w:color w:val="000000"/>
          <w:sz w:val="22"/>
          <w:szCs w:val="22"/>
        </w:rPr>
        <w:t xml:space="preserve">Mycosphaerella dearnessii</w:t>
      </w:r>
      <w:r>
        <w:rPr>
          <w:rFonts w:ascii="Calibri" w:hAnsi="Calibri" w:eastAsia="Calibri" w:cs="Calibri"/>
          <w:color w:val="000000"/>
          <w:sz w:val="22"/>
          <w:szCs w:val="22"/>
        </w:rPr>
        <w:t xml:space="preserve"> by cultural characters and RAPD analysis.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,522-527. </w:t>
      </w:r>
      <w:hyperlink r:id="rId222569efa616654c9" w:history="1">
        <w:r>
          <w:rPr>
            <w:rFonts w:ascii="Calibri" w:hAnsi="Calibri" w:eastAsia="Calibri" w:cs="Calibri"/>
            <w:color w:val="0000CC"/>
            <w:sz w:val="22"/>
            <w:szCs w:val="22"/>
            <w:u w:val="single"/>
          </w:rPr>
          <w:t xml:space="preserve">https://doi.org/10.1094/Phyto-85-522</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Jankovský L, Palovčíková D &amp; Tomšovský M (2008) Brown spot needle blight associated with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occurs on </w:t>
      </w:r>
      <w:r>
        <w:rPr>
          <w:rFonts w:ascii="Calibri" w:hAnsi="Calibri" w:eastAsia="Calibri" w:cs="Calibri"/>
          <w:i/>
          <w:iCs/>
          <w:color w:val="000000"/>
          <w:sz w:val="22"/>
          <w:szCs w:val="22"/>
        </w:rPr>
        <w:t xml:space="preserve">Pinus rotundata</w:t>
      </w:r>
      <w:r>
        <w:rPr>
          <w:rFonts w:ascii="Calibri" w:hAnsi="Calibri" w:eastAsia="Calibri" w:cs="Calibri"/>
          <w:color w:val="000000"/>
          <w:sz w:val="22"/>
          <w:szCs w:val="22"/>
        </w:rPr>
        <w:t xml:space="preserve"> in the Czech Republic.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w:t>
      </w:r>
      <w:hyperlink r:id="rId594869efa6166558f" w:history="1">
        <w:r>
          <w:rPr>
            <w:rFonts w:ascii="Calibri" w:hAnsi="Calibri" w:eastAsia="Calibri" w:cs="Calibri"/>
            <w:color w:val="0000CC"/>
            <w:sz w:val="22"/>
            <w:szCs w:val="22"/>
            <w:u w:val="single"/>
          </w:rPr>
          <w:t xml:space="preserve">http://www.bspp.org.uk/ndr/volume18.asp</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Jankovský L, Palovčikova D, Dvořak M &amp; Tomšovsky M (2009) Records of brown spot needle blight related to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in the Czech Republic. </w:t>
      </w:r>
      <w:r>
        <w:rPr>
          <w:rFonts w:ascii="Calibri" w:hAnsi="Calibri" w:eastAsia="Calibri" w:cs="Calibri"/>
          <w:i/>
          <w:iCs/>
          <w:color w:val="000000"/>
          <w:sz w:val="22"/>
          <w:szCs w:val="22"/>
        </w:rPr>
        <w:t xml:space="preserve">Plant Protection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16–18.</w:t>
      </w:r>
    </w:p>
    <w:p>
      <w:pPr>
        <w:widowControl w:val="on"/>
        <w:pBdr/>
        <w:spacing w:before="220" w:after="220" w:line="240" w:lineRule="auto"/>
        <w:ind w:left="0" w:right="0"/>
        <w:jc w:val="left"/>
      </w:pPr>
      <w:r>
        <w:rPr>
          <w:rFonts w:ascii="Calibri" w:hAnsi="Calibri" w:eastAsia="Calibri" w:cs="Calibri"/>
          <w:color w:val="000000"/>
          <w:sz w:val="22"/>
          <w:szCs w:val="22"/>
        </w:rPr>
        <w:t xml:space="preserve">Janoušek J, Krumböck S, Kirisits T, Bradshaw  RE, Barnes I, Jankovský L &amp; Stauffer C (2014) Development of microsatellite and mating type markers for the pine needle pathogen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,161–165. </w:t>
      </w:r>
      <w:hyperlink r:id="rId580769efa616656b7" w:history="1">
        <w:r>
          <w:rPr>
            <w:rFonts w:ascii="Calibri" w:hAnsi="Calibri" w:eastAsia="Calibri" w:cs="Calibri"/>
            <w:color w:val="0000CC"/>
            <w:sz w:val="22"/>
            <w:szCs w:val="22"/>
            <w:u w:val="single"/>
          </w:rPr>
          <w:t xml:space="preserve">https://doi.org/10.1007/s13313-013-0256-5</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Janoušek J, Wingfield MJ, Monsivais JGM, Jankovský L, Stauffer C, Konečný A &amp; Barnes I (2016) Genetic analyses suggest separate introductions of the pine Pathogen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into Europe.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1413–1425. </w:t>
      </w:r>
      <w:hyperlink r:id="rId915769efa61665758" w:history="1">
        <w:r>
          <w:rPr>
            <w:rFonts w:ascii="Calibri" w:hAnsi="Calibri" w:eastAsia="Calibri" w:cs="Calibri"/>
            <w:color w:val="0000CC"/>
            <w:sz w:val="22"/>
            <w:szCs w:val="22"/>
            <w:u w:val="single"/>
          </w:rPr>
          <w:t xml:space="preserve">https://doi.org/10.1094/PHYTO-10-15-0271-R</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Jewell FF (1983) Histopathology of the brown spot fungus on longleaf pine needles.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(6), 854-858.</w:t>
      </w:r>
    </w:p>
    <w:p>
      <w:pPr>
        <w:widowControl w:val="on"/>
        <w:pBdr/>
        <w:spacing w:before="220" w:after="220" w:line="240" w:lineRule="auto"/>
        <w:ind w:left="0" w:right="0"/>
        <w:jc w:val="left"/>
      </w:pPr>
      <w:r>
        <w:rPr>
          <w:rFonts w:ascii="Calibri" w:hAnsi="Calibri" w:eastAsia="Calibri" w:cs="Calibri"/>
          <w:color w:val="000000"/>
          <w:sz w:val="22"/>
          <w:szCs w:val="22"/>
        </w:rPr>
        <w:t xml:space="preserve">Jurc D, Piškur B (2017) Hitra analiza tveganja za bolezen "rjavenje borovih iglic", ki jo povzroča gliva </w:t>
      </w:r>
      <w:r>
        <w:rPr>
          <w:rFonts w:ascii="Calibri" w:hAnsi="Calibri" w:eastAsia="Calibri" w:cs="Calibri"/>
          <w:i/>
          <w:iCs/>
          <w:color w:val="000000"/>
          <w:sz w:val="22"/>
          <w:szCs w:val="22"/>
        </w:rPr>
        <w:t xml:space="preserve">Lecanosticta acicola </w:t>
      </w:r>
      <w:r>
        <w:rPr>
          <w:rFonts w:ascii="Calibri" w:hAnsi="Calibri" w:eastAsia="Calibri" w:cs="Calibri"/>
          <w:color w:val="000000"/>
          <w:sz w:val="22"/>
          <w:szCs w:val="22"/>
        </w:rPr>
        <w:t xml:space="preserve">(Thüm.) Syd. [Rapid pest risk analysis of 'pine needle blight' caused by </w:t>
      </w:r>
      <w:r>
        <w:rPr>
          <w:rFonts w:ascii="Calibri" w:hAnsi="Calibri" w:eastAsia="Calibri" w:cs="Calibri"/>
          <w:i/>
          <w:iCs/>
          <w:color w:val="000000"/>
          <w:sz w:val="22"/>
          <w:szCs w:val="22"/>
        </w:rPr>
        <w:t xml:space="preserve">Lecanosticta acicola]. </w:t>
      </w:r>
      <w:r>
        <w:rPr>
          <w:rFonts w:ascii="Calibri" w:hAnsi="Calibri" w:eastAsia="Calibri" w:cs="Calibri"/>
          <w:color w:val="000000"/>
          <w:sz w:val="22"/>
          <w:szCs w:val="22"/>
        </w:rPr>
        <w:t xml:space="preserve">Ljubljana, Gozdarski inštitut Slovenije,  11 pp.</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 (1971) Dispersal of </w:t>
      </w:r>
      <w:r>
        <w:rPr>
          <w:rFonts w:ascii="Calibri" w:hAnsi="Calibri" w:eastAsia="Calibri" w:cs="Calibri"/>
          <w:i/>
          <w:iCs/>
          <w:color w:val="000000"/>
          <w:sz w:val="22"/>
          <w:szCs w:val="22"/>
        </w:rPr>
        <w:t xml:space="preserve">Scirrhia acicola</w:t>
      </w:r>
      <w:r>
        <w:rPr>
          <w:rFonts w:ascii="Calibri" w:hAnsi="Calibri" w:eastAsia="Calibri" w:cs="Calibri"/>
          <w:color w:val="000000"/>
          <w:sz w:val="22"/>
          <w:szCs w:val="22"/>
        </w:rPr>
        <w:t xml:space="preserve"> spores in southern Mississippi.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309-311.</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 (1975) Environmental factors affecting brown spot infection on longleaf pine.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1389-1392.</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(1978) Pruning of longleaf pine seedlings in nurseries promotes brown-spot needle blight. </w:t>
      </w:r>
      <w:r>
        <w:rPr>
          <w:rFonts w:ascii="Calibri" w:hAnsi="Calibri" w:eastAsia="Calibri" w:cs="Calibri"/>
          <w:i/>
          <w:iCs/>
          <w:color w:val="000000"/>
          <w:sz w:val="22"/>
          <w:szCs w:val="22"/>
        </w:rPr>
        <w:t xml:space="preserve">Tree Planter's Notes</w:t>
      </w:r>
      <w:r>
        <w:rPr>
          <w:rFonts w:ascii="Calibri" w:hAnsi="Calibri" w:eastAsia="Calibri" w:cs="Calibri"/>
          <w:color w:val="000000"/>
          <w:sz w:val="22"/>
          <w:szCs w:val="22"/>
        </w:rPr>
        <w:t xml:space="preserve"> 3–4.</w:t>
      </w:r>
    </w:p>
    <w:p>
      <w:pPr>
        <w:widowControl w:val="on"/>
        <w:pBdr/>
        <w:spacing w:before="220" w:after="220" w:line="240" w:lineRule="auto"/>
        <w:ind w:left="0" w:right="0"/>
        <w:jc w:val="left"/>
      </w:pPr>
      <w:r>
        <w:rPr>
          <w:rFonts w:ascii="Calibri" w:hAnsi="Calibri" w:eastAsia="Calibri" w:cs="Calibri"/>
          <w:color w:val="000000"/>
          <w:sz w:val="22"/>
          <w:szCs w:val="22"/>
        </w:rPr>
        <w:t xml:space="preserve">Kais AF (1989) Brown spot needle blight,pp 26-28. In: Cordell 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(Tech. Coords.) Forest Nursery Pests. U.S.D.A. Forest Service, </w:t>
      </w:r>
      <w:r>
        <w:rPr>
          <w:rFonts w:ascii="Calibri" w:hAnsi="Calibri" w:eastAsia="Calibri" w:cs="Calibri"/>
          <w:i/>
          <w:iCs/>
          <w:color w:val="000000"/>
          <w:sz w:val="22"/>
          <w:szCs w:val="22"/>
        </w:rPr>
        <w:t xml:space="preserve">Agriculture Handbook</w:t>
      </w:r>
      <w:r>
        <w:rPr>
          <w:rFonts w:ascii="Calibri" w:hAnsi="Calibri" w:eastAsia="Calibri" w:cs="Calibri"/>
          <w:color w:val="000000"/>
          <w:sz w:val="22"/>
          <w:szCs w:val="22"/>
        </w:rPr>
        <w:t xml:space="preserve"> No. 680,  1989.</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 Cordell CE &amp; Affeltranger CE (1986) Benomyl root treatment controls brown-spot disease on longleaf pine in the southern United States.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506-511.</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 &amp; Griggs MM (1986) Control of brown spot needle blight infection on longleaf pine through benomyl treatment and breeding. </w:t>
      </w:r>
      <w:r>
        <w:rPr>
          <w:rFonts w:ascii="Calibri" w:hAnsi="Calibri" w:eastAsia="Calibri" w:cs="Calibri"/>
          <w:i/>
          <w:iCs/>
          <w:color w:val="000000"/>
          <w:sz w:val="22"/>
          <w:szCs w:val="22"/>
        </w:rPr>
        <w:t xml:space="preserve">USDA Forest Service General Technical Report</w:t>
      </w:r>
      <w:r>
        <w:rPr>
          <w:rFonts w:ascii="Calibri" w:hAnsi="Calibri" w:eastAsia="Calibri" w:cs="Calibri"/>
          <w:color w:val="000000"/>
          <w:sz w:val="22"/>
          <w:szCs w:val="22"/>
        </w:rPr>
        <w:t xml:space="preserve"> WO (USA).</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 Snow GA, Marx D H (1981) The effects of benomyl and </w:t>
      </w:r>
      <w:r>
        <w:rPr>
          <w:rFonts w:ascii="Calibri" w:hAnsi="Calibri" w:eastAsia="Calibri" w:cs="Calibri"/>
          <w:i/>
          <w:iCs/>
          <w:color w:val="000000"/>
          <w:sz w:val="22"/>
          <w:szCs w:val="22"/>
        </w:rPr>
        <w:t xml:space="preserve">Pisolithus tinctorius</w:t>
      </w:r>
      <w:r>
        <w:rPr>
          <w:rFonts w:ascii="Calibri" w:hAnsi="Calibri" w:eastAsia="Calibri" w:cs="Calibri"/>
          <w:color w:val="000000"/>
          <w:sz w:val="22"/>
          <w:szCs w:val="22"/>
        </w:rPr>
        <w:t xml:space="preserve"> on survival and growth of longleaf pine seedlings. </w:t>
      </w:r>
      <w:r>
        <w:rPr>
          <w:rFonts w:ascii="Calibri" w:hAnsi="Calibri" w:eastAsia="Calibri" w:cs="Calibri"/>
          <w:i/>
          <w:iCs/>
          <w:color w:val="000000"/>
          <w:sz w:val="22"/>
          <w:szCs w:val="22"/>
        </w:rPr>
        <w:t xml:space="preserve">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189-195.</w:t>
      </w:r>
    </w:p>
    <w:p>
      <w:pPr>
        <w:widowControl w:val="on"/>
        <w:pBdr/>
        <w:spacing w:before="220" w:after="220" w:line="240" w:lineRule="auto"/>
        <w:ind w:left="0" w:right="0"/>
        <w:jc w:val="left"/>
      </w:pPr>
      <w:r>
        <w:rPr>
          <w:rFonts w:ascii="Calibri" w:hAnsi="Calibri" w:eastAsia="Calibri" w:cs="Calibri"/>
          <w:color w:val="000000"/>
          <w:sz w:val="22"/>
          <w:szCs w:val="22"/>
        </w:rPr>
        <w:t xml:space="preserve">Lott LH, Schmidtling RC &amp; Snow GA (1966) Susceptibility to brown-spot needle blight and fusiform rust in selected longleaf pine and hybrids, </w:t>
      </w:r>
      <w:r>
        <w:rPr>
          <w:rFonts w:ascii="Calibri" w:hAnsi="Calibri" w:eastAsia="Calibri" w:cs="Calibri"/>
          <w:i/>
          <w:iCs/>
          <w:color w:val="000000"/>
          <w:sz w:val="22"/>
          <w:szCs w:val="22"/>
        </w:rPr>
        <w:t xml:space="preserve">Tree Planters Notes</w:t>
      </w:r>
      <w:r>
        <w:rPr>
          <w:rFonts w:ascii="Calibri" w:hAnsi="Calibri" w:eastAsia="Calibri" w:cs="Calibri"/>
          <w:color w:val="000000"/>
          <w:sz w:val="22"/>
          <w:szCs w:val="22"/>
        </w:rPr>
        <w:t xml:space="preserve"> (USA), 11-15</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Anderson H, Follak 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Pest risk assessment for the European community plant health: a comparative approach with case studies. Supporting Publications 2012-EN-319,  1053 pp.</w:t>
      </w:r>
    </w:p>
    <w:p>
      <w:pPr>
        <w:widowControl w:val="on"/>
        <w:pBdr/>
        <w:spacing w:before="220" w:after="220" w:line="240" w:lineRule="auto"/>
        <w:ind w:left="0" w:right="0"/>
        <w:jc w:val="left"/>
      </w:pPr>
      <w:r>
        <w:rPr>
          <w:rFonts w:ascii="Calibri" w:hAnsi="Calibri" w:eastAsia="Calibri" w:cs="Calibri"/>
          <w:color w:val="000000"/>
          <w:sz w:val="22"/>
          <w:szCs w:val="22"/>
        </w:rPr>
        <w:t xml:space="preserve">Martinez JB (1942) The mycoses of </w:t>
      </w:r>
      <w:r>
        <w:rPr>
          <w:rFonts w:ascii="Calibri" w:hAnsi="Calibri" w:eastAsia="Calibri" w:cs="Calibri"/>
          <w:i/>
          <w:iCs/>
          <w:color w:val="000000"/>
          <w:sz w:val="22"/>
          <w:szCs w:val="22"/>
        </w:rPr>
        <w:t xml:space="preserve">Pinus insignis</w:t>
      </w:r>
      <w:r>
        <w:rPr>
          <w:rFonts w:ascii="Calibri" w:hAnsi="Calibri" w:eastAsia="Calibri" w:cs="Calibri"/>
          <w:color w:val="000000"/>
          <w:sz w:val="22"/>
          <w:szCs w:val="22"/>
        </w:rPr>
        <w:t xml:space="preserve"> in Guipúzcoa. </w:t>
      </w:r>
      <w:r>
        <w:rPr>
          <w:rFonts w:ascii="Calibri" w:hAnsi="Calibri" w:eastAsia="Calibri" w:cs="Calibri"/>
          <w:i/>
          <w:iCs/>
          <w:color w:val="000000"/>
          <w:sz w:val="22"/>
          <w:szCs w:val="22"/>
        </w:rPr>
        <w:t xml:space="preserve">Publ. Inst. for. Invest. Exp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1–72.</w:t>
      </w:r>
    </w:p>
    <w:p>
      <w:pPr>
        <w:widowControl w:val="on"/>
        <w:pBdr/>
        <w:spacing w:before="220" w:after="220" w:line="240" w:lineRule="auto"/>
        <w:ind w:left="0" w:right="0"/>
        <w:jc w:val="left"/>
      </w:pPr>
      <w:r>
        <w:rPr>
          <w:rFonts w:ascii="Calibri" w:hAnsi="Calibri" w:eastAsia="Calibri" w:cs="Calibri"/>
          <w:color w:val="000000"/>
          <w:sz w:val="22"/>
          <w:szCs w:val="22"/>
        </w:rPr>
        <w:t xml:space="preserve">McIntire CD (2018) Impacts and management of foliar pathogens of Eastern white pine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in the Northeastern United States. </w:t>
      </w:r>
      <w:r>
        <w:rPr>
          <w:rFonts w:ascii="Calibri" w:hAnsi="Calibri" w:eastAsia="Calibri" w:cs="Calibri"/>
          <w:i/>
          <w:iCs/>
          <w:color w:val="000000"/>
          <w:sz w:val="22"/>
          <w:szCs w:val="22"/>
        </w:rPr>
        <w:t xml:space="preserve">Doctoral Dissertations</w:t>
      </w:r>
      <w:r>
        <w:rPr>
          <w:rFonts w:ascii="Calibri" w:hAnsi="Calibri" w:eastAsia="Calibri" w:cs="Calibri"/>
          <w:color w:val="000000"/>
          <w:sz w:val="22"/>
          <w:szCs w:val="22"/>
        </w:rPr>
        <w:t xml:space="preserve">. 2397. </w:t>
      </w:r>
      <w:hyperlink r:id="rId836569efa61665c75" w:history="1">
        <w:r>
          <w:rPr>
            <w:rFonts w:ascii="Calibri" w:hAnsi="Calibri" w:eastAsia="Calibri" w:cs="Calibri"/>
            <w:color w:val="0000CC"/>
            <w:sz w:val="22"/>
            <w:szCs w:val="22"/>
            <w:u w:val="single"/>
          </w:rPr>
          <w:t xml:space="preserve">https://scholars.unh.edu/dissertation/</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Mesanza N, Hernández M, Raposo R &amp; Iturritxa E (2021a) First report of </w:t>
      </w:r>
      <w:r>
        <w:rPr>
          <w:rFonts w:ascii="Calibri" w:hAnsi="Calibri" w:eastAsia="Calibri" w:cs="Calibri"/>
          <w:i/>
          <w:iCs/>
          <w:color w:val="000000"/>
          <w:sz w:val="22"/>
          <w:szCs w:val="22"/>
        </w:rPr>
        <w:t xml:space="preserve">Mycosphaerella dearnessii</w:t>
      </w:r>
      <w:r>
        <w:rPr>
          <w:rFonts w:ascii="Calibri" w:hAnsi="Calibri" w:eastAsia="Calibri" w:cs="Calibri"/>
          <w:color w:val="000000"/>
          <w:sz w:val="22"/>
          <w:szCs w:val="22"/>
        </w:rPr>
        <w:t xml:space="preserve">, teleomorph of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Health Progress. </w:t>
      </w:r>
      <w:hyperlink r:id="rId273069efa61665d08" w:history="1">
        <w:r>
          <w:rPr>
            <w:rFonts w:ascii="Calibri" w:hAnsi="Calibri" w:eastAsia="Calibri" w:cs="Calibri"/>
            <w:color w:val="0000CC"/>
            <w:sz w:val="22"/>
            <w:szCs w:val="22"/>
            <w:u w:val="single"/>
          </w:rPr>
          <w:t xml:space="preserve">https://doi.org/10.1094/PHP-03-21-0060-BR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Mesanza N, Raposo R, Elvira‐Recuenco M, Barnes I, van Der Nest A, Hernández M, Pascual MT, Barrena I, San Martín U, Cantero A &amp; Hernandez‐Escribano L (2021b) New hosts for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Dothistroma septosporum</w:t>
      </w:r>
      <w:r>
        <w:rPr>
          <w:rFonts w:ascii="Calibri" w:hAnsi="Calibri" w:eastAsia="Calibri" w:cs="Calibri"/>
          <w:color w:val="000000"/>
          <w:sz w:val="22"/>
          <w:szCs w:val="22"/>
        </w:rPr>
        <w:t xml:space="preserve"> in newly established arboreta in Spain.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w:t>
      </w:r>
      <w:hyperlink r:id="rId336969efa61665f05" w:history="1">
        <w:r>
          <w:rPr>
            <w:rFonts w:ascii="Calibri" w:hAnsi="Calibri" w:eastAsia="Calibri" w:cs="Calibri"/>
            <w:color w:val="0000CC"/>
            <w:sz w:val="22"/>
            <w:szCs w:val="22"/>
            <w:u w:val="single"/>
          </w:rPr>
          <w:t xml:space="preserve">https://doi.org/10.1111/efp.12650</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Milatović</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(1976) Needle cast of pines caused by fungi </w:t>
      </w:r>
      <w:r>
        <w:rPr>
          <w:rFonts w:ascii="Calibri" w:hAnsi="Calibri" w:eastAsia="Calibri" w:cs="Calibri"/>
          <w:i/>
          <w:iCs/>
          <w:color w:val="000000"/>
          <w:sz w:val="22"/>
          <w:szCs w:val="22"/>
        </w:rPr>
        <w:t xml:space="preserve">Schirrhia pini</w:t>
      </w:r>
      <w:r>
        <w:rPr>
          <w:rFonts w:ascii="Calibri" w:hAnsi="Calibri" w:eastAsia="Calibri" w:cs="Calibri"/>
          <w:color w:val="000000"/>
          <w:sz w:val="22"/>
          <w:szCs w:val="22"/>
        </w:rPr>
        <w:t xml:space="preserve"> Funk et Parker and </w:t>
      </w:r>
      <w:r>
        <w:rPr>
          <w:rFonts w:ascii="Calibri" w:hAnsi="Calibri" w:eastAsia="Calibri" w:cs="Calibri"/>
          <w:i/>
          <w:iCs/>
          <w:color w:val="000000"/>
          <w:sz w:val="22"/>
          <w:szCs w:val="22"/>
        </w:rPr>
        <w:t xml:space="preserve">Schirrhia acicola</w:t>
      </w:r>
      <w:r>
        <w:rPr>
          <w:rFonts w:ascii="Calibri" w:hAnsi="Calibri" w:eastAsia="Calibri" w:cs="Calibri"/>
          <w:color w:val="000000"/>
          <w:sz w:val="22"/>
          <w:szCs w:val="22"/>
        </w:rPr>
        <w:t xml:space="preserve"> (Dearn.) Siggers in Yugoslavia. Poljoprivredna Znanstvena Smotra – </w:t>
      </w:r>
      <w:r>
        <w:rPr>
          <w:rFonts w:ascii="Calibri" w:hAnsi="Calibri" w:eastAsia="Calibri" w:cs="Calibri"/>
          <w:i/>
          <w:iCs/>
          <w:color w:val="000000"/>
          <w:sz w:val="22"/>
          <w:szCs w:val="22"/>
        </w:rPr>
        <w:t xml:space="preserve">Agriculturae Conspectus Scientificus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511–513.</w:t>
      </w:r>
    </w:p>
    <w:p>
      <w:pPr>
        <w:widowControl w:val="on"/>
        <w:pBdr/>
        <w:spacing w:before="220" w:after="220" w:line="240" w:lineRule="auto"/>
        <w:ind w:left="0" w:right="0"/>
        <w:jc w:val="left"/>
      </w:pPr>
      <w:r>
        <w:rPr>
          <w:rFonts w:ascii="Calibri" w:hAnsi="Calibri" w:eastAsia="Calibri" w:cs="Calibri"/>
          <w:color w:val="000000"/>
          <w:sz w:val="22"/>
          <w:szCs w:val="22"/>
        </w:rPr>
        <w:t xml:space="preserve">Mullett, MA, Tubby KV, Webber JF &amp; Brown AV (2016) A reconsideration of natural dispersal distances of the pine pathogen </w:t>
      </w:r>
      <w:r>
        <w:rPr>
          <w:rFonts w:ascii="Calibri" w:hAnsi="Calibri" w:eastAsia="Calibri" w:cs="Calibri"/>
          <w:i/>
          <w:iCs/>
          <w:color w:val="000000"/>
          <w:sz w:val="22"/>
          <w:szCs w:val="22"/>
        </w:rPr>
        <w:t xml:space="preserve">Dothistroma septosporum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1462-1472.</w:t>
      </w:r>
    </w:p>
    <w:p>
      <w:pPr>
        <w:widowControl w:val="on"/>
        <w:pBdr/>
        <w:spacing w:before="220" w:after="220" w:line="240" w:lineRule="auto"/>
        <w:ind w:left="0" w:right="0"/>
        <w:jc w:val="left"/>
      </w:pPr>
      <w:r>
        <w:rPr>
          <w:rFonts w:ascii="Calibri" w:hAnsi="Calibri" w:eastAsia="Calibri" w:cs="Calibri"/>
          <w:color w:val="000000"/>
          <w:sz w:val="22"/>
          <w:szCs w:val="22"/>
        </w:rPr>
        <w:t xml:space="preserve">Munck, IA, OstrofskyW D &amp; Burns B (2011) Pest Alert: Eastern white pine needle damage. USDA Forest Service Northeastern Area State and Private Forestry, NA-PR-01-11.</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Nest A, Wingfield MJ, Janoušek J &amp;  Barnes I (2019a)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A growing threat to expanding global pine forests and plantations.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1327-1364.</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Nest A, Wingfield MJ, Ortiz PC &amp; Barnes I</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(2019b) Biodiversity of Lecanosticta pine-needle blight pathogens suggests a Mesoamerican Centre of origin. </w:t>
      </w:r>
      <w:r>
        <w:rPr>
          <w:rFonts w:ascii="Calibri" w:hAnsi="Calibri" w:eastAsia="Calibri" w:cs="Calibri"/>
          <w:i/>
          <w:iCs/>
          <w:color w:val="000000"/>
          <w:sz w:val="22"/>
          <w:szCs w:val="22"/>
        </w:rPr>
        <w:t xml:space="preserve">IMA Fungus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 </w:t>
      </w:r>
      <w:hyperlink r:id="rId133169efa616661b3" w:history="1">
        <w:r>
          <w:rPr>
            <w:rFonts w:ascii="Calibri" w:hAnsi="Calibri" w:eastAsia="Calibri" w:cs="Calibri"/>
            <w:color w:val="0000CC"/>
            <w:sz w:val="22"/>
            <w:szCs w:val="22"/>
            <w:u w:val="single"/>
          </w:rPr>
          <w:t xml:space="preserve">https://doi.org/10.1186/s43008-019-0004-8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Oskay F, Laas M, Mullett M, Lehtijärvi,A, Doğmuş-Lehtijärvi HT, Woodward S &amp; Drenkhan R (2020) First report of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on pine and non-pine hosts in Turkey.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(6), </w:t>
      </w:r>
      <w:hyperlink r:id="rId210469efa61666286" w:history="1">
        <w:r>
          <w:rPr>
            <w:rFonts w:ascii="Calibri" w:hAnsi="Calibri" w:eastAsia="Calibri" w:cs="Calibri"/>
            <w:color w:val="0000CC"/>
            <w:sz w:val="22"/>
            <w:szCs w:val="22"/>
            <w:u w:val="single"/>
          </w:rPr>
          <w:t xml:space="preserve">https://doi.org/10.1111/efp.12654</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Parris GK (1969) Control of the brown spot disease on loblolly pine in Mississippi by spraying.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(2), 116.</w:t>
      </w:r>
    </w:p>
    <w:p>
      <w:pPr>
        <w:widowControl w:val="on"/>
        <w:pBdr/>
        <w:spacing w:before="220" w:after="220" w:line="240" w:lineRule="auto"/>
        <w:ind w:left="0" w:right="0"/>
        <w:jc w:val="left"/>
      </w:pPr>
      <w:r>
        <w:rPr>
          <w:rFonts w:ascii="Calibri" w:hAnsi="Calibri" w:eastAsia="Calibri" w:cs="Calibri"/>
          <w:color w:val="000000"/>
          <w:sz w:val="22"/>
          <w:szCs w:val="22"/>
        </w:rPr>
        <w:t xml:space="preserve">Piškur B, Ogris N, Benko-Beloglavec A, Kolšek M &amp; Jurc D (2019) Actions after finding quarantine fungus in Slovene forests - case of Soča river valley. In: Trdan S.(ed.). Lectures and papers presented at the 14th Slovenian Conference on Plant Protection with International Participation (Maribor, SI, 2019-03-05/06). Plant Protection Society of Slovenia, 86-91</w:t>
      </w:r>
    </w:p>
    <w:p>
      <w:pPr>
        <w:widowControl w:val="on"/>
        <w:pBdr/>
        <w:spacing w:before="220" w:after="220" w:line="240" w:lineRule="auto"/>
        <w:ind w:left="0" w:right="0"/>
        <w:jc w:val="left"/>
      </w:pPr>
      <w:r>
        <w:rPr>
          <w:rFonts w:ascii="Calibri" w:hAnsi="Calibri" w:eastAsia="Calibri" w:cs="Calibri"/>
          <w:color w:val="000000"/>
          <w:sz w:val="22"/>
          <w:szCs w:val="22"/>
        </w:rPr>
        <w:t xml:space="preserve">POWO (2023) Plants of the World Online. Facilitated by the Royal Botanic Gardens, Kew. Published on the Internet; </w:t>
      </w:r>
      <w:hyperlink r:id="rId486869efa616663a5" w:history="1">
        <w:r>
          <w:rPr>
            <w:rFonts w:ascii="Calibri" w:hAnsi="Calibri" w:eastAsia="Calibri" w:cs="Calibri"/>
            <w:color w:val="0000CC"/>
            <w:sz w:val="22"/>
            <w:szCs w:val="22"/>
            <w:u w:val="single"/>
          </w:rPr>
          <w:t xml:space="preserve">http://www.plantsoftheworldonline.org/</w:t>
        </w:r>
      </w:hyperlink>
      <w:r>
        <w:rPr>
          <w:rFonts w:ascii="Calibri" w:hAnsi="Calibri" w:eastAsia="Calibri" w:cs="Calibri"/>
          <w:color w:val="000000"/>
          <w:sz w:val="22"/>
          <w:szCs w:val="22"/>
        </w:rPr>
        <w:t xml:space="preserve">  [Accessed 16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Schenck N Renault C, Saurat C, Daubree JB, Kersaudy E, Husson C &amp; Ioos R (2022) First report of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causing brown spot needle blight on Atlas cedar in France.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(2), </w:t>
      </w:r>
      <w:hyperlink r:id="rId353069efa61666496" w:history="1">
        <w:r>
          <w:rPr>
            <w:rFonts w:ascii="Calibri" w:hAnsi="Calibri" w:eastAsia="Calibri" w:cs="Calibri"/>
            <w:color w:val="0000CC"/>
            <w:sz w:val="22"/>
            <w:szCs w:val="22"/>
            <w:u w:val="single"/>
          </w:rPr>
          <w:t xml:space="preserve">https://doi.org/10.1002/ndr2.12082</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Schwanda K, Cech TL &amp; Hoch G (2022) Bekannte und neue Schadorganismen an Kiefern [Known and new harmful organisms on pines]. In: Die Zukunft der Kiefernarten, </w:t>
      </w:r>
      <w:r>
        <w:rPr>
          <w:rFonts w:ascii="Calibri" w:hAnsi="Calibri" w:eastAsia="Calibri" w:cs="Calibri"/>
          <w:i/>
          <w:iCs/>
          <w:color w:val="000000"/>
          <w:sz w:val="22"/>
          <w:szCs w:val="22"/>
        </w:rPr>
        <w:t xml:space="preserve">BFW Praxisinformation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7-11.</w:t>
      </w:r>
    </w:p>
    <w:p>
      <w:pPr>
        <w:widowControl w:val="on"/>
        <w:pBdr/>
        <w:spacing w:before="220" w:after="220" w:line="240" w:lineRule="auto"/>
        <w:ind w:left="0" w:right="0"/>
        <w:jc w:val="left"/>
      </w:pPr>
      <w:r>
        <w:rPr>
          <w:rFonts w:ascii="Calibri" w:hAnsi="Calibri" w:eastAsia="Calibri" w:cs="Calibri"/>
          <w:color w:val="000000"/>
          <w:sz w:val="22"/>
          <w:szCs w:val="22"/>
        </w:rPr>
        <w:t xml:space="preserve">Siggers PV (1944) The brown spot needle blight of pine seedlings. USDA</w:t>
      </w:r>
      <w:r>
        <w:rPr>
          <w:rFonts w:ascii="Calibri" w:hAnsi="Calibri" w:eastAsia="Calibri" w:cs="Calibri"/>
          <w:i/>
          <w:iCs/>
          <w:color w:val="000000"/>
          <w:sz w:val="22"/>
          <w:szCs w:val="22"/>
        </w:rPr>
        <w:t xml:space="preserve"> Techninal Bulletin </w:t>
      </w:r>
      <w:r>
        <w:rPr>
          <w:rFonts w:ascii="Calibri" w:hAnsi="Calibri" w:eastAsia="Calibri" w:cs="Calibri"/>
          <w:color w:val="000000"/>
          <w:sz w:val="22"/>
          <w:szCs w:val="22"/>
        </w:rPr>
        <w:t xml:space="preserve">no</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870</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2nd edn. Comstock Pub. Associates/Cornell University Press, Ithaca,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Skilling DD &amp; Nicholls TH (1974) Brown spot needle disease - biology and control in Scotch pine plantations. </w:t>
      </w:r>
      <w:r>
        <w:rPr>
          <w:rFonts w:ascii="Calibri" w:hAnsi="Calibri" w:eastAsia="Calibri" w:cs="Calibri"/>
          <w:i/>
          <w:iCs/>
          <w:color w:val="000000"/>
          <w:sz w:val="22"/>
          <w:szCs w:val="22"/>
        </w:rPr>
        <w:t xml:space="preserve">USDA Forest Science Research Paper</w:t>
      </w:r>
      <w:r>
        <w:rPr>
          <w:rFonts w:ascii="Calibri" w:hAnsi="Calibri" w:eastAsia="Calibri" w:cs="Calibri"/>
          <w:color w:val="000000"/>
          <w:sz w:val="22"/>
          <w:szCs w:val="22"/>
        </w:rPr>
        <w:t xml:space="preserve"> No. 109, 19 pp.</w:t>
      </w:r>
    </w:p>
    <w:p>
      <w:pPr>
        <w:widowControl w:val="on"/>
        <w:pBdr/>
        <w:spacing w:before="220" w:after="220" w:line="240" w:lineRule="auto"/>
        <w:ind w:left="0" w:right="0"/>
        <w:jc w:val="left"/>
      </w:pPr>
      <w:r>
        <w:rPr>
          <w:rFonts w:ascii="Calibri" w:hAnsi="Calibri" w:eastAsia="Calibri" w:cs="Calibri"/>
          <w:color w:val="000000"/>
          <w:sz w:val="22"/>
          <w:szCs w:val="22"/>
        </w:rPr>
        <w:t xml:space="preserve">Steyrer G, Cech TL, Hoch G &amp; Perny B (2018) Forstschutz 2017: Rekord-Käferkalamität [Forest protection 2017. Record bark beetle calamity]. </w:t>
      </w:r>
      <w:r>
        <w:rPr>
          <w:rFonts w:ascii="Calibri" w:hAnsi="Calibri" w:eastAsia="Calibri" w:cs="Calibri"/>
          <w:i/>
          <w:iCs/>
          <w:color w:val="000000"/>
          <w:sz w:val="22"/>
          <w:szCs w:val="22"/>
        </w:rPr>
        <w:t xml:space="preserve">Forstzeitung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10-13.</w:t>
      </w:r>
    </w:p>
    <w:p>
      <w:pPr>
        <w:widowControl w:val="on"/>
        <w:pBdr/>
        <w:spacing w:before="220" w:after="220" w:line="240" w:lineRule="auto"/>
        <w:ind w:left="0" w:right="0"/>
        <w:jc w:val="left"/>
      </w:pPr>
      <w:r>
        <w:rPr>
          <w:rFonts w:ascii="Calibri" w:hAnsi="Calibri" w:eastAsia="Calibri" w:cs="Calibri"/>
          <w:color w:val="000000"/>
          <w:sz w:val="22"/>
          <w:szCs w:val="22"/>
        </w:rPr>
        <w:t xml:space="preserve">Straßer L, Hausknecht B &amp; Nanning A (2016) Lecanosticta-Nadelbräune – Quarantäne-Schädling in Bayern [</w:t>
      </w:r>
      <w:r>
        <w:rPr>
          <w:rFonts w:ascii="Calibri" w:hAnsi="Calibri" w:eastAsia="Calibri" w:cs="Calibri"/>
          <w:i/>
          <w:iCs/>
          <w:color w:val="000000"/>
          <w:sz w:val="22"/>
          <w:szCs w:val="22"/>
        </w:rPr>
        <w:t xml:space="preserve">Lecanosticta</w:t>
      </w:r>
      <w:r>
        <w:rPr>
          <w:rFonts w:ascii="Calibri" w:hAnsi="Calibri" w:eastAsia="Calibri" w:cs="Calibri"/>
          <w:color w:val="000000"/>
          <w:sz w:val="22"/>
          <w:szCs w:val="22"/>
        </w:rPr>
        <w:t xml:space="preserve">- needle disease – quarantine –pathogen in Bavaria]. </w:t>
      </w:r>
      <w:r>
        <w:rPr>
          <w:rFonts w:ascii="Calibri" w:hAnsi="Calibri" w:eastAsia="Calibri" w:cs="Calibri"/>
          <w:i/>
          <w:iCs/>
          <w:color w:val="000000"/>
          <w:sz w:val="22"/>
          <w:szCs w:val="22"/>
        </w:rPr>
        <w:t xml:space="preserve">AFZ-DerWald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44-45.</w:t>
      </w:r>
    </w:p>
    <w:p>
      <w:pPr>
        <w:widowControl w:val="on"/>
        <w:pBdr/>
        <w:spacing w:before="220" w:after="220" w:line="240" w:lineRule="auto"/>
        <w:ind w:left="0" w:right="0"/>
        <w:jc w:val="left"/>
      </w:pPr>
      <w:r>
        <w:rPr>
          <w:rFonts w:ascii="Calibri" w:hAnsi="Calibri" w:eastAsia="Calibri" w:cs="Calibri"/>
          <w:color w:val="000000"/>
          <w:sz w:val="22"/>
          <w:szCs w:val="22"/>
        </w:rPr>
        <w:t xml:space="preserve">De Thuemen F</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(1878) Fungorum americanorum triginta species novae. </w:t>
      </w:r>
      <w:r>
        <w:rPr>
          <w:rFonts w:ascii="Calibri" w:hAnsi="Calibri" w:eastAsia="Calibri" w:cs="Calibri"/>
          <w:i/>
          <w:iCs/>
          <w:color w:val="000000"/>
          <w:sz w:val="22"/>
          <w:szCs w:val="22"/>
        </w:rPr>
        <w:t xml:space="preserve">Flora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177–184.</w:t>
      </w:r>
    </w:p>
    <w:p>
      <w:pPr>
        <w:widowControl w:val="on"/>
        <w:pBdr/>
        <w:spacing w:before="220" w:after="220" w:line="240" w:lineRule="auto"/>
        <w:ind w:left="0" w:right="0"/>
        <w:jc w:val="left"/>
      </w:pPr>
      <w:r>
        <w:rPr>
          <w:rFonts w:ascii="Calibri" w:hAnsi="Calibri" w:eastAsia="Calibri" w:cs="Calibri"/>
          <w:color w:val="000000"/>
          <w:sz w:val="22"/>
          <w:szCs w:val="22"/>
        </w:rPr>
        <w:t xml:space="preserve">Toole ER (1939) Relation of incidence of needle disease in loblolly pine plantations to certain physical properties of the soil.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13–18. </w:t>
      </w:r>
      <w:hyperlink r:id="rId121069efa61666817" w:history="1">
        <w:r>
          <w:rPr>
            <w:rFonts w:ascii="Calibri" w:hAnsi="Calibri" w:eastAsia="Calibri" w:cs="Calibri"/>
            <w:color w:val="0000CC"/>
            <w:sz w:val="22"/>
            <w:szCs w:val="22"/>
            <w:u w:val="single"/>
          </w:rPr>
          <w:t xml:space="preserve">https://doi.org/10.1093/jof/37.1.13</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Wyka SA, McIntire CD, Smith C, Munck IA, Rock BN, Asbjornsen H &amp; Broders KD (2018) Effect of climatic variables on abundance and dispersal of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spores and impact of defoliation on eastern white pine.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(3), 374-383.</w:t>
      </w:r>
    </w:p>
    <w:p>
      <w:pPr>
        <w:widowControl w:val="on"/>
        <w:pBdr/>
        <w:spacing w:before="220" w:after="220" w:line="240" w:lineRule="auto"/>
        <w:ind w:left="0" w:right="0"/>
        <w:jc w:val="left"/>
      </w:pPr>
      <w:r>
        <w:rPr>
          <w:rFonts w:ascii="Calibri" w:hAnsi="Calibri" w:eastAsia="Calibri" w:cs="Calibri"/>
          <w:color w:val="000000"/>
          <w:sz w:val="22"/>
          <w:szCs w:val="22"/>
        </w:rPr>
        <w:t xml:space="preserve">Ye J &amp; Wu X</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(2011) Resistance in nature systems to brown-spot needle blight of pine in China. In: Fourth international workshop on the genetics of host–parasite interactions in forestry 107. Eugene, Oregon, USA: US Department of Agriculture.</w:t>
      </w:r>
    </w:p>
    <w:p>
      <w:pPr>
        <w:widowControl w:val="on"/>
        <w:pBdr/>
        <w:spacing w:before="220" w:after="220" w:line="240" w:lineRule="auto"/>
        <w:ind w:left="0" w:right="0"/>
        <w:jc w:val="left"/>
      </w:pPr>
      <w:r>
        <w:rPr>
          <w:rFonts w:ascii="Calibri" w:hAnsi="Calibri" w:eastAsia="Calibri" w:cs="Calibri"/>
          <w:color w:val="000000"/>
          <w:sz w:val="22"/>
          <w:szCs w:val="22"/>
        </w:rPr>
        <w:t xml:space="preserve">Zavrtanik Z &amp; Kolšek M (2020) Rjavenje borovih iglic – primer ukrepanja v Soški dolini Gozdarski vestnik : slovenska strokovna revija za gozdarstvo [Brown spot needle disease – the Soča Valley case study]. </w:t>
      </w:r>
      <w:r>
        <w:rPr>
          <w:rFonts w:ascii="Calibri" w:hAnsi="Calibri" w:eastAsia="Calibri" w:cs="Calibri"/>
          <w:i/>
          <w:iCs/>
          <w:color w:val="000000"/>
          <w:sz w:val="22"/>
          <w:szCs w:val="22"/>
        </w:rPr>
        <w:t xml:space="preserve">Forestry vestnik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Professional 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353-358.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Thomas L. Cech, Federal Forest Research Centre Vienna, Austria.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EPPO datasheets on pests recommended for regulation. Available online. </w:t>
      </w:r>
      <w:hyperlink r:id="rId547769efa61666a5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22, </w:t>
      </w:r>
      <w:r>
        <w:rPr>
          <w:rFonts w:ascii="Calibri" w:hAnsi="Calibri" w:eastAsia="Calibri" w:cs="Calibri"/>
          <w:i/>
          <w:iCs/>
          <w:color w:val="000000"/>
          <w:sz w:val="22"/>
          <w:szCs w:val="22"/>
        </w:rPr>
        <w:t xml:space="preserve">Scirrhia acicola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99-105. </w:t>
      </w:r>
      <w:hyperlink r:id="rId969269efa61666bdc" w:history="1">
        <w:r>
          <w:rPr>
            <w:rFonts w:ascii="Calibri" w:hAnsi="Calibri" w:eastAsia="Calibri" w:cs="Calibri"/>
            <w:color w:val="0000CC"/>
            <w:sz w:val="22"/>
            <w:szCs w:val="22"/>
            <w:u w:val="single"/>
          </w:rPr>
          <w:t xml:space="preserve">https://doi.org/10.1111/j.1365-2338.1979.tb02456.x</w:t>
        </w:r>
      </w:hyperlink>
      <w:r>
        <w:rPr>
          <w:rFonts w:ascii="Calibri" w:hAnsi="Calibri" w:eastAsia="Calibri" w:cs="Calibri"/>
          <w:color w:val="000000"/>
          <w:sz w:val="22"/>
          <w:szCs w:val="22"/>
        </w:rPr>
        <w:t xml:space="preserve"> </w:t>
      </w:r>
    </w:p>
    <w:p>
      <w:r>
        <w:drawing>
          <wp:inline distT="0" distB="0" distL="0" distR="0">
            <wp:extent cx="1800000" cy="604800"/>
            <wp:docPr id="50487312" name="name296369efa61666c5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12569efa61666c5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385370">
    <w:multiLevelType w:val="hybridMultilevel"/>
    <w:lvl w:ilvl="0" w:tplc="60352421">
      <w:start w:val="1"/>
      <w:numFmt w:val="decimal"/>
      <w:lvlText w:val="%1."/>
      <w:lvlJc w:val="left"/>
      <w:pPr>
        <w:ind w:left="720" w:hanging="360"/>
      </w:pPr>
    </w:lvl>
    <w:lvl w:ilvl="1" w:tplc="60352421" w:tentative="1">
      <w:start w:val="1"/>
      <w:numFmt w:val="lowerLetter"/>
      <w:lvlText w:val="%2."/>
      <w:lvlJc w:val="left"/>
      <w:pPr>
        <w:ind w:left="1440" w:hanging="360"/>
      </w:pPr>
    </w:lvl>
    <w:lvl w:ilvl="2" w:tplc="60352421" w:tentative="1">
      <w:start w:val="1"/>
      <w:numFmt w:val="lowerRoman"/>
      <w:lvlText w:val="%3."/>
      <w:lvlJc w:val="right"/>
      <w:pPr>
        <w:ind w:left="2160" w:hanging="180"/>
      </w:pPr>
    </w:lvl>
    <w:lvl w:ilvl="3" w:tplc="60352421" w:tentative="1">
      <w:start w:val="1"/>
      <w:numFmt w:val="decimal"/>
      <w:lvlText w:val="%4."/>
      <w:lvlJc w:val="left"/>
      <w:pPr>
        <w:ind w:left="2880" w:hanging="360"/>
      </w:pPr>
    </w:lvl>
    <w:lvl w:ilvl="4" w:tplc="60352421" w:tentative="1">
      <w:start w:val="1"/>
      <w:numFmt w:val="lowerLetter"/>
      <w:lvlText w:val="%5."/>
      <w:lvlJc w:val="left"/>
      <w:pPr>
        <w:ind w:left="3600" w:hanging="360"/>
      </w:pPr>
    </w:lvl>
    <w:lvl w:ilvl="5" w:tplc="60352421" w:tentative="1">
      <w:start w:val="1"/>
      <w:numFmt w:val="lowerRoman"/>
      <w:lvlText w:val="%6."/>
      <w:lvlJc w:val="right"/>
      <w:pPr>
        <w:ind w:left="4320" w:hanging="180"/>
      </w:pPr>
    </w:lvl>
    <w:lvl w:ilvl="6" w:tplc="60352421" w:tentative="1">
      <w:start w:val="1"/>
      <w:numFmt w:val="decimal"/>
      <w:lvlText w:val="%7."/>
      <w:lvlJc w:val="left"/>
      <w:pPr>
        <w:ind w:left="5040" w:hanging="360"/>
      </w:pPr>
    </w:lvl>
    <w:lvl w:ilvl="7" w:tplc="60352421" w:tentative="1">
      <w:start w:val="1"/>
      <w:numFmt w:val="lowerLetter"/>
      <w:lvlText w:val="%8."/>
      <w:lvlJc w:val="left"/>
      <w:pPr>
        <w:ind w:left="5760" w:hanging="360"/>
      </w:pPr>
    </w:lvl>
    <w:lvl w:ilvl="8" w:tplc="60352421" w:tentative="1">
      <w:start w:val="1"/>
      <w:numFmt w:val="lowerRoman"/>
      <w:lvlText w:val="%9."/>
      <w:lvlJc w:val="right"/>
      <w:pPr>
        <w:ind w:left="6480" w:hanging="180"/>
      </w:pPr>
    </w:lvl>
  </w:abstractNum>
  <w:abstractNum w:abstractNumId="94385369">
    <w:multiLevelType w:val="hybridMultilevel"/>
    <w:lvl w:ilvl="0" w:tplc="475648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385369">
    <w:abstractNumId w:val="94385369"/>
  </w:num>
  <w:num w:numId="94385370">
    <w:abstractNumId w:val="9438537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5943207" Type="http://schemas.microsoft.com/office/2011/relationships/commentsExtended" Target="commentsExtended.xml"/><Relationship Id="rId415091710" Type="http://schemas.microsoft.com/office/2011/relationships/people" Target="people.xml"/><Relationship Id="rId740869efa61660a1e" Type="http://schemas.openxmlformats.org/officeDocument/2006/relationships/hyperlink" Target="https://gd.eppo.int/taxon/SCIRAC/" TargetMode="External"/><Relationship Id="rId399769efa61660a89" Type="http://schemas.openxmlformats.org/officeDocument/2006/relationships/hyperlink" Target="https://gd.eppo.int/taxon/SCIRAC/categorization" TargetMode="External"/><Relationship Id="rId418169efa61661771" Type="http://schemas.openxmlformats.org/officeDocument/2006/relationships/hyperlink" Target="https://gd.eppo.int/taxon/SCIRAC/photos" TargetMode="External"/><Relationship Id="rId222569efa616654c9" Type="http://schemas.openxmlformats.org/officeDocument/2006/relationships/hyperlink" Target="https://doi.org/10.1094/Phyto-85-522" TargetMode="External"/><Relationship Id="rId594869efa6166558f" Type="http://schemas.openxmlformats.org/officeDocument/2006/relationships/hyperlink" Target="http://www.bspp.org.uk/ndr/volume18.asp" TargetMode="External"/><Relationship Id="rId580769efa616656b7" Type="http://schemas.openxmlformats.org/officeDocument/2006/relationships/hyperlink" Target="https://doi.org/10.1007/s13313-013-0256-5" TargetMode="External"/><Relationship Id="rId915769efa61665758" Type="http://schemas.openxmlformats.org/officeDocument/2006/relationships/hyperlink" Target="https://doi.org/10.1094/PHYTO-10-15-0271-R" TargetMode="External"/><Relationship Id="rId836569efa61665c75" Type="http://schemas.openxmlformats.org/officeDocument/2006/relationships/hyperlink" Target="https://scholars.unh.edu/dissertation/" TargetMode="External"/><Relationship Id="rId273069efa61665d08" Type="http://schemas.openxmlformats.org/officeDocument/2006/relationships/hyperlink" Target="https://doi.org/10.1094/PHP-03-21-0060-BR" TargetMode="External"/><Relationship Id="rId336969efa61665f05" Type="http://schemas.openxmlformats.org/officeDocument/2006/relationships/hyperlink" Target="https://doi.org/10.1111/efp.12650" TargetMode="External"/><Relationship Id="rId133169efa616661b3" Type="http://schemas.openxmlformats.org/officeDocument/2006/relationships/hyperlink" Target="https://doi.org/10.1186/s43008-019-0004-8" TargetMode="External"/><Relationship Id="rId210469efa61666286" Type="http://schemas.openxmlformats.org/officeDocument/2006/relationships/hyperlink" Target="https://doi.org/10.1111/efp.12654" TargetMode="External"/><Relationship Id="rId486869efa616663a5" Type="http://schemas.openxmlformats.org/officeDocument/2006/relationships/hyperlink" Target="http://www.plantsoftheworldonline.org/" TargetMode="External"/><Relationship Id="rId353069efa61666496" Type="http://schemas.openxmlformats.org/officeDocument/2006/relationships/hyperlink" Target="https://doi.org/10.1002/ndr2.12082" TargetMode="External"/><Relationship Id="rId121069efa61666817" Type="http://schemas.openxmlformats.org/officeDocument/2006/relationships/hyperlink" Target="https://doi.org/10.1093/jof/37.1.13" TargetMode="External"/><Relationship Id="rId547769efa61666a5a" Type="http://schemas.openxmlformats.org/officeDocument/2006/relationships/hyperlink" Target="https://gd.eppo.int" TargetMode="External"/><Relationship Id="rId969269efa61666bdc" Type="http://schemas.openxmlformats.org/officeDocument/2006/relationships/hyperlink" Target="https://doi.org/10.1111/j.1365-2338.1979.tb02456.x" TargetMode="External"/><Relationship Id="rId958369efa61661497" Type="http://schemas.openxmlformats.org/officeDocument/2006/relationships/image" Target="media/imgrId958369efa61661497.jpg"/><Relationship Id="rId612769efa61663675" Type="http://schemas.openxmlformats.org/officeDocument/2006/relationships/image" Target="media/imgrId612769efa61663675.jpg"/><Relationship Id="rId612569efa61666c59" Type="http://schemas.openxmlformats.org/officeDocument/2006/relationships/image" Target="media/imgrId612569efa61666c5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