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palmarum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palmarum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Cordyle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Curculio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Rhynchophorus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Rhynchophorus cycadis</w:t>
            </w:r>
            <w:r>
              <w:rPr>
                <w:rFonts w:ascii="Calibri" w:hAnsi="Calibri" w:eastAsia="Calibri" w:cs="Calibri"/>
                <w:color w:val="000000"/>
                <w:position w:val="-3"/>
                <w:sz w:val="22"/>
                <w:szCs w:val="22"/>
              </w:rPr>
              <w:t xml:space="preserve"> Erichson, </w:t>
            </w:r>
            <w:r>
              <w:rPr>
                <w:rFonts w:ascii="Calibri" w:hAnsi="Calibri" w:eastAsia="Calibri" w:cs="Calibri"/>
                <w:i/>
                <w:iCs/>
                <w:color w:val="000000"/>
                <w:position w:val="-3"/>
                <w:sz w:val="22"/>
                <w:szCs w:val="22"/>
              </w:rPr>
              <w:t xml:space="preserve">Rhynchophorus depressus</w:t>
            </w:r>
            <w:r>
              <w:rPr>
                <w:rFonts w:ascii="Calibri" w:hAnsi="Calibri" w:eastAsia="Calibri" w:cs="Calibri"/>
                <w:color w:val="000000"/>
                <w:position w:val="-3"/>
                <w:sz w:val="22"/>
                <w:szCs w:val="22"/>
              </w:rPr>
              <w:t xml:space="preserve"> Chevrolet, </w:t>
            </w:r>
            <w:r>
              <w:rPr>
                <w:rFonts w:ascii="Calibri" w:hAnsi="Calibri" w:eastAsia="Calibri" w:cs="Calibri"/>
                <w:i/>
                <w:iCs/>
                <w:color w:val="000000"/>
                <w:position w:val="-3"/>
                <w:sz w:val="22"/>
                <w:szCs w:val="22"/>
              </w:rPr>
              <w:t xml:space="preserve">Rhynchophorus languinosus</w:t>
            </w:r>
            <w:r>
              <w:rPr>
                <w:rFonts w:ascii="Calibri" w:hAnsi="Calibri" w:eastAsia="Calibri" w:cs="Calibri"/>
                <w:color w:val="000000"/>
                <w:position w:val="-3"/>
                <w:sz w:val="22"/>
                <w:szCs w:val="22"/>
              </w:rPr>
              <w:t xml:space="preserve"> Chevrolet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palm weevil, giant palm weevil, palm marrow weevil, palm marrow weevil, palm weevil</w:t>
            </w:r>
            <w:hyperlink r:id="rId9496661e87059ef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567661e87059ef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899172" name="name4870661e87059f4ba" descr="1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3.jpg"/>
                          <pic:cNvPicPr/>
                        </pic:nvPicPr>
                        <pic:blipFill>
                          <a:blip r:embed="rId2954661e87059f4b6" cstate="print"/>
                          <a:stretch>
                            <a:fillRect/>
                          </a:stretch>
                        </pic:blipFill>
                        <pic:spPr>
                          <a:xfrm>
                            <a:off x="0" y="0"/>
                            <a:ext cx="2160000" cy="1281600"/>
                          </a:xfrm>
                          <a:prstGeom prst="rect">
                            <a:avLst/>
                          </a:prstGeom>
                          <a:ln w="0">
                            <a:noFill/>
                          </a:ln>
                        </pic:spPr>
                      </pic:pic>
                    </a:graphicData>
                  </a:graphic>
                </wp:inline>
              </w:drawing>
            </w:r>
            <w:hyperlink r:id="rId7999661e87059f5f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has been reported on at least 35 plant species in at least 12 different families. However, it is primarily found in association with palms (Arecaceae) (Esser &amp; Meredith, 1987; Grifﬁth, 1987; Wattanapongsiri, 1966; Jaffé &amp; Sánchez, 1990; Sánchez &amp; Cerda, 1993). With respect to palms,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reported as a pest. It has also been observed reproducing on sugarcane stems, a non-palm host, (Arango &amp; Rizo, 1977; Restrepo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Feeding damage by larvae to the apical meristematic region (i.e. the palm heart) causes palm mortality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When reported on other plants,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adults were observed feeding on ripe fruit. This type of feeding on fruit by adult weevils is typically not a source of significant economic damage.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Breeding hosts:</w:t>
      </w:r>
      <w:r>
        <w:rPr>
          <w:rFonts w:ascii="Calibri" w:hAnsi="Calibri" w:eastAsia="Calibri" w:cs="Calibri"/>
          <w:i/>
          <w:iCs/>
          <w:color w:val="000000"/>
          <w:sz w:val="22"/>
          <w:szCs w:val="22"/>
        </w:rPr>
        <w:t xml:space="preserve"> R. palmarum</w:t>
      </w:r>
      <w:r>
        <w:rPr>
          <w:rFonts w:ascii="Calibri" w:hAnsi="Calibri" w:eastAsia="Calibri" w:cs="Calibri"/>
          <w:color w:val="000000"/>
          <w:sz w:val="22"/>
          <w:szCs w:val="22"/>
        </w:rPr>
        <w:t xml:space="preserve"> breeding is primarily restricted to palms (Arecaceae) and known hosts include: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(Guadalupe palm),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(golden cane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(African oil palm),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(juçara, grown for hearts of palm),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(cabbage tree palm),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(true sago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Islands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(edible date palm), and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(Mexican fan palm). A notable non-palm host used for reproduction is </w:t>
      </w:r>
      <w:r>
        <w:rPr>
          <w:rFonts w:ascii="Calibri" w:hAnsi="Calibri" w:eastAsia="Calibri" w:cs="Calibri"/>
          <w:i/>
          <w:iCs/>
          <w:color w:val="000000"/>
          <w:sz w:val="22"/>
          <w:szCs w:val="22"/>
        </w:rPr>
        <w:t xml:space="preserve">Saccharum ofﬁcinarum</w:t>
      </w:r>
      <w:r>
        <w:rPr>
          <w:rFonts w:ascii="Calibri" w:hAnsi="Calibri" w:eastAsia="Calibri" w:cs="Calibri"/>
          <w:color w:val="000000"/>
          <w:sz w:val="22"/>
          <w:szCs w:val="22"/>
        </w:rPr>
        <w:t xml:space="preserve"> (sugarcane [Poaceae]).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 food hosts:</w:t>
      </w:r>
      <w:r>
        <w:rPr>
          <w:rFonts w:ascii="Calibri" w:hAnsi="Calibri" w:eastAsia="Calibri" w:cs="Calibri"/>
          <w:color w:val="000000"/>
          <w:sz w:val="22"/>
          <w:szCs w:val="22"/>
        </w:rPr>
        <w:t xml:space="preserve">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on a variety of ripe fruit, including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[Lauraceae]),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[Musaceae]),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(Rutaceae),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[Malvaceae]),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[Myrtaceae]),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[Anacardiaceae]), and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[Caricaceae]). These hosts are not used for reproduction instead the fruit provide nutrition and energy to adult weevils.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kept alive in laboratory colonies for several months on a diet of cut apple pieces and banana chunks that have the skin left on. Adult weevils will burrow into the banana pulp to hide and feed.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Artificial diets and laboratory rearing:</w:t>
      </w:r>
      <w:r>
        <w:rPr>
          <w:rFonts w:ascii="Calibri" w:hAnsi="Calibri" w:eastAsia="Calibri" w:cs="Calibri"/>
          <w:color w:val="000000"/>
          <w:sz w:val="22"/>
          <w:szCs w:val="22"/>
        </w:rPr>
        <w:t xml:space="preserve"> Rearing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and larvae for use in laboratory bioassays is possible with the use of artificial diets (Santana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mixed diet of sugarcane and pineapple has been used to artificially rear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cohune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maripa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Gynerium sagittatum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Manicaria saccifera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Mauritia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Oenocarpus bataua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bermudana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orinocensis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vagans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includes tropical parts of Mexico (e.g. Veracruz), Central (e.g. Costa Rica) and South America (e.g. Brazil and Colombia), and the Caribbean (e.g. Trinidad and Tobago). Despite the tropical distribution of this pest it has managed to invade distinctly non-tropical climates, most notably, southern California, USA. Invasion of arid semi-desert regions has been facilitated by human modification of the landscape. This modification includes irrigation of areas that are normally dry and the planting of a wide diversity and high density of palm species in urban areas where they do not naturally exist. In some instances, such as the desert-like Coachella Valley in California, commercial plantations of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may provide a suitable habitat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should it reach this area.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Invasion and establishment in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detection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infesting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in Todos los Santos in Baja California Sur (Mexico) in November 2000 (Garcia-Hernandez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this pest was found in December 2010, infesting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Tijuana, Baja California Norte, Mexico approximately 1,500 km north of Todos los Santos, and less than 3 km from the US border with San Diego County California. In the USA,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were trapped in San Ysidro, California (approximately 5 km north of Tijuana) in May 2011; Alamo, Texas in March and May 2012; and Yuma, Arizona in May 2015. Established populations in San Ysidro were confirmed in 2015 (it is likely that populations had established earlier, perhaps in 2013-2014) and weevils have now established throughout large areas of San Diego County where they have killed thousands of ornamental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urban areas and naturalized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riparian areas. As of July 2020, there were no reports of established populations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Arizona and Texas or palm mortality caused by this weevil. Locations of potential source populations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trapped in Arizona and Texas were not identified.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red ring nematode, has not been detected in association with weevils captured in California, Texas, and Arizona.</w:t>
      </w:r>
    </w:p>
    <w:p>
      <w:r>
        <w:drawing>
          <wp:inline distT="0" distB="0" distL="0" distR="0">
            <wp:extent cx="6120000" cy="3067200"/>
            <wp:docPr id="63312161" name="name8407661e8705a0bd9" descr="RHYC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PA_distribution_map.jpg"/>
                    <pic:cNvPicPr/>
                  </pic:nvPicPr>
                  <pic:blipFill>
                    <a:blip r:embed="rId7632661e8705a0b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Grenada, Guadeloupe, Guatemala, Haiti, Honduras,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Amazonas, Bahia, Ceara, Distrito Federal, Maranhao, Mato Grosso, Mato Grosso do Sul, Minas Gerais, Para, Paraiba, Parana, Pernambuco, Piaui, Rio de Janeiro, Rio Grande do Norte, Rio Grande do Sul, Roraima, Sao Paulo, Sergipe),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found in urban areas, forests, and oil palm plantations. In invaded regions in southern California,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largely restricted to urban areas where it attacks ornamental palms (e.g.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B. edulis</w:t>
      </w:r>
      <w:r>
        <w:rPr>
          <w:rFonts w:ascii="Calibri" w:hAnsi="Calibri" w:eastAsia="Calibri" w:cs="Calibri"/>
          <w:color w:val="000000"/>
          <w:sz w:val="22"/>
          <w:szCs w:val="22"/>
        </w:rPr>
        <w:t xml:space="preserve">). In the native range, the altitudinal range is from sea level up to 1200 m (Jaffé &amp; Sánchez, 1990). Studies on the biology of this species are reported in Wilson (1963), Nadarajan (1988),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Hagley (1965). The larvae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exclusively on live palm tissue in the meristematic region. Under laboratory conditions (20–35°C and 62–92% relative humidity), a female may lay an average of 245 ± 155 eggs during a period of 30.7 ± 14.3 days. The egg incubation period is 3.2 ± 0.93 days and larvae have between six and 10 instars which develop over a period of 52.0 ± 10.0 days. The prepupal stage lasts 4–17 days, during which larvae make cocoons using palm ﬁbres. The pupal stage lasts 8–23 days and adults remain in cocoons for 7.8 ± 3.4 days before emerging. Adult males live for 44.7 ± 17.2 days and females for 40.7 ± 15.5 days. Hagley (1965) reported that a single female may lay up to 718 eggs, whereas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reported a maximal oviposition of 697 eggs. Nadarajan (1988) and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studied the biology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using artiﬁcial diets, and reported on mating and oviposition behavior observed in the laboratory.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can bore into palms with the rostrum to make oviposition holes. Females may also exploit damage wounds (e.g. pruning wounds or holes made by feeding insects) near or on the internodal area of the palm trunk next to the crown for oviposition. Eggs are oviposited into these holes. The egg rests in a vertical position in the hole which is sealed by the female with a secretion.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during the day showing a bimodal daily activity cycle. Hagley (1965) reported major activity peaks between 07:00 and 11:00, and 17:00 and 19:00. Sánchez &amp; Jaffé (1993) observed flight activity in the field, confirming the nature of the activity cycle, in which adults fly during the day, but avoid the hottest hours at noon and the early afternoon. Field observations showed that adults may fly at velocities of up to 6.01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(Hagley, 1965). Studies on the population dynamics of this species in Central America are reported by Chinchilla (1988), showing that the maximum adult population occurs during the dry season. Similar results were obtained by Schuiling &amp; Van Dinther (1981) in Brazil.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Vector of red ring nematode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amplified by its ability to acquire and vector a plant pathogenic nematode,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causative agent of red ring disease which is lethal to palms (Griffith 1987; Gerber and Giblin-Davis 1990; Oehlschlager 2016). Nematodes may be phoretic and attached to outside of the weevil or they can be introduced into palms by adults when feeding or defecating. No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vector plant pathogenic nematodes. Up to 90% of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collected from palms with red ring disease are infected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(Gerber and Giblin-Davis, 1990) and nematode infections in coconut and oil palms in the neotropics result in annual losses of 10-15% from red ring disease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is not vector-specific and can be spread by other species of weevils (e.g.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making it likely that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(e.g. the highly invasive red palm weevil,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could acquire and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should they become sympatric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Weevil larvae feed in the palm crown which can kill the apical growing region. This feeding causes the central area of the crown to tilt then collapse, as this is happening fronds from this central region begin to fall from infested palms. This results in a halo of dying mature fronds encircling the top of the palm trunk. Basal sheaths that are found at the bottom of fronds are often perforated with large holes when weevil infestations are heavy. With respect to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the basal areas of dropped fronds can be heavily tunneled, and often pupal cases can be found tightly wedged into tunnels. When infestations are especially heavy, pupal cases may drop from palms and can be readily found on the ground under infested palms. In parts of the native range,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a sympatric and morphologically similar looking weevil, may cause similar damage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Chinchilla &amp; Öhlschlager, 1992, 1993; Sánchez &amp; Jaffé,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larvae, pupae, and adults are described by Wattanapongsiri (1966). A summary is provided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1–2 mm in length and are laid inside soft plant tissue, near the apical area of the palm. Females seal oviposition wounds with a waxy secretion presumably to protect eggs. Eggs are white and oblong in shape when recently laid. As eggs mature they may exhibit undulatory movements as larvae prepare to emerge. Around this time larvae can be seen through the egg chorion.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legless and creamy white, they may reach 5–6 cm in length prior to pupation. Larvae are cannibalistic and possess sclerotized mouth parts with strong mandibles. Their body is slightly curved ventrally. Prepupal larvae become darker and migrate from feeding sites to areas (e.g. base of the palm frond) where they will excavate a pupal chamber within which the fibrous pupal cocoon is spun.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light brown. The abdomen continuously makes undulatory movements when disturbed. Pupae inhabit a cylindrical-ovoid cocoon that is built with strongly entwined palms fibres. The fibrous cocoon is approximately 7 cm long and 3–4 cm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R. palmarum </w:t>
      </w:r>
      <w:r>
        <w:rPr>
          <w:rFonts w:ascii="Calibri" w:hAnsi="Calibri" w:eastAsia="Calibri" w:cs="Calibri"/>
          <w:color w:val="000000"/>
          <w:sz w:val="22"/>
          <w:szCs w:val="22"/>
        </w:rPr>
        <w:t xml:space="preserve">are typically black. However, a small proportion of the population may exhibit orange and black markings that are very similar in appearance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(Löhr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are large, measuring 4–5 cm in length and are approximately 1.4 cm wide, weighing 1.6–2 g. The head is small with a characteristic long, ventrally curved rostrum. Adults show sexual dimorphism; males have a conspicuous batch of hairs on the antero-central dorsal region of the rostrum. Females lack rostral setae.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described in the EPPO diagnostic protocol </w:t>
      </w:r>
      <w:r>
        <w:rPr>
          <w:rFonts w:ascii="Calibri" w:hAnsi="Calibri" w:eastAsia="Calibri" w:cs="Calibri"/>
          <w:i/>
          <w:iCs/>
          <w:color w:val="000000"/>
          <w:sz w:val="22"/>
          <w:szCs w:val="22"/>
        </w:rPr>
        <w:t xml:space="preserve">for Rhynchophorus ferrugineus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Rhynchophorus palmarum</w:t>
      </w:r>
      <w:r>
        <w:rPr>
          <w:rFonts w:ascii="Calibri" w:hAnsi="Calibri" w:eastAsia="Calibri" w:cs="Calibri"/>
          <w:color w:val="000000"/>
          <w:sz w:val="22"/>
          <w:szCs w:val="22"/>
        </w:rPr>
        <w:t xml:space="preserve"> (EPPO, 2007). Use of computer based tools (e.g. online keys, digital cameras attached to microscopes) and internet connectivity to access data bases, images, and experts via screen and image sharing software can aid in the rapid identification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spp. (Giblin-Davis and Roda,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weevil infestations within palms is extremely difficult and often infestations are only confirmed once damage becomes visually obvious. Some early detection methods have explored the use of molecular and biochemical markers that palms or weevils produce as a result of attack. Another approach has been to use sensitive electronic equipment to ‘listen’ for acoustic signatures that typify weevil feeding. Changes in infrared spectral qualities of palms have also been assessed for diagnostic potential. Overall, early detection techniques have not been developed to a point where they are sufficiently accurate, cost effective, or easy and fast to use enabling the examination of many tens or hundreds of palms a day. Visual inspections for weevil infestations of small palms in containers is possible, but this approach is difficult for tall palms. Visual inspections of tall mature palms with binoculars can be done and drones flying over and around palms can provide high resolution images of the crown region for examination. However, accurately assigning the cause of frond damage (e.g. clipped ends of expanding fronds or notches) can be difficult as feeding damage by rats, for example, to immature fronds prior to expansion, can produce damage similar to that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accidentally spread over long distances through the movement of infested palms for planting into new areas. Adult weevils are capable of localized short distance flights and long distance flight may be possible. Flight mill studies in the laboratory suggest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strong flyer. The average distance flown by males and females over a 24 hr period is approximately 41 km and 53 km, respectively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these flight mill studies, approximately 10% of females flew &gt; 100 km in 24 h, with two (~4%) females flying &gt; 140 km. The maximum recorded distance flown by a male weevil was 95 km. Flight activity was predominantly diurnal and flying weevils exhibited an average weight loss of approximately 18% over a 24 hr period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unknown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undertakes long distance flights in nature. However, flight mill data suggest strongly that they are capable of flying long distances. This possibility should be carefully considered when establishing quarantine boundaries or setting up detection and monitoring programs.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recognized as a serious pest of oil palms, coconuts, and ornamental palms. Countries reporting significant damage in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plantations include Central America (Costa Rica), Colombia, Venezuela and Brazil. (Grifﬁth, 1968, 1970; Dean, 1979; Fenwick, 1967; Sánchez &amp; Cerda, 1993). In Veracruz (Mexico),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pest of ornamental palms (Landero-Torres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Economic tolerance for damage depends on the palm species and on the number of larvae infesting the plant. Fenwick (1967) and Grifﬁth (1968) reported that as few as 30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sufficient to cause the death of a mature coconut palm.</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damage,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causes indirect damage by vectoring red ring nematode,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first suspected to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 nematode responsible for heavy losses in coconut plantations, in the early 1900s (Cobb, 1922). It is now well established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the principal vector of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and that reduction in weevil population densities is key to lower nematode infestation. Coconut palms 3–10 years of age die during the ﬁrst 2 months after inoculation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(Grifﬁth, 1987). Thurston (1984) and Brathwaite &amp; Siddiqi (1975) reported that infected plants take 23–28 days to show the symptoms of red ring disease, and typically die 3–4 months after showing the first symptoms. Esser &amp; Meredith (1987) estimated that several million USD are lost annually due to the association of red ring disease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They estimated that 800 ha of coconut plantations were abandoned in 1923 due to this disease, and that in Grenada 22% of the coconut palms had red ring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undoubtedly a plant pest, in South America, it can provide some benefits to human communities by being used as a source of food or for traditional medicine. In parts of Amazonia,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cultivated and marketed by indigenous groups (Choo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Sancho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Trapping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programs utilize traps (e.g. bucket traps or cone shaped Picusan traps) loaded with commercially-available aggregation pheromone and baited with fermenting bait (e.g. sugarcane, dates and water, or pineapple chunks in syrup). The male produced aggregation has been identified as 2(E)-6-methyl-2-hepten-4-ol, (commonly known as rhynchophorol) (Rochat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1991a,b;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1992a,b). Addition of ethyl acetate to traps loaded with pheromone and bait synergizes attractiveness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Recent studies by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demonstrated that ground deployed Picusan traps are 5 times more effective at catching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than bucket traps that are suspended 1.5 m above the ground or placed on the ground. The design of the Picusan trap is significantly more effective at retaining weevils that enter this trap. The attractiveness of fermenting bait can be enhanced by the addition of yeast. Field trials demonstrated that baker’s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added to dates and water produced volatiles that were more attractive than those produced by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However, the additional cost of yeast to boost bait fermentation may not be warranted. Weevil captures were statistically similar between traps baited with: (1) dates and water, and (2) dates, water, and </w:t>
      </w:r>
      <w:r>
        <w:rPr>
          <w:rFonts w:ascii="Calibri" w:hAnsi="Calibri" w:eastAsia="Calibri" w:cs="Calibri"/>
          <w:i/>
          <w:iCs/>
          <w:color w:val="000000"/>
          <w:sz w:val="22"/>
          <w:szCs w:val="22"/>
        </w:rPr>
        <w:t xml:space="preserve">S. cerevisiae</w:t>
      </w:r>
      <w:r>
        <w:rPr>
          <w:rFonts w:ascii="Calibri" w:hAnsi="Calibri" w:eastAsia="Calibri" w:cs="Calibri"/>
          <w:color w:val="000000"/>
          <w:sz w:val="22"/>
          <w:szCs w:val="22"/>
        </w:rPr>
        <w:t xml:space="preserve">. Traps with dates, water and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caught significantly fewer weevils. Weevils attracted to traps can be killed by drowning through the addition of 50% propylene glycol solution. This is needed for bucket traps with holes that don’t prevent egress, but is probably unnecessary for Picusan traps as the funnel shaped ingress port effectively prevents egress after entry. </w:t>
      </w:r>
    </w:p>
    <w:p>
      <w:pPr>
        <w:widowControl w:val="on"/>
        <w:pBdr/>
        <w:spacing w:before="220" w:after="220" w:line="240" w:lineRule="auto"/>
        <w:ind w:left="0" w:right="0"/>
        <w:jc w:val="both"/>
      </w:pPr>
      <w:r>
        <w:rPr>
          <w:rFonts w:ascii="Calibri" w:hAnsi="Calibri" w:eastAsia="Calibri" w:cs="Calibri"/>
          <w:color w:val="000000"/>
          <w:sz w:val="22"/>
          <w:szCs w:val="22"/>
        </w:rPr>
        <w:t xml:space="preserve">Mass trapping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 1 trap/5-ha significantly lowered the incidence of red ring nematode infection vectored by the weevil in commercial oil palm plantations in the Americas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Oehlschlager, 2016). With respect to ornamental palms in urban areas, trap placement with respect to palms of interest is a highly important consideration. If traps are placed too close to palms, weevils attracted to traps but not retained and killed in traps may attack nearby palms. If the goal of trapping is to detect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activity in the general vicinity of palms of concern, then traps could be deployed outside the immediate area of interest, perhaps approximately 1 km away. If weevils are captured at this distance from the palms of concern, it likely indicates there is probably a risk of weevil attack and steps should be promptly considered and implemented to protect those palms. </w:t>
      </w:r>
    </w:p>
    <w:p>
      <w:pPr>
        <w:widowControl w:val="on"/>
        <w:pBdr/>
        <w:spacing w:before="220" w:after="220" w:line="240" w:lineRule="auto"/>
        <w:ind w:left="0" w:right="0"/>
        <w:jc w:val="both"/>
      </w:pPr>
      <w:r>
        <w:rPr>
          <w:rFonts w:ascii="Calibri" w:hAnsi="Calibri" w:eastAsia="Calibri" w:cs="Calibri"/>
          <w:color w:val="000000"/>
          <w:sz w:val="22"/>
          <w:szCs w:val="22"/>
        </w:rPr>
        <w:t xml:space="preserve">Trap colour (i.e. white vs. black vs. yellow) does not significantly affect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capture rates (Oehlschlager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order to maximize trap efficacy, traps should be placed in areas with partial or full shade. Full sun exposure, especially during the hottest parts of the day, rapidly diminishes trap efficacy (Navarro-Llopis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Relatively little is known about the natural enemies associated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its native range. However, one promising candidate is a parasitic fly,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(Diptera: Tachinidae), from Brazil that is reported to attack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and pupae (Moura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2006). Very little is known about the biology and ecology of this fly but its population-level impacts on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Brazilian oil palm plantations appear to be significant with year round parasitism averaging 50% (range: 32-74%) and each parasitized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pupa produces around 18 flies. Löhr (2013) provides a compelling argument for increased research into potential biocontrol agents attacking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the native range. </w:t>
      </w:r>
      <w:r>
        <w:rPr>
          <w:rFonts w:ascii="Calibri" w:hAnsi="Calibri" w:eastAsia="Calibri" w:cs="Calibri"/>
          <w:i/>
          <w:iCs/>
          <w:color w:val="000000"/>
          <w:sz w:val="22"/>
          <w:szCs w:val="22"/>
        </w:rPr>
        <w:t xml:space="preserve">Billaea</w:t>
      </w:r>
      <w:r>
        <w:rPr>
          <w:rFonts w:ascii="Calibri" w:hAnsi="Calibri" w:eastAsia="Calibri" w:cs="Calibri"/>
          <w:color w:val="000000"/>
          <w:sz w:val="22"/>
          <w:szCs w:val="22"/>
        </w:rPr>
        <w:t xml:space="preserve"> spp. are obvious candidates in need of detailed study.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and destruction of palms infested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done by mechanically chipping or grinding infested fronds and removal and destruction of infested crowns either by burying 1.5 m underground or cutting with a chainsaw and then mechanically chipping or grinding into small pieces. Chipping or grinding will kill larvae, pupae, and adults, and this process helps desiccate eggs. Burning infested palm crowns is difficult and not recommended. Palm trunks with crowns removed can be left standing. It is unlikely that these will be used for breeding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as the meristematic region, the preferred feeding site for larvae, is not available. Applications of contact insecticides to the tops of cut trunks that have had the crowns removed can be made. Insecticide residues will kill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attracted by wound volatiles.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Insecticidal control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difficult (Hagley, 1963). However, systemic insecticides applied as either trunk sprays or injections, soil injections or drenches, or as crown drenches are effective. If applied during the early stages of infestation, insecticides may be capable of ‘curing’ infested palms. A combination of systemic insecticides with different rates of movement in palms can be effective. A combination approach may use fast moving compounds that reach internal larval infestation sites first and slower moving compounds follow up to provide more persistent control. Systemic insecticides that have both insecticidal and nematicidal properties need evaluation as these types of products have the potential to provide protection against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Applications of contact insecticides to crown regions can provide some protection from adult weevils and can be used in combination with systemic insecticides. Cutting an observation ‘window’ into the crown may help with observations to determine treatment efficacy. ‘Windows’ are made by removing fronds at the base of the crown so access to the crown is possible. In extreme situations, all of the fronds can be removed from the crown region so that the top of the palm has a bulbous-looking appearance. Insecticide treatments can be applied to this ‘bulb’ and in the absence of fronds less insecticide is needed as there is reduced run off and applications are highly focused on the infested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IPM of R. palmarum</w:t>
      </w:r>
    </w:p>
    <w:p>
      <w:pPr>
        <w:widowControl w:val="on"/>
        <w:pBdr/>
        <w:spacing w:before="220" w:after="220" w:line="240" w:lineRule="auto"/>
        <w:ind w:left="0" w:right="0"/>
        <w:jc w:val="both"/>
      </w:pPr>
      <w:r>
        <w:rPr>
          <w:rFonts w:ascii="Calibri" w:hAnsi="Calibri" w:eastAsia="Calibri" w:cs="Calibri"/>
          <w:color w:val="000000"/>
          <w:sz w:val="22"/>
          <w:szCs w:val="22"/>
        </w:rPr>
        <w:t xml:space="preserve">IPM manuals outlining control programs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 (Moura, 2017) and Colombia (</w:t>
      </w:r>
      <w:hyperlink r:id="rId5295661e8705a2234" w:history="1">
        <w:r>
          <w:rPr>
            <w:rFonts w:ascii="Calibri" w:hAnsi="Calibri" w:eastAsia="Calibri" w:cs="Calibri"/>
            <w:color w:val="0000CC"/>
            <w:sz w:val="22"/>
            <w:szCs w:val="22"/>
            <w:u w:val="single"/>
          </w:rPr>
          <w:t xml:space="preserve">https://www.ica.gov.co/getattachment/19e016c0-0d14-4412-af12-03eecfe398f2/Manejo-del-picudo--Rhynchophorus-palmarum-L--(Cole.aspx</w:t>
        </w:r>
      </w:hyperlink>
      <w:r>
        <w:rPr>
          <w:rFonts w:ascii="Calibri" w:hAnsi="Calibri" w:eastAsia="Calibri" w:cs="Calibri"/>
          <w:color w:val="000000"/>
          <w:sz w:val="22"/>
          <w:szCs w:val="22"/>
        </w:rPr>
        <w:t xml:space="preserve">) are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presumably presents a significant risk to edible date palms in North Africa and the Middle East. This potential risk will be better understood should this weevil invade and establish in edible date growing regions of California (e.g. the Coachella Valley) and Arizona (e.g. the Bard Valley).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serious problem afflicting ornamental palms, especially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California. It is highly likely to threaten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throughout the Mediterranean region and in the Canary Islands, the native range of this palm. The current problem with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these areas would be greatly amplified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invaded and carried with it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would be able to vector this palm killing nematode.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could potentially be introduced into countries of the EPPO region through imported palms from infested areas.</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added in 2005 to the EPPO A1 list, and endangered EPPO member countries are thus recommended to regulate it as a quarantine pest. Imported plants for planting of palms should originate in a pest-free area or come from a pest-free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G &amp; Rizo D (1977) [Some considerations on the behaviour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Revista Colombiana de Entomologia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Brathwaite C &amp; Siddiqi M (1975) Description of </w:t>
      </w:r>
      <w:r>
        <w:rPr>
          <w:rFonts w:ascii="Calibri" w:hAnsi="Calibri" w:eastAsia="Calibri" w:cs="Calibri"/>
          <w:i/>
          <w:iCs/>
          <w:color w:val="000000"/>
          <w:sz w:val="22"/>
          <w:szCs w:val="22"/>
        </w:rPr>
        <w:t xml:space="preserve">Rhadinaphelenchus cocophilus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Description of Plant-Parasitic Nematodes</w:t>
      </w:r>
      <w:r>
        <w:rPr>
          <w:rFonts w:ascii="Calibri" w:hAnsi="Calibri" w:eastAsia="Calibri" w:cs="Calibri"/>
          <w:color w:val="000000"/>
          <w:sz w:val="22"/>
          <w:szCs w:val="22"/>
        </w:rPr>
        <w:t xml:space="preserve">, no. 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(1988) [The red ring/small leaf syndrome in oil palm and coconut.] </w:t>
      </w:r>
      <w:r>
        <w:rPr>
          <w:rFonts w:ascii="Calibri" w:hAnsi="Calibri" w:eastAsia="Calibri" w:cs="Calibri"/>
          <w:i/>
          <w:iCs/>
          <w:color w:val="000000"/>
          <w:sz w:val="22"/>
          <w:szCs w:val="22"/>
        </w:rPr>
        <w:t xml:space="preserve">Boletín Técnico Oil Palm Operations (Costa 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(1992) Captures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traps baited with the male-produced aggregation pheromone.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(1993) [Traps for capture of adult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using the aggregation pheromone produced by the male.] </w:t>
      </w:r>
      <w:r>
        <w:rPr>
          <w:rFonts w:ascii="Calibri" w:hAnsi="Calibri" w:eastAsia="Calibri" w:cs="Calibri"/>
          <w:i/>
          <w:iCs/>
          <w:color w:val="000000"/>
          <w:sz w:val="22"/>
          <w:szCs w:val="22"/>
        </w:rPr>
        <w:t xml:space="preserve">Manejo Integrado de Plagas (Costa Rica) </w:t>
      </w:r>
      <w:r>
        <w:rPr>
          <w:rFonts w:ascii="Calibri" w:hAnsi="Calibri" w:eastAsia="Calibri" w:cs="Calibri"/>
          <w:color w:val="000000"/>
          <w:sz w:val="22"/>
          <w:szCs w:val="22"/>
        </w:rPr>
        <w:t xml:space="preserve">no. 29, 28-35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Choo J, Zent EL &amp; Simpson BB (2009) The importance of traditional ecological knowledge for palm-weevil cultivation in the Venezuelan Amazon. </w:t>
      </w:r>
      <w:r>
        <w:rPr>
          <w:rFonts w:ascii="Calibri" w:hAnsi="Calibri" w:eastAsia="Calibri" w:cs="Calibri"/>
          <w:i/>
          <w:iCs/>
          <w:color w:val="000000"/>
          <w:sz w:val="22"/>
          <w:szCs w:val="22"/>
        </w:rPr>
        <w:t xml:space="preserve">Journal of Ethnobiology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113-128.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(1922) A note on the coconut nematode of Panama. </w:t>
      </w:r>
      <w:r>
        <w:rPr>
          <w:rFonts w:ascii="Calibri" w:hAnsi="Calibri" w:eastAsia="Calibri" w:cs="Calibri"/>
          <w:i/>
          <w:iCs/>
          <w:color w:val="000000"/>
          <w:sz w:val="22"/>
          <w:szCs w:val="22"/>
        </w:rPr>
        <w:t xml:space="preserve">Journal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Dean C (1979) </w:t>
      </w:r>
      <w:r>
        <w:rPr>
          <w:rFonts w:ascii="Calibri" w:hAnsi="Calibri" w:eastAsia="Calibri" w:cs="Calibri"/>
          <w:i/>
          <w:iCs/>
          <w:color w:val="000000"/>
          <w:sz w:val="22"/>
          <w:szCs w:val="22"/>
        </w:rPr>
        <w:t xml:space="preserve">Red ring disease of </w:t>
      </w:r>
      <w:r>
        <w:rPr>
          <w:rFonts w:ascii="Calibri" w:hAnsi="Calibri" w:eastAsia="Calibri" w:cs="Calibri"/>
          <w:color w:val="000000"/>
          <w:sz w:val="22"/>
          <w:szCs w:val="22"/>
        </w:rPr>
        <w:t xml:space="preserve">Cocos nucifera </w:t>
      </w:r>
      <w:r>
        <w:rPr>
          <w:rFonts w:ascii="Calibri" w:hAnsi="Calibri" w:eastAsia="Calibri" w:cs="Calibri"/>
          <w:i/>
          <w:iCs/>
          <w:color w:val="000000"/>
          <w:sz w:val="22"/>
          <w:szCs w:val="22"/>
        </w:rPr>
        <w:t xml:space="preserve">caused by </w:t>
      </w:r>
      <w:r>
        <w:rPr>
          <w:rFonts w:ascii="Calibri" w:hAnsi="Calibri" w:eastAsia="Calibri" w:cs="Calibri"/>
          <w:color w:val="000000"/>
          <w:sz w:val="22"/>
          <w:szCs w:val="22"/>
        </w:rPr>
        <w:t xml:space="preserve">Rhadinaphelenchus cocophilus</w:t>
      </w:r>
      <w:r>
        <w:rPr>
          <w:rFonts w:ascii="Calibri" w:hAnsi="Calibri" w:eastAsia="Calibri" w:cs="Calibri"/>
          <w:i/>
          <w:iCs/>
          <w:color w:val="000000"/>
          <w:sz w:val="22"/>
          <w:szCs w:val="22"/>
        </w:rPr>
        <w:t xml:space="preserve">. An Annotated Bibliography and Review. </w:t>
      </w:r>
      <w:r>
        <w:rPr>
          <w:rFonts w:ascii="Calibri" w:hAnsi="Calibri" w:eastAsia="Calibri" w:cs="Calibri"/>
          <w:color w:val="000000"/>
          <w:sz w:val="22"/>
          <w:szCs w:val="22"/>
        </w:rPr>
        <w:t xml:space="preserve">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C, Romero R, Vásquez Espinoza R, Trigozo M, Correa R (2019)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used in traditional medicine in the Peruvian Amazon. </w:t>
      </w:r>
      <w:r>
        <w:rPr>
          <w:rFonts w:ascii="Calibri" w:hAnsi="Calibri" w:eastAsia="Calibri" w:cs="Calibri"/>
          <w:i/>
          <w:iCs/>
          <w:color w:val="000000"/>
          <w:sz w:val="22"/>
          <w:szCs w:val="22"/>
        </w:rPr>
        <w:t xml:space="preserve">Ethnobiology Letters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Esser R &amp; Meredith J (1987) Red ring nematode. </w:t>
      </w:r>
      <w:r>
        <w:rPr>
          <w:rFonts w:ascii="Calibri" w:hAnsi="Calibri" w:eastAsia="Calibri" w:cs="Calibri"/>
          <w:i/>
          <w:iCs/>
          <w:color w:val="000000"/>
          <w:sz w:val="22"/>
          <w:szCs w:val="22"/>
        </w:rPr>
        <w:t xml:space="preserve">Nematology Circular of the Florida Department of Agriculture</w:t>
      </w:r>
      <w:r>
        <w:rPr>
          <w:rFonts w:ascii="Calibri" w:hAnsi="Calibri" w:eastAsia="Calibri" w:cs="Calibri"/>
          <w:color w:val="000000"/>
          <w:sz w:val="22"/>
          <w:szCs w:val="22"/>
        </w:rPr>
        <w:t xml:space="preserve"> no. 141,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Fenwick D (1967) The effect of weevil control on the incidence of red ring disease.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231-244.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Garcia-Hernandez JL, Beltran-Morales F, Loya-Ramirez JG, Morales-Cota JR, Troyo-Diéguez E, Beltrán-Morales EF (2003) Primer informe del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Dryophthoridae) en Baja California Sur.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415-417.</w:t>
      </w:r>
    </w:p>
    <w:p>
      <w:pPr>
        <w:widowControl w:val="on"/>
        <w:pBdr/>
        <w:spacing w:before="220" w:after="220" w:line="240" w:lineRule="auto"/>
        <w:ind w:left="0" w:right="0"/>
        <w:jc w:val="left"/>
      </w:pPr>
      <w:r>
        <w:rPr>
          <w:rFonts w:ascii="Calibri" w:hAnsi="Calibri" w:eastAsia="Calibri" w:cs="Calibri"/>
          <w:color w:val="000000"/>
          <w:sz w:val="22"/>
          <w:szCs w:val="22"/>
        </w:rPr>
        <w:t xml:space="preserve">Gerber K &amp; Giblin-Davis RM (1990) Association of the red ring nematode and other nematode species with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Gerber K &amp; Griffith R (1991) Laboratory rearing of </w:t>
      </w:r>
      <w:r>
        <w:rPr>
          <w:rFonts w:ascii="Calibri" w:hAnsi="Calibri" w:eastAsia="Calibri" w:cs="Calibri"/>
          <w:i/>
          <w:iCs/>
          <w:color w:val="000000"/>
          <w:sz w:val="22"/>
          <w:szCs w:val="22"/>
        </w:rPr>
        <w:t xml:space="preserve">Rhynchophorus cruentatus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(3), 480-488.</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&amp; Roda AL (2013) Real time invasive pest identification training: a case study with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(3), 741-745.</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Faleiro JR, Jacas JA, Peña JE &amp; Vidyasagar PSPV (2013) Biology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Potential Invasive Pests of Agricultural Crops, Ed. J. E. Peña, pp. 1-34, CABI Publishing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(1968) The relationship between the red ring nematode and the palm weevil.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342-356.</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(1970) Control of red ring disease in coconut. </w:t>
      </w:r>
      <w:r>
        <w:rPr>
          <w:rFonts w:ascii="Calibri" w:hAnsi="Calibri" w:eastAsia="Calibri" w:cs="Calibri"/>
          <w:i/>
          <w:iCs/>
          <w:color w:val="000000"/>
          <w:sz w:val="22"/>
          <w:szCs w:val="22"/>
        </w:rPr>
        <w:t xml:space="preserve">Crop Bulletin of the Ministry of Agriculture of Trinidad and Tobago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(1987) Red ring disease of coconut palm.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(1963) The role of the palm weevil as a vector of red ring disease of coconuts.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375-380.</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(1965) On the life history and habits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&amp; Milosavljević I (2020) How far can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1786-1795. </w:t>
      </w:r>
      <w:hyperlink r:id="rId3726661e8705a2fed" w:history="1">
        <w:r>
          <w:rPr>
            <w:rFonts w:ascii="Calibri" w:hAnsi="Calibri" w:eastAsia="Calibri" w:cs="Calibri"/>
            <w:color w:val="0000CC"/>
            <w:sz w:val="22"/>
            <w:szCs w:val="22"/>
            <w:u w:val="single"/>
          </w:rPr>
          <w:t xml:space="preserve">https://doi.org/10.1093/jee/toaa115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Jaffé K &amp; Sánchez P (1990) [</w:t>
      </w:r>
      <w:r>
        <w:rPr>
          <w:rFonts w:ascii="Calibri" w:hAnsi="Calibri" w:eastAsia="Calibri" w:cs="Calibri"/>
          <w:i/>
          <w:iCs/>
          <w:color w:val="000000"/>
          <w:sz w:val="22"/>
          <w:szCs w:val="22"/>
        </w:rPr>
        <w:t xml:space="preserve">Final Report of Project on Ethological Study of </w:t>
      </w:r>
      <w:r>
        <w:rPr>
          <w:rFonts w:ascii="Calibri" w:hAnsi="Calibri" w:eastAsia="Calibri" w:cs="Calibri"/>
          <w:color w:val="000000"/>
          <w:sz w:val="22"/>
          <w:szCs w:val="22"/>
        </w:rPr>
        <w:t xml:space="preserve">Rhynchophorus palmarum.] Universidad Simón Bolívar-FONAIAP,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Jaffé K, Sánchez P, Cerda H, Hernández JV, Jaffé R, Urdaneta N, Guerra G, Martínez R &amp; Miras B (1993) Chemical ecology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attraction to host plants and to a male-produced aggregation pheromone.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1703-1720.</w:t>
      </w:r>
    </w:p>
    <w:p>
      <w:pPr>
        <w:widowControl w:val="on"/>
        <w:pBdr/>
        <w:spacing w:before="220" w:after="220" w:line="240" w:lineRule="auto"/>
        <w:ind w:left="0" w:right="0"/>
        <w:jc w:val="left"/>
      </w:pPr>
      <w:r>
        <w:rPr>
          <w:rFonts w:ascii="Calibri" w:hAnsi="Calibri" w:eastAsia="Calibri" w:cs="Calibri"/>
          <w:color w:val="000000"/>
          <w:sz w:val="22"/>
          <w:szCs w:val="22"/>
        </w:rPr>
        <w:t xml:space="preserve">Landero-Torres I, Presa-Parra E, Elena Galindo-Tovar M, Leyva-Ovalle OR, Murguía-González J, Valenzuela-González JE &amp; García-Martínez MA (2015) Variación temporal y espacial de la abundancia del picudo negro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en cultivos de palmas ornamentales del centro de Veracruz,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(2013) Biological control of palm weevils: rediscovering forgotten opportunities.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20N-23N.</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Vásquez-Ordóñez AA &amp; Becerra Lopez-Lavalle LA (2015)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in disguise: Undescribed polymorphisms in the ‘black’ palm weevil.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e0143210. </w:t>
      </w:r>
      <w:hyperlink r:id="rId4252661e8705a3275" w:history="1">
        <w:r>
          <w:rPr>
            <w:rFonts w:ascii="Calibri" w:hAnsi="Calibri" w:eastAsia="Calibri" w:cs="Calibri"/>
            <w:color w:val="0000CC"/>
            <w:sz w:val="22"/>
            <w:szCs w:val="22"/>
            <w:u w:val="single"/>
          </w:rPr>
          <w:t xml:space="preserve">https://do.org/10.1371/journal.pone.0143210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&amp; Hoddle MS (2019)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Hoddle CD, Mafra-Neto A, Gomez-Marco F &amp; Hoddle MS (2020) Effects of evaluation of food bait and trap type on captures of efficacy to lure and catch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and trap bycatch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hyperlink r:id="rId3834661e8705a338c" w:history="1">
        <w:r>
          <w:rPr>
            <w:rFonts w:ascii="Calibri" w:hAnsi="Calibri" w:eastAsia="Calibri" w:cs="Calibri"/>
            <w:color w:val="0000CC"/>
            <w:sz w:val="22"/>
            <w:szCs w:val="22"/>
            <w:u w:val="single"/>
          </w:rPr>
          <w:t xml:space="preserve">https://doi.org/10.1093/jee/toaa175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Moura JIL, Mariau D &amp; Delabie JHC (1993) Efﬁcacy of </w:t>
      </w:r>
      <w:r>
        <w:rPr>
          <w:rFonts w:ascii="Calibri" w:hAnsi="Calibri" w:eastAsia="Calibri" w:cs="Calibri"/>
          <w:i/>
          <w:iCs/>
          <w:color w:val="000000"/>
          <w:sz w:val="22"/>
          <w:szCs w:val="22"/>
        </w:rPr>
        <w:t xml:space="preserve">Paratheresia menezesi</w:t>
      </w:r>
      <w:r>
        <w:rPr>
          <w:rFonts w:ascii="Calibri" w:hAnsi="Calibri" w:eastAsia="Calibri" w:cs="Calibri"/>
          <w:color w:val="000000"/>
          <w:sz w:val="22"/>
          <w:szCs w:val="22"/>
        </w:rPr>
        <w:t xml:space="preserve"> for natural biological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Oléagineux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219-223.</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JIL, Toma R, Sgrillo RB &amp; Delabie JHC (2006) Natural efficiency of parasitism by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(Blanchard) (Diptera: Tachinidae) for the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 (ed) (2017) Manejo Integrado das Pragas das Palmeiras. Ministério da Agricultura, Pecuária e Abastecimento Comissão Executiva do Plano da Lavoura Cacaueira. 186 pp.</w:t>
      </w:r>
    </w:p>
    <w:p>
      <w:pPr>
        <w:widowControl w:val="on"/>
        <w:pBdr/>
        <w:spacing w:before="220" w:after="220" w:line="240" w:lineRule="auto"/>
        <w:ind w:left="0" w:right="0"/>
        <w:jc w:val="left"/>
      </w:pPr>
      <w:r>
        <w:rPr>
          <w:rFonts w:ascii="Calibri" w:hAnsi="Calibri" w:eastAsia="Calibri" w:cs="Calibri"/>
          <w:color w:val="000000"/>
          <w:sz w:val="22"/>
          <w:szCs w:val="22"/>
        </w:rPr>
        <w:t xml:space="preserve">Nadarajan L (1988) Laboratory rearing of the palm weevil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artiﬁcial diet. In: </w:t>
      </w:r>
      <w:r>
        <w:rPr>
          <w:rFonts w:ascii="Calibri" w:hAnsi="Calibri" w:eastAsia="Calibri" w:cs="Calibri"/>
          <w:i/>
          <w:iCs/>
          <w:color w:val="000000"/>
          <w:sz w:val="22"/>
          <w:szCs w:val="22"/>
        </w:rPr>
        <w:t xml:space="preserve">Rapport du Laboratoire des Médiateurs Chimiques.</w:t>
      </w:r>
      <w:r>
        <w:rPr>
          <w:rFonts w:ascii="Calibri" w:hAnsi="Calibri" w:eastAsia="Calibri" w:cs="Calibri"/>
          <w:color w:val="000000"/>
          <w:sz w:val="22"/>
          <w:szCs w:val="22"/>
        </w:rPr>
        <w:t xml:space="preserve"> INRA, Versailles (FR).</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Navarro-Llopis V, Primo J &amp; Vacas S (2018) Improvements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trapping systems.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1298-1305.</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Chinchilla CM, Gonzalez LM, Jiron LF, Mexzon R &amp; Morgan B (1993) Development of a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1381-1392.</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&amp; González M (1992a) Management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the red ring disease in oil palm by pheromone-based trapping.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Pierce H, Morgan B, Wimalaratne P, Slessor K, King G, Gries G, Gries R, Borden J, Jirón L, Chinchilla C &amp; Mexón R (1992b) Chirality and ﬁeld testing of rhynchophorol, the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134-135.</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González L, Jirón L, Mexón R &amp; Morgan B (1993) Development of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1381-1382.</w:t>
      </w:r>
    </w:p>
    <w:p>
      <w:pPr>
        <w:widowControl w:val="on"/>
        <w:pBdr/>
        <w:spacing w:before="220" w:after="220" w:line="240" w:lineRule="auto"/>
        <w:ind w:left="0" w:right="0"/>
        <w:jc w:val="left"/>
      </w:pPr>
      <w:r>
        <w:rPr>
          <w:rFonts w:ascii="Calibri" w:hAnsi="Calibri" w:eastAsia="Calibri" w:cs="Calibri"/>
          <w:color w:val="000000"/>
          <w:sz w:val="22"/>
          <w:szCs w:val="22"/>
        </w:rPr>
        <w:t xml:space="preserve">Restrepo L, Rivera F &amp; Raigosa J (1982) Life cycle, habit and morphometry of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Acta Agronómica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33-44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Gonzalez A, Marian D, Villanueva A &amp; Sagatti P (1991a) Evidence for male-produced aggregation pheromone in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1221-1230.</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Malosse C, Lettere M, Ducrot PH, Zagatti P, Renou M &amp; Descoins C (1991b) Male-produced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collection, identiﬁcation, electrophysiological activity, and laboratory bioassay.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2127-2141.</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Cerda H (1993) [The complex </w:t>
      </w:r>
      <w:r>
        <w:rPr>
          <w:rFonts w:ascii="Calibri" w:hAnsi="Calibri" w:eastAsia="Calibri" w:cs="Calibri"/>
          <w:i/>
          <w:iCs/>
          <w:color w:val="000000"/>
          <w:sz w:val="22"/>
          <w:szCs w:val="22"/>
        </w:rPr>
        <w:t xml:space="preserve">Rhynchophorus palmarum / Bursaphelenchus cocophilus </w:t>
      </w:r>
      <w:r>
        <w:rPr>
          <w:rFonts w:ascii="Calibri" w:hAnsi="Calibri" w:eastAsia="Calibri" w:cs="Calibri"/>
          <w:color w:val="000000"/>
          <w:sz w:val="22"/>
          <w:szCs w:val="22"/>
        </w:rPr>
        <w:t xml:space="preserve">in palms.]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Jaffe K, Hernandez JV &amp; Cerda H (1993) [Biology and behaviour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83-93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Jaffé K (1993) [Monitoring and integrated control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oil palm.] </w:t>
      </w:r>
      <w:r>
        <w:rPr>
          <w:rFonts w:ascii="Calibri" w:hAnsi="Calibri" w:eastAsia="Calibri" w:cs="Calibri"/>
          <w:i/>
          <w:iCs/>
          <w:color w:val="000000"/>
          <w:sz w:val="22"/>
          <w:szCs w:val="22"/>
        </w:rPr>
        <w:t xml:space="preserve">Boletín Técnico Serie B</w:t>
      </w:r>
      <w:r>
        <w:rPr>
          <w:rFonts w:ascii="Calibri" w:hAnsi="Calibri" w:eastAsia="Calibri" w:cs="Calibri"/>
          <w:color w:val="000000"/>
          <w:sz w:val="22"/>
          <w:szCs w:val="22"/>
        </w:rPr>
        <w:t xml:space="preserve">. 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Sancho D, Alvarez Gil MJ &amp; Fernández Sánchez LR (2015) Insectos y alimentación.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un alimento de los pobladores de la Amazonía Ecuatoriana. </w:t>
      </w:r>
      <w:r>
        <w:rPr>
          <w:rFonts w:ascii="Calibri" w:hAnsi="Calibri" w:eastAsia="Calibri" w:cs="Calibri"/>
          <w:i/>
          <w:iCs/>
          <w:color w:val="000000"/>
          <w:sz w:val="22"/>
          <w:szCs w:val="22"/>
        </w:rPr>
        <w:t xml:space="preserve">Entomotropica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(14), 135-149.</w:t>
      </w:r>
    </w:p>
    <w:p>
      <w:pPr>
        <w:widowControl w:val="on"/>
        <w:pBdr/>
        <w:spacing w:before="220" w:after="220" w:line="240" w:lineRule="auto"/>
        <w:ind w:left="0" w:right="0"/>
        <w:jc w:val="left"/>
      </w:pPr>
      <w:r>
        <w:rPr>
          <w:rFonts w:ascii="Calibri" w:hAnsi="Calibri" w:eastAsia="Calibri" w:cs="Calibri"/>
          <w:color w:val="000000"/>
          <w:sz w:val="22"/>
          <w:szCs w:val="22"/>
        </w:rPr>
        <w:t xml:space="preserve">Santana CC, Nascimento JS, de M. Costa M, da Silva AT, Dornelas CB &amp; Grillo LAM (2014) Avaliação do desenvolvimento e reservas energéticas de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em diferentes dietas. </w:t>
      </w:r>
      <w:r>
        <w:rPr>
          <w:rFonts w:ascii="Calibri" w:hAnsi="Calibri" w:eastAsia="Calibri" w:cs="Calibri"/>
          <w:i/>
          <w:iCs/>
          <w:color w:val="000000"/>
          <w:sz w:val="22"/>
          <w:szCs w:val="22"/>
        </w:rPr>
        <w:t xml:space="preserve">Agrária - Revista Brasileira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205-209. </w:t>
      </w:r>
      <w:hyperlink r:id="rId2808661e8705a3cf0" w:history="1">
        <w:r>
          <w:rPr>
            <w:rFonts w:ascii="Calibri" w:hAnsi="Calibri" w:eastAsia="Calibri" w:cs="Calibri"/>
            <w:color w:val="0000CC"/>
            <w:sz w:val="22"/>
            <w:szCs w:val="22"/>
            <w:u w:val="single"/>
          </w:rPr>
          <w:t xml:space="preserve">https://doi.org/10.5039/agraria.v9i2a3885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Schuiling M &amp; van Dinther J (1981) Red ring disease in the paricatuba oil palm estate, Brazil. </w:t>
      </w:r>
      <w:r>
        <w:rPr>
          <w:rFonts w:ascii="Calibri" w:hAnsi="Calibri" w:eastAsia="Calibri" w:cs="Calibri"/>
          <w:i/>
          <w:iCs/>
          <w:color w:val="000000"/>
          <w:sz w:val="22"/>
          <w:szCs w:val="22"/>
        </w:rPr>
        <w:t xml:space="preserve">Zeitschrift für Angewandte Entomologie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154-169.</w:t>
      </w:r>
    </w:p>
    <w:p>
      <w:pPr>
        <w:widowControl w:val="on"/>
        <w:pBdr/>
        <w:spacing w:before="220" w:after="220" w:line="240" w:lineRule="auto"/>
        <w:ind w:left="0" w:right="0"/>
        <w:jc w:val="left"/>
      </w:pPr>
      <w:r>
        <w:rPr>
          <w:rFonts w:ascii="Calibri" w:hAnsi="Calibri" w:eastAsia="Calibri" w:cs="Calibri"/>
          <w:color w:val="000000"/>
          <w:sz w:val="22"/>
          <w:szCs w:val="22"/>
        </w:rPr>
        <w:t xml:space="preserve">Thurston HD (1984) Red ring disease of coconut. In: </w:t>
      </w:r>
      <w:r>
        <w:rPr>
          <w:rFonts w:ascii="Calibri" w:hAnsi="Calibri" w:eastAsia="Calibri" w:cs="Calibri"/>
          <w:i/>
          <w:iCs/>
          <w:color w:val="000000"/>
          <w:sz w:val="22"/>
          <w:szCs w:val="22"/>
        </w:rPr>
        <w:t xml:space="preserve">Tropical Plant Diseases</w:t>
      </w:r>
      <w:r>
        <w:rPr>
          <w:rFonts w:ascii="Calibri" w:hAnsi="Calibri" w:eastAsia="Calibri" w:cs="Calibri"/>
          <w:color w:val="000000"/>
          <w:sz w:val="22"/>
          <w:szCs w:val="22"/>
        </w:rPr>
        <w:t xml:space="preserve">, pp. 161-164. American Phytopathological Society, St Paul (US).</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w:t>
      </w:r>
      <w:r>
        <w:rPr>
          <w:rFonts w:ascii="Calibri" w:hAnsi="Calibri" w:eastAsia="Calibri" w:cs="Calibri"/>
          <w:i/>
          <w:iCs/>
          <w:color w:val="000000"/>
          <w:sz w:val="22"/>
          <w:szCs w:val="22"/>
        </w:rPr>
        <w:t xml:space="preserve">A Revision of the Genera Rhynchophorus and Dynamis</w:t>
      </w:r>
      <w:r>
        <w:rPr>
          <w:rFonts w:ascii="Calibri" w:hAnsi="Calibri" w:eastAsia="Calibri" w:cs="Calibri"/>
          <w:color w:val="000000"/>
          <w:sz w:val="22"/>
          <w:szCs w:val="22"/>
        </w:rPr>
        <w:t xml:space="preserve">. Department of Agricultural Science, Bangkok (TH).</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M (1963) Investigations into the development of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Agriculture Trinidad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185-196.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Mark Hoddle, Department of Entomology, University of California, Riverside California,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EPPO datasheets on pests recommended for regulation. Available online. </w:t>
      </w:r>
      <w:hyperlink r:id="rId4605661e8705a3f4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468-471. </w:t>
      </w:r>
      <w:hyperlink r:id="rId8080661e8705a4034" w:history="1">
        <w:r>
          <w:rPr>
            <w:rFonts w:ascii="Calibri" w:hAnsi="Calibri" w:eastAsia="Calibri" w:cs="Calibri"/>
            <w:color w:val="0000CC"/>
            <w:sz w:val="22"/>
            <w:szCs w:val="22"/>
            <w:u w:val="single"/>
          </w:rPr>
          <w:t xml:space="preserve">https://doi.org/10.1111/j.1365-2338.2005.00883.x</w:t>
        </w:r>
      </w:hyperlink>
    </w:p>
    <w:p>
      <w:r>
        <w:drawing>
          <wp:inline distT="0" distB="0" distL="0" distR="0">
            <wp:extent cx="1800000" cy="604800"/>
            <wp:docPr id="1630628" name="name9454661e8705a42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07661e8705a42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655619">
    <w:multiLevelType w:val="hybridMultilevel"/>
    <w:lvl w:ilvl="0" w:tplc="79922075">
      <w:start w:val="1"/>
      <w:numFmt w:val="decimal"/>
      <w:lvlText w:val="%1."/>
      <w:lvlJc w:val="left"/>
      <w:pPr>
        <w:ind w:left="720" w:hanging="360"/>
      </w:pPr>
    </w:lvl>
    <w:lvl w:ilvl="1" w:tplc="79922075" w:tentative="1">
      <w:start w:val="1"/>
      <w:numFmt w:val="lowerLetter"/>
      <w:lvlText w:val="%2."/>
      <w:lvlJc w:val="left"/>
      <w:pPr>
        <w:ind w:left="1440" w:hanging="360"/>
      </w:pPr>
    </w:lvl>
    <w:lvl w:ilvl="2" w:tplc="79922075" w:tentative="1">
      <w:start w:val="1"/>
      <w:numFmt w:val="lowerRoman"/>
      <w:lvlText w:val="%3."/>
      <w:lvlJc w:val="right"/>
      <w:pPr>
        <w:ind w:left="2160" w:hanging="180"/>
      </w:pPr>
    </w:lvl>
    <w:lvl w:ilvl="3" w:tplc="79922075" w:tentative="1">
      <w:start w:val="1"/>
      <w:numFmt w:val="decimal"/>
      <w:lvlText w:val="%4."/>
      <w:lvlJc w:val="left"/>
      <w:pPr>
        <w:ind w:left="2880" w:hanging="360"/>
      </w:pPr>
    </w:lvl>
    <w:lvl w:ilvl="4" w:tplc="79922075" w:tentative="1">
      <w:start w:val="1"/>
      <w:numFmt w:val="lowerLetter"/>
      <w:lvlText w:val="%5."/>
      <w:lvlJc w:val="left"/>
      <w:pPr>
        <w:ind w:left="3600" w:hanging="360"/>
      </w:pPr>
    </w:lvl>
    <w:lvl w:ilvl="5" w:tplc="79922075" w:tentative="1">
      <w:start w:val="1"/>
      <w:numFmt w:val="lowerRoman"/>
      <w:lvlText w:val="%6."/>
      <w:lvlJc w:val="right"/>
      <w:pPr>
        <w:ind w:left="4320" w:hanging="180"/>
      </w:pPr>
    </w:lvl>
    <w:lvl w:ilvl="6" w:tplc="79922075" w:tentative="1">
      <w:start w:val="1"/>
      <w:numFmt w:val="decimal"/>
      <w:lvlText w:val="%7."/>
      <w:lvlJc w:val="left"/>
      <w:pPr>
        <w:ind w:left="5040" w:hanging="360"/>
      </w:pPr>
    </w:lvl>
    <w:lvl w:ilvl="7" w:tplc="79922075" w:tentative="1">
      <w:start w:val="1"/>
      <w:numFmt w:val="lowerLetter"/>
      <w:lvlText w:val="%8."/>
      <w:lvlJc w:val="left"/>
      <w:pPr>
        <w:ind w:left="5760" w:hanging="360"/>
      </w:pPr>
    </w:lvl>
    <w:lvl w:ilvl="8" w:tplc="79922075" w:tentative="1">
      <w:start w:val="1"/>
      <w:numFmt w:val="lowerRoman"/>
      <w:lvlText w:val="%9."/>
      <w:lvlJc w:val="right"/>
      <w:pPr>
        <w:ind w:left="6480" w:hanging="180"/>
      </w:pPr>
    </w:lvl>
  </w:abstractNum>
  <w:abstractNum w:abstractNumId="44655618">
    <w:multiLevelType w:val="hybridMultilevel"/>
    <w:lvl w:ilvl="0" w:tplc="227615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655618">
    <w:abstractNumId w:val="44655618"/>
  </w:num>
  <w:num w:numId="44655619">
    <w:abstractNumId w:val="446556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2262216" Type="http://schemas.microsoft.com/office/2011/relationships/commentsExtended" Target="commentsExtended.xml"/><Relationship Id="rId770288075" Type="http://schemas.microsoft.com/office/2011/relationships/people" Target="people.xml"/><Relationship Id="rId9496661e87059ef3c" Type="http://schemas.openxmlformats.org/officeDocument/2006/relationships/hyperlink" Target="https://gd.eppo.int/taxon/RHYCPA/" TargetMode="External"/><Relationship Id="rId3567661e87059efb7" Type="http://schemas.openxmlformats.org/officeDocument/2006/relationships/hyperlink" Target="https://gd.eppo.int/taxon/RHYCPA/categorization" TargetMode="External"/><Relationship Id="rId7999661e87059f5f8" Type="http://schemas.openxmlformats.org/officeDocument/2006/relationships/hyperlink" Target="https://gd.eppo.int/taxon/RHYCPA/photos" TargetMode="External"/><Relationship Id="rId5295661e8705a2234" Type="http://schemas.openxmlformats.org/officeDocument/2006/relationships/hyperlink" Target="https://www.ica.gov.co/getattachment/19e016c0-0d14-4412-af12-03eecfe398f2/Manejo-del-picudo--Rhynchophorus-palmarum-L--(Cole.aspx" TargetMode="External"/><Relationship Id="rId3726661e8705a2fed" Type="http://schemas.openxmlformats.org/officeDocument/2006/relationships/hyperlink" Target="https://doi.org/10.1093/jee/toaa115" TargetMode="External"/><Relationship Id="rId4252661e8705a3275" Type="http://schemas.openxmlformats.org/officeDocument/2006/relationships/hyperlink" Target="https://do.org/10.1371/journal.pone.0143210" TargetMode="External"/><Relationship Id="rId3834661e8705a338c" Type="http://schemas.openxmlformats.org/officeDocument/2006/relationships/hyperlink" Target="https://doi.org/10.1093/jee/toaa175" TargetMode="External"/><Relationship Id="rId2808661e8705a3cf0" Type="http://schemas.openxmlformats.org/officeDocument/2006/relationships/hyperlink" Target="https://doi.org/10.5039/agraria.v9i2a3885" TargetMode="External"/><Relationship Id="rId4605661e8705a3f49" Type="http://schemas.openxmlformats.org/officeDocument/2006/relationships/hyperlink" Target="https://gd.eppo.int" TargetMode="External"/><Relationship Id="rId8080661e8705a4034" Type="http://schemas.openxmlformats.org/officeDocument/2006/relationships/hyperlink" Target="https://doi.org/10.1111/j.1365-2338.2005.00883.x" TargetMode="External"/><Relationship Id="rId2954661e87059f4b6" Type="http://schemas.openxmlformats.org/officeDocument/2006/relationships/image" Target="media/imgrId2954661e87059f4b6.jpg"/><Relationship Id="rId7632661e8705a0bd7" Type="http://schemas.openxmlformats.org/officeDocument/2006/relationships/image" Target="media/imgrId7632661e8705a0bd7.jpg"/><Relationship Id="rId3307661e8705a42a9" Type="http://schemas.openxmlformats.org/officeDocument/2006/relationships/image" Target="media/imgrId3307661e8705a42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