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Rhynchophorus palmarum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Rhynchophorus palmarum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Dryophthoridae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Calandra palmarum</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Cordyle barbirostris</w:t>
            </w:r>
            <w:r>
              <w:rPr>
                <w:rFonts w:ascii="Calibri" w:hAnsi="Calibri" w:eastAsia="Calibri" w:cs="Calibri"/>
                <w:color w:val="000000"/>
                <w:position w:val="-3"/>
                <w:sz w:val="22"/>
                <w:szCs w:val="22"/>
              </w:rPr>
              <w:t xml:space="preserve"> Thunberg, </w:t>
            </w:r>
            <w:r>
              <w:rPr>
                <w:rFonts w:ascii="Calibri" w:hAnsi="Calibri" w:eastAsia="Calibri" w:cs="Calibri"/>
                <w:i/>
                <w:iCs/>
                <w:color w:val="000000"/>
                <w:position w:val="-3"/>
                <w:sz w:val="22"/>
                <w:szCs w:val="22"/>
              </w:rPr>
              <w:t xml:space="preserve">Curculio palmarum</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Rhynchophorus barbirostris</w:t>
            </w:r>
            <w:r>
              <w:rPr>
                <w:rFonts w:ascii="Calibri" w:hAnsi="Calibri" w:eastAsia="Calibri" w:cs="Calibri"/>
                <w:color w:val="000000"/>
                <w:position w:val="-3"/>
                <w:sz w:val="22"/>
                <w:szCs w:val="22"/>
              </w:rPr>
              <w:t xml:space="preserve"> (Thunberg), </w:t>
            </w:r>
            <w:r>
              <w:rPr>
                <w:rFonts w:ascii="Calibri" w:hAnsi="Calibri" w:eastAsia="Calibri" w:cs="Calibri"/>
                <w:i/>
                <w:iCs/>
                <w:color w:val="000000"/>
                <w:position w:val="-3"/>
                <w:sz w:val="22"/>
                <w:szCs w:val="22"/>
              </w:rPr>
              <w:t xml:space="preserve">Rhynchophorus cycadis</w:t>
            </w:r>
            <w:r>
              <w:rPr>
                <w:rFonts w:ascii="Calibri" w:hAnsi="Calibri" w:eastAsia="Calibri" w:cs="Calibri"/>
                <w:color w:val="000000"/>
                <w:position w:val="-3"/>
                <w:sz w:val="22"/>
                <w:szCs w:val="22"/>
              </w:rPr>
              <w:t xml:space="preserve"> Erichson, </w:t>
            </w:r>
            <w:r>
              <w:rPr>
                <w:rFonts w:ascii="Calibri" w:hAnsi="Calibri" w:eastAsia="Calibri" w:cs="Calibri"/>
                <w:i/>
                <w:iCs/>
                <w:color w:val="000000"/>
                <w:position w:val="-3"/>
                <w:sz w:val="22"/>
                <w:szCs w:val="22"/>
              </w:rPr>
              <w:t xml:space="preserve">Rhynchophorus depressus</w:t>
            </w:r>
            <w:r>
              <w:rPr>
                <w:rFonts w:ascii="Calibri" w:hAnsi="Calibri" w:eastAsia="Calibri" w:cs="Calibri"/>
                <w:color w:val="000000"/>
                <w:position w:val="-3"/>
                <w:sz w:val="22"/>
                <w:szCs w:val="22"/>
              </w:rPr>
              <w:t xml:space="preserve"> Chevrolet, </w:t>
            </w:r>
            <w:r>
              <w:rPr>
                <w:rFonts w:ascii="Calibri" w:hAnsi="Calibri" w:eastAsia="Calibri" w:cs="Calibri"/>
                <w:i/>
                <w:iCs/>
                <w:color w:val="000000"/>
                <w:position w:val="-3"/>
                <w:sz w:val="22"/>
                <w:szCs w:val="22"/>
              </w:rPr>
              <w:t xml:space="preserve">Rhynchophorus languinosus</w:t>
            </w:r>
            <w:r>
              <w:rPr>
                <w:rFonts w:ascii="Calibri" w:hAnsi="Calibri" w:eastAsia="Calibri" w:cs="Calibri"/>
                <w:color w:val="000000"/>
                <w:position w:val="-3"/>
                <w:sz w:val="22"/>
                <w:szCs w:val="22"/>
              </w:rPr>
              <w:t xml:space="preserve"> Chevrolet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palm weevil, giant palm weevil, palm marrow weevil, palm marrow weevil, palm weevil</w:t>
            </w:r>
            <w:hyperlink r:id="rId4797692b6c80d54c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832692b6c80d552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RHYCPA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1077795" name="name2022692b6c80d6231" descr="11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03.jpg"/>
                          <pic:cNvPicPr/>
                        </pic:nvPicPr>
                        <pic:blipFill>
                          <a:blip r:embed="rId7837692b6c80d622f" cstate="print"/>
                          <a:stretch>
                            <a:fillRect/>
                          </a:stretch>
                        </pic:blipFill>
                        <pic:spPr>
                          <a:xfrm>
                            <a:off x="0" y="0"/>
                            <a:ext cx="2160000" cy="1281600"/>
                          </a:xfrm>
                          <a:prstGeom prst="rect">
                            <a:avLst/>
                          </a:prstGeom>
                          <a:ln w="0">
                            <a:noFill/>
                          </a:ln>
                        </pic:spPr>
                      </pic:pic>
                    </a:graphicData>
                  </a:graphic>
                </wp:inline>
              </w:drawing>
            </w:r>
            <w:hyperlink r:id="rId6216692b6c80d636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has been reported on at least 35 plant species in at least 12 different families. However, it is primarily found in association with palms (Arecaceae) (Esser &amp; Meredith, 1987; Grifﬁth, 1987; Wattanapongsiri, 1966; Jaffé &amp; Sánchez, 1990; Sánchez &amp; Cerda, 1993). With respect to palms,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commonly reported as a pest. It has also been observed reproducing on sugarcane stems, a non-palm host, (Arango &amp; Rizo, 1977; Restrepo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Feeding damage by larvae to the apical meristematic region (i.e. the palm heart) causes palm mortality (Milosavljević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When reported on other plants,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adults were observed feeding on ripe fruit. This type of feeding on fruit by adult weevils is typically not a source of significant economic damage.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Breeding hosts:</w:t>
      </w:r>
      <w:r>
        <w:rPr>
          <w:rFonts w:ascii="Calibri" w:hAnsi="Calibri" w:eastAsia="Calibri" w:cs="Calibri"/>
          <w:i/>
          <w:iCs/>
          <w:color w:val="000000"/>
          <w:sz w:val="22"/>
          <w:szCs w:val="22"/>
        </w:rPr>
        <w:t xml:space="preserve"> R. palmarum</w:t>
      </w:r>
      <w:r>
        <w:rPr>
          <w:rFonts w:ascii="Calibri" w:hAnsi="Calibri" w:eastAsia="Calibri" w:cs="Calibri"/>
          <w:color w:val="000000"/>
          <w:sz w:val="22"/>
          <w:szCs w:val="22"/>
        </w:rPr>
        <w:t xml:space="preserve"> breeding is primarily restricted to palms (Arecaceae) and known hosts include: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(Guadalupe palm),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(coconut), </w:t>
      </w:r>
      <w:r>
        <w:rPr>
          <w:rFonts w:ascii="Calibri" w:hAnsi="Calibri" w:eastAsia="Calibri" w:cs="Calibri"/>
          <w:i/>
          <w:iCs/>
          <w:color w:val="000000"/>
          <w:sz w:val="22"/>
          <w:szCs w:val="22"/>
        </w:rPr>
        <w:t xml:space="preserve">Dypsis lutescens</w:t>
      </w:r>
      <w:r>
        <w:rPr>
          <w:rFonts w:ascii="Calibri" w:hAnsi="Calibri" w:eastAsia="Calibri" w:cs="Calibri"/>
          <w:color w:val="000000"/>
          <w:sz w:val="22"/>
          <w:szCs w:val="22"/>
        </w:rPr>
        <w:t xml:space="preserve"> (golden cane palm),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(African oil palm), </w:t>
      </w:r>
      <w:r>
        <w:rPr>
          <w:rFonts w:ascii="Calibri" w:hAnsi="Calibri" w:eastAsia="Calibri" w:cs="Calibri"/>
          <w:i/>
          <w:iCs/>
          <w:color w:val="000000"/>
          <w:sz w:val="22"/>
          <w:szCs w:val="22"/>
        </w:rPr>
        <w:t xml:space="preserve">Euterpe edulis</w:t>
      </w:r>
      <w:r>
        <w:rPr>
          <w:rFonts w:ascii="Calibri" w:hAnsi="Calibri" w:eastAsia="Calibri" w:cs="Calibri"/>
          <w:color w:val="000000"/>
          <w:sz w:val="22"/>
          <w:szCs w:val="22"/>
        </w:rPr>
        <w:t xml:space="preserve"> (juçara, grown for hearts of palm),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(cabbage tree palm), </w:t>
      </w:r>
      <w:r>
        <w:rPr>
          <w:rFonts w:ascii="Calibri" w:hAnsi="Calibri" w:eastAsia="Calibri" w:cs="Calibri"/>
          <w:i/>
          <w:iCs/>
          <w:color w:val="000000"/>
          <w:sz w:val="22"/>
          <w:szCs w:val="22"/>
        </w:rPr>
        <w:t xml:space="preserve">Metroxylon sagu</w:t>
      </w:r>
      <w:r>
        <w:rPr>
          <w:rFonts w:ascii="Calibri" w:hAnsi="Calibri" w:eastAsia="Calibri" w:cs="Calibri"/>
          <w:color w:val="000000"/>
          <w:sz w:val="22"/>
          <w:szCs w:val="22"/>
        </w:rPr>
        <w:t xml:space="preserve"> (true sago palm),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(Canary Islands date palm),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(edible date palm), and </w:t>
      </w:r>
      <w:r>
        <w:rPr>
          <w:rFonts w:ascii="Calibri" w:hAnsi="Calibri" w:eastAsia="Calibri" w:cs="Calibri"/>
          <w:i/>
          <w:iCs/>
          <w:color w:val="000000"/>
          <w:sz w:val="22"/>
          <w:szCs w:val="22"/>
        </w:rPr>
        <w:t xml:space="preserve">Washingtonia robusta</w:t>
      </w:r>
      <w:r>
        <w:rPr>
          <w:rFonts w:ascii="Calibri" w:hAnsi="Calibri" w:eastAsia="Calibri" w:cs="Calibri"/>
          <w:color w:val="000000"/>
          <w:sz w:val="22"/>
          <w:szCs w:val="22"/>
        </w:rPr>
        <w:t xml:space="preserve"> (Mexican fan palm). A notable non-palm host used for reproduction is </w:t>
      </w:r>
      <w:r>
        <w:rPr>
          <w:rFonts w:ascii="Calibri" w:hAnsi="Calibri" w:eastAsia="Calibri" w:cs="Calibri"/>
          <w:i/>
          <w:iCs/>
          <w:color w:val="000000"/>
          <w:sz w:val="22"/>
          <w:szCs w:val="22"/>
        </w:rPr>
        <w:t xml:space="preserve">Saccharum ofﬁcinarum</w:t>
      </w:r>
      <w:r>
        <w:rPr>
          <w:rFonts w:ascii="Calibri" w:hAnsi="Calibri" w:eastAsia="Calibri" w:cs="Calibri"/>
          <w:color w:val="000000"/>
          <w:sz w:val="22"/>
          <w:szCs w:val="22"/>
        </w:rPr>
        <w:t xml:space="preserve"> (sugarcane [Poaceae]).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 food hosts:</w:t>
      </w:r>
      <w:r>
        <w:rPr>
          <w:rFonts w:ascii="Calibri" w:hAnsi="Calibri" w:eastAsia="Calibri" w:cs="Calibri"/>
          <w:color w:val="000000"/>
          <w:sz w:val="22"/>
          <w:szCs w:val="22"/>
        </w:rPr>
        <w:t xml:space="preserve">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feed on a variety of ripe fruit, including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[Lauraceae]), banana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[Musaceae]),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(Rutaceae), cocoa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[Malvaceae]), guava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[Myrtaceae]),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[Anacardiaceae]), and papaya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[Caricaceae]). These hosts are not used for reproduction instead the fruit provide nutrition and energy to adult weevils.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can be kept alive in laboratory colonies for several months on a diet of cut apple pieces and banana chunks that have the skin left on. Adult weevils will burrow into the banana pulp to hide and feed.</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Artificial diets and laboratory rearing:</w:t>
      </w:r>
      <w:r>
        <w:rPr>
          <w:rFonts w:ascii="Calibri" w:hAnsi="Calibri" w:eastAsia="Calibri" w:cs="Calibri"/>
          <w:color w:val="000000"/>
          <w:sz w:val="22"/>
          <w:szCs w:val="22"/>
        </w:rPr>
        <w:t xml:space="preserve"> Rearing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eggs and larvae for use in laboratory bioassays is possible with the use of artificial diets (Santana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mixed diet of sugarcane and pineapple has been used to artificially rear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(Giblin-Davis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Acrocomia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cohune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maripa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Bactris gasipaes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Bactris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decaryi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Euterpe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Euterpe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Gynerium sagittatum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lagenicaulis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Manicaria saccifera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Mauritia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Metroxylon sagu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Oenocarpus bataua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Rhapis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bermudana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coronata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orinocensis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schizophylla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vagans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includes tropical parts of Mexico (e.g. Veracruz), Central (e.g. Costa Rica) and South America (e.g. Brazil and Colombia), and the Caribbean (e.g. Trinidad and Tobago). Despite the tropical distribution of this pest it has managed to invade distinctly non-tropical climates, most notably, southern California, USA. Invasion of arid semi-desert regions has been facilitated by human modification of the landscape. This modification includes irrigation of areas that are normally dry and the planting of a wide diversity and high density of palm species in urban areas where they do not naturally exist. In some instances, such as the desert-like Coachella Valley in California, commercial plantations of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may provide a suitable habitat for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should it reach this area.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Invasion and establishment in California USA</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detection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infesting </w:t>
      </w:r>
      <w:r>
        <w:rPr>
          <w:rFonts w:ascii="Calibri" w:hAnsi="Calibri" w:eastAsia="Calibri" w:cs="Calibri"/>
          <w:i/>
          <w:iCs/>
          <w:color w:val="000000"/>
          <w:sz w:val="22"/>
          <w:szCs w:val="22"/>
        </w:rPr>
        <w:t xml:space="preserve">W. robusta</w:t>
      </w:r>
      <w:r>
        <w:rPr>
          <w:rFonts w:ascii="Calibri" w:hAnsi="Calibri" w:eastAsia="Calibri" w:cs="Calibri"/>
          <w:color w:val="000000"/>
          <w:sz w:val="22"/>
          <w:szCs w:val="22"/>
        </w:rPr>
        <w:t xml:space="preserve"> in Todos los Santos in Baja California Sur (Mexico) in November 2000 (Garcia-Hernandez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this pest was found in December 2010, infesting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Tijuana, Baja California Norte, Mexico approximately 1,500 km north of Todos los Santos, and less than 3 km from the US border with San Diego County California. In the USA,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were trapped in San Ysidro, California (approximately 5 km north of Tijuana) in May 2011; Alamo, Texas in March and May 2012; and Yuma, Arizona in May 2015. Established populations in San Ysidro were confirmed in 2015 (it is likely that populations had established earlier, perhaps in 2013-2014) and weevils have now established throughout large areas of San Diego County where they have killed thousands of ornamental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urban areas and naturalized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riparian areas. As of July 2020, there were no reports of established populations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Arizona and Texas or palm mortality caused by this weevil. Locations of potential source populations for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trapped in Arizona and Texas were not identified. </w:t>
      </w:r>
      <w:r>
        <w:rPr>
          <w:rFonts w:ascii="Calibri" w:hAnsi="Calibri" w:eastAsia="Calibri" w:cs="Calibri"/>
          <w:i/>
          <w:iCs/>
          <w:color w:val="000000"/>
          <w:sz w:val="22"/>
          <w:szCs w:val="22"/>
        </w:rPr>
        <w:t xml:space="preserve">Bursaphelenchus cocophilus</w:t>
      </w:r>
      <w:r>
        <w:rPr>
          <w:rFonts w:ascii="Calibri" w:hAnsi="Calibri" w:eastAsia="Calibri" w:cs="Calibri"/>
          <w:color w:val="000000"/>
          <w:sz w:val="22"/>
          <w:szCs w:val="22"/>
        </w:rPr>
        <w:t xml:space="preserve">, the red ring nematode, has not been detected in association with weevils captured in California, Texas, and Arizona.</w:t>
      </w:r>
    </w:p>
    <w:p>
      <w:r>
        <w:drawing>
          <wp:inline distT="0" distB="0" distL="0" distR="0">
            <wp:extent cx="6120000" cy="3067200"/>
            <wp:docPr id="91271674" name="name8164692b6c80d94cf" descr="RHYC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YCPA_distribution_map.jpg"/>
                    <pic:cNvPicPr/>
                  </pic:nvPicPr>
                  <pic:blipFill>
                    <a:blip r:embed="rId6425692b6c80d94c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Belize, Costa Rica, Cuba, Dominica, Dominican Republic, El Salvador, Grenada, Guadeloupe, Guatemala, Haiti, Honduras, Martinique, Nicaragua, Panama, Puerto Rico, Saint Lucia,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Amazonas, Bahia, Ceara, Distrito Federal, Maranhao, Mato Grosso, Mato Grosso do Sul, Minas Gerais, Para, Paraiba, Parana, Pernambuco, Piaui, Rio de Janeiro, Rio Grande do Norte, Rio Grande do Sul, Roraima, Sao Paulo, Sergipe), Colombia, Ecuador, French Guiana, Guyana,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Life cycle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commonly found in urban areas, forests, and oil palm plantations. In invaded regions in southern California,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largely restricted to urban areas where it attacks ornamental palms (e.g.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and to a lesser extent, </w:t>
      </w:r>
      <w:r>
        <w:rPr>
          <w:rFonts w:ascii="Calibri" w:hAnsi="Calibri" w:eastAsia="Calibri" w:cs="Calibri"/>
          <w:i/>
          <w:iCs/>
          <w:color w:val="000000"/>
          <w:sz w:val="22"/>
          <w:szCs w:val="22"/>
        </w:rPr>
        <w:t xml:space="preserve">B. edulis</w:t>
      </w:r>
      <w:r>
        <w:rPr>
          <w:rFonts w:ascii="Calibri" w:hAnsi="Calibri" w:eastAsia="Calibri" w:cs="Calibri"/>
          <w:color w:val="000000"/>
          <w:sz w:val="22"/>
          <w:szCs w:val="22"/>
        </w:rPr>
        <w:t xml:space="preserve">). In the native range, the altitudinal range is from sea level up to 1200 m (Jaffé &amp; Sánchez, 1990). Studies on the biology of this species are reported in Wilson (1963), Nadarajan (1988),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Hagley (1965). The larvae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feed exclusively on live palm tissue in the meristematic region. Under laboratory conditions (20–35°C and 62–92% relative humidity), a female may lay an average of 245 ± 155 eggs during a period of 30.7 ± 14.3 days. The egg incubation period is 3.2 ± 0.93 days and larvae have between six and 10 instars which develop over a period of 52.0 ± 10.0 days. The prepupal stage lasts 4–17 days, during which larvae make cocoons using palm ﬁbres. The pupal stage lasts 8–23 days and adults remain in cocoons for 7.8 ± 3.4 days before emerging. Adult males live for 44.7 ± 17.2 days and females for 40.7 ± 15.5 days. Hagley (1965) reported that a single female may lay up to 718 eggs, whereas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reported a maximal oviposition of 697 eggs. Nadarajan (1988) and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studied the biology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using artiﬁcial diets, and reported on mating and oviposition behavior observed in the laboratory. </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can bore into palms with the rostrum to make oviposition holes. Females may also exploit damage wounds (e.g. pruning wounds or holes made by feeding insects) near or on the internodal area of the palm trunk next to the crown for oviposition. Eggs are oviposited into these holes. The egg rests in a vertical position in the hole which is sealed by the female with a secretion.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active during the day showing a bimodal daily activity cycle. Hagley (1965) reported major activity peaks between 07:00 and 11:00, and 17:00 and 19:00. Sánchez &amp; Jaffé (1993) observed flight activity in the field, confirming the nature of the activity cycle, in which adults fly during the day, but avoid the hottest hours at noon and the early afternoon. Field observations showed that adults may fly at velocities of up to 6.01 m 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(Hagley, 1965). Studies on the population dynamics of this species in Central America are reported by Chinchilla (1988), showing that the maximum adult population occurs during the dry season. Similar results were obtained by Schuiling &amp; Van Dinther (1981) in Brazil.</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Vector of red ring nematode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threat caused by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amplified by its ability to acquire and vector a plant pathogenic nematode, </w:t>
      </w:r>
      <w:r>
        <w:rPr>
          <w:rFonts w:ascii="Calibri" w:hAnsi="Calibri" w:eastAsia="Calibri" w:cs="Calibri"/>
          <w:i/>
          <w:iCs/>
          <w:color w:val="000000"/>
          <w:sz w:val="22"/>
          <w:szCs w:val="22"/>
        </w:rPr>
        <w:t xml:space="preserve">Bursaphelenchus cocophilus</w:t>
      </w:r>
      <w:r>
        <w:rPr>
          <w:rFonts w:ascii="Calibri" w:hAnsi="Calibri" w:eastAsia="Calibri" w:cs="Calibri"/>
          <w:color w:val="000000"/>
          <w:sz w:val="22"/>
          <w:szCs w:val="22"/>
        </w:rPr>
        <w:t xml:space="preserve">, the causative agent of red ring disease which is lethal to palms (Griffith 1987; Gerber and Giblin-Davis 1990; Oehlschlager 2016). Nematodes may be phoretic and attached to outside of the weevil or they can be introduced into palms by adults when feeding or defecating. No other species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vector plant pathogenic nematodes. Up to 90% of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collected from palms with red ring disease are infected with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(Gerber and Giblin-Davis, 1990) and nematode infections in coconut and oil palms in the neotropics result in annual losses of 10-15% from red ring disease (Giblin-Davis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is not vector-specific and can be spread by other species of weevils (e.g. </w:t>
      </w:r>
      <w:r>
        <w:rPr>
          <w:rFonts w:ascii="Calibri" w:hAnsi="Calibri" w:eastAsia="Calibri" w:cs="Calibri"/>
          <w:i/>
          <w:iCs/>
          <w:color w:val="000000"/>
          <w:sz w:val="22"/>
          <w:szCs w:val="22"/>
        </w:rPr>
        <w:t xml:space="preserve">Dynamis borassi</w:t>
      </w:r>
      <w:r>
        <w:rPr>
          <w:rFonts w:ascii="Calibri" w:hAnsi="Calibri" w:eastAsia="Calibri" w:cs="Calibri"/>
          <w:color w:val="000000"/>
          <w:sz w:val="22"/>
          <w:szCs w:val="22"/>
        </w:rPr>
        <w:t xml:space="preserve">) making it likely that other species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(e.g. the highly invasive red palm weevil,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could acquire and vector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should they become sympatric (Giblin-Davis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Weevil larvae feed in the palm crown which can kill the apical growing region. This feeding causes the central area of the crown to tilt then collapse, as this is happening fronds from this central region begin to fall from infested palms. This results in a halo of dying mature fronds encircling the top of the palm trunk. Basal sheaths that are found at the bottom of fronds are often perforated with large holes when weevil infestations are heavy. With respect to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the basal areas of dropped fronds can be heavily tunneled, and often pupal cases can be found tightly wedged into tunnels. When infestations are especially heavy, pupal cases may drop from palms and can be readily found on the ground under infested palms. In parts of the native range, </w:t>
      </w:r>
      <w:r>
        <w:rPr>
          <w:rFonts w:ascii="Calibri" w:hAnsi="Calibri" w:eastAsia="Calibri" w:cs="Calibri"/>
          <w:i/>
          <w:iCs/>
          <w:color w:val="000000"/>
          <w:sz w:val="22"/>
          <w:szCs w:val="22"/>
        </w:rPr>
        <w:t xml:space="preserve">Dynamis borassi</w:t>
      </w:r>
      <w:r>
        <w:rPr>
          <w:rFonts w:ascii="Calibri" w:hAnsi="Calibri" w:eastAsia="Calibri" w:cs="Calibri"/>
          <w:color w:val="000000"/>
          <w:sz w:val="22"/>
          <w:szCs w:val="22"/>
        </w:rPr>
        <w:t xml:space="preserve">, a sympatric and morphologically similar looking weevil, may cause similar damage (Jaffé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Chinchilla &amp; Öhlschlager, 1992, 1993; Sánchez &amp; Jaffé, 1993).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morphology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eggs, larvae, pupae, and adults are described by Wattanapongsiri (1966). A summary is provided below.</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1–2 mm in length and are laid inside soft plant tissue, near the apical area of the palm. Females seal oviposition wounds with a waxy secretion presumably to protect eggs. Eggs are white and oblong in shape when recently laid. As eggs mature they may exhibit undulatory movements as larvae prepare to emerge. Around this time larvae can be seen through the egg chorion.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are legless and creamy white, they may reach 5–6 cm in length prior to pupation. Larvae are cannibalistic and possess sclerotized mouth parts with strong mandibles. Their body is slightly curved ventrally. Prepupal larvae become darker and migrate from feeding sites to areas (e.g. base of the palm frond) where they will excavate a pupal chamber within which the fibrous pupal cocoon is spun.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exarate and light brown. The abdomen continuously makes undulatory movements when disturbed. Pupae inhabit a cylindrical-ovoid cocoon that is built with strongly entwined palms fibres. The fibrous cocoon is approximately 7 cm long and 3–4 cm in diameter.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R. palmarum </w:t>
      </w:r>
      <w:r>
        <w:rPr>
          <w:rFonts w:ascii="Calibri" w:hAnsi="Calibri" w:eastAsia="Calibri" w:cs="Calibri"/>
          <w:color w:val="000000"/>
          <w:sz w:val="22"/>
          <w:szCs w:val="22"/>
        </w:rPr>
        <w:t xml:space="preserve">are typically black. However, a small proportion of the population may exhibit orange and black markings that are very similar in appearance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(Löhr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Adults are large, measuring 4–5 cm in length and are approximately 1.4 cm wide, weighing 1.6–2 g. The head is small with a characteristic long, ventrally curved rostrum. Adults show sexual dimorphism; males have a conspicuous batch of hairs on the antero-central dorsal region of the rostrum. Females lack rostral setae.</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morphological identification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described in the EPPO diagnostic protocol </w:t>
      </w:r>
      <w:r>
        <w:rPr>
          <w:rFonts w:ascii="Calibri" w:hAnsi="Calibri" w:eastAsia="Calibri" w:cs="Calibri"/>
          <w:i/>
          <w:iCs/>
          <w:color w:val="000000"/>
          <w:sz w:val="22"/>
          <w:szCs w:val="22"/>
        </w:rPr>
        <w:t xml:space="preserve">for Rhynchophorus ferrugineus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Rhynchophorus palmarum</w:t>
      </w:r>
      <w:r>
        <w:rPr>
          <w:rFonts w:ascii="Calibri" w:hAnsi="Calibri" w:eastAsia="Calibri" w:cs="Calibri"/>
          <w:color w:val="000000"/>
          <w:sz w:val="22"/>
          <w:szCs w:val="22"/>
        </w:rPr>
        <w:t xml:space="preserve"> (EPPO, 2007). Use of computer based tools (e.g. online keys, digital cameras attached to microscopes) and internet connectivity to access data bases, images, and experts via screen and image sharing software can aid in the rapid identification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spp. (Giblin-Davis and Roda,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of weevil infestations within palms is extremely difficult and often infestations are only confirmed once damage becomes visually obvious. Some early detection methods have explored the use of molecular and biochemical markers that palms or weevils produce as a result of attack. Another approach has been to use sensitive electronic equipment to ‘listen’ for acoustic signatures that typify weevil feeding. Changes in infrared spectral qualities of palms have also been assessed for diagnostic potential. Overall, early detection techniques have not been developed to a point where they are sufficiently accurate, cost effective, or easy and fast to use enabling the examination of many tens or hundreds of palms a day. Visual inspections for weevil infestations of small palms in containers is possible, but this approach is difficult for tall palms. Visual inspections of tall mature palms with binoculars can be done and drones flying over and around palms can provide high resolution images of the crown region for examination. However, accurately assigning the cause of frond damage (e.g. clipped ends of expanding fronds or notches) can be difficult as feeding damage by rats, for example, to immature fronds prior to expansion, can produce damage similar to that caused by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can be accidentally spread over long distances through the movement of infested palms for planting into new areas. Adult weevils are capable of localized short distance flights and long distance flight may be possible. Flight mill studies in the laboratory suggest that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 strong flyer. The average distance flown by males and females over a 24 hr period is approximately 41 km and 53 km, respectively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these flight mill studies, approximately 10% of females flew &gt; 100 km in 24 h, with two (~4%) females flying &gt; 140 km. The maximum recorded distance flown by a male weevil was 95 km. Flight activity was predominantly diurnal and flying weevils exhibited an average weight loss of approximately 18% over a 24 hr period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It is unknown if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undertakes long distance flights in nature. However, flight mill data suggest strongly that they are capable of flying long distances. This possibility should be carefully considered when establishing quarantine boundaries or setting up detection and monitoring programs.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recognized as a serious pest of oil palms, coconuts, and ornamental palms. Countries reporting significant damage in oil palm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plantations include Central America (Costa Rica), Colombia, Venezuela and Brazil. (Grifﬁth, 1968, 1970; Dean, 1979; Fenwick, 1967; Sánchez &amp; Cerda, 1993). In Veracruz (Mexico),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 pest of ornamental palms (Landero-Torres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Economic tolerance for damage depends on the palm species and on the number of larvae infesting the plant. Fenwick (1967) and Grifﬁth (1968) reported that as few as 30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larvae are sufficient to cause the death of a mature coconut palm.</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direct damage,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causes indirect damage by vectoring red ring nematode,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was first suspected to vector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 nematode responsible for heavy losses in coconut plantations, in the early 1900s (Cobb, 1922). It is now well established that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the principal vector of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and that reduction in weevil population densities is key to lower nematode infestation. Coconut palms 3–10 years of age die during the ﬁrst 2 months after inoculation with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(Grifﬁth, 1987). Thurston (1984) and Brathwaite &amp; Siddiqi (1975) reported that infected plants take 23–28 days to show the symptoms of red ring disease, and typically die 3–4 months after showing the first symptoms. Esser &amp; Meredith (1987) estimated that several million USD are lost annually due to the association of red ring disease and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They estimated that 800 ha of coconut plantations were abandoned in 1923 due to this disease, and that in Grenada 22% of the coconut palms had red ring disease.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undoubtedly a plant pest, in South America, it can provide some benefits to human communities by being used as a source of food or for traditional medicine. In parts of Amazonia,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larvae are cultivated and marketed by indigenous groups (Choo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Delgado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Sancho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Trapping programs</w:t>
      </w:r>
    </w:p>
    <w:p>
      <w:pPr>
        <w:widowControl w:val="on"/>
        <w:pBdr/>
        <w:spacing w:before="220" w:after="220" w:line="240" w:lineRule="auto"/>
        <w:ind w:left="0" w:right="0"/>
        <w:jc w:val="both"/>
      </w:pPr>
      <w:r>
        <w:rPr>
          <w:rFonts w:ascii="Calibri" w:hAnsi="Calibri" w:eastAsia="Calibri" w:cs="Calibri"/>
          <w:color w:val="000000"/>
          <w:sz w:val="22"/>
          <w:szCs w:val="22"/>
        </w:rPr>
        <w:t xml:space="preserve">Trapping programs utilize traps (e.g. bucket traps or cone shaped Picusan traps) loaded with commercially-available aggregation pheromone and baited with fermenting bait (e.g. sugarcane, dates and water, or pineapple chunks in syrup). The male produced aggregation has been identified as 2(E)-6-methyl-2-hepten-4-ol, (commonly known as rhynchophorol) (Rochat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1991a,b; Öhlschlager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1992a,b). Addition of ethyl acetate to traps loaded with pheromone and bait synergizes attractiveness (Jaffé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Recent studies by Milosavljević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demonstrated that ground deployed Picusan traps are 5 times more effective at catching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than bucket traps that are suspended 1.5 m above the ground or placed on the ground. The design of the Picusan trap is significantly more effective at retaining weevils that enter this trap. The attractiveness of fermenting bait can be enhanced by the addition of yeast. Field trials demonstrated that baker’s yeast, </w:t>
      </w:r>
      <w:r>
        <w:rPr>
          <w:rFonts w:ascii="Calibri" w:hAnsi="Calibri" w:eastAsia="Calibri" w:cs="Calibri"/>
          <w:i/>
          <w:iCs/>
          <w:color w:val="000000"/>
          <w:sz w:val="22"/>
          <w:szCs w:val="22"/>
        </w:rPr>
        <w:t xml:space="preserve">Saccharomyces cerevisiae</w:t>
      </w:r>
      <w:r>
        <w:rPr>
          <w:rFonts w:ascii="Calibri" w:hAnsi="Calibri" w:eastAsia="Calibri" w:cs="Calibri"/>
          <w:color w:val="000000"/>
          <w:sz w:val="22"/>
          <w:szCs w:val="22"/>
        </w:rPr>
        <w:t xml:space="preserve">, added to dates and water produced volatiles that were more attractive than those produced by </w:t>
      </w:r>
      <w:r>
        <w:rPr>
          <w:rFonts w:ascii="Calibri" w:hAnsi="Calibri" w:eastAsia="Calibri" w:cs="Calibri"/>
          <w:i/>
          <w:iCs/>
          <w:color w:val="000000"/>
          <w:sz w:val="22"/>
          <w:szCs w:val="22"/>
        </w:rPr>
        <w:t xml:space="preserve">S. bayanus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pastorianus</w:t>
      </w:r>
      <w:r>
        <w:rPr>
          <w:rFonts w:ascii="Calibri" w:hAnsi="Calibri" w:eastAsia="Calibri" w:cs="Calibri"/>
          <w:color w:val="000000"/>
          <w:sz w:val="22"/>
          <w:szCs w:val="22"/>
        </w:rPr>
        <w:t xml:space="preserve">. However, the additional cost of yeast to boost bait fermentation may not be warranted. Weevil captures were statistically similar between traps baited with: (1) dates and water, and (2) dates, water, and </w:t>
      </w:r>
      <w:r>
        <w:rPr>
          <w:rFonts w:ascii="Calibri" w:hAnsi="Calibri" w:eastAsia="Calibri" w:cs="Calibri"/>
          <w:i/>
          <w:iCs/>
          <w:color w:val="000000"/>
          <w:sz w:val="22"/>
          <w:szCs w:val="22"/>
        </w:rPr>
        <w:t xml:space="preserve">S. cerevisiae</w:t>
      </w:r>
      <w:r>
        <w:rPr>
          <w:rFonts w:ascii="Calibri" w:hAnsi="Calibri" w:eastAsia="Calibri" w:cs="Calibri"/>
          <w:color w:val="000000"/>
          <w:sz w:val="22"/>
          <w:szCs w:val="22"/>
        </w:rPr>
        <w:t xml:space="preserve">. Traps with dates, water and </w:t>
      </w:r>
      <w:r>
        <w:rPr>
          <w:rFonts w:ascii="Calibri" w:hAnsi="Calibri" w:eastAsia="Calibri" w:cs="Calibri"/>
          <w:i/>
          <w:iCs/>
          <w:color w:val="000000"/>
          <w:sz w:val="22"/>
          <w:szCs w:val="22"/>
        </w:rPr>
        <w:t xml:space="preserve">S. bayanus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S. pastorianus</w:t>
      </w:r>
      <w:r>
        <w:rPr>
          <w:rFonts w:ascii="Calibri" w:hAnsi="Calibri" w:eastAsia="Calibri" w:cs="Calibri"/>
          <w:color w:val="000000"/>
          <w:sz w:val="22"/>
          <w:szCs w:val="22"/>
        </w:rPr>
        <w:t xml:space="preserve"> caught significantly fewer weevils. Weevils attracted to traps can be killed by drowning through the addition of 50% propylene glycol solution. This is needed for bucket traps with holes that don’t prevent egress, but is probably unnecessary for Picusan traps as the funnel shaped ingress port effectively prevents egress after entry. </w:t>
      </w:r>
    </w:p>
    <w:p>
      <w:pPr>
        <w:widowControl w:val="on"/>
        <w:pBdr/>
        <w:spacing w:before="220" w:after="220" w:line="240" w:lineRule="auto"/>
        <w:ind w:left="0" w:right="0"/>
        <w:jc w:val="both"/>
      </w:pPr>
      <w:r>
        <w:rPr>
          <w:rFonts w:ascii="Calibri" w:hAnsi="Calibri" w:eastAsia="Calibri" w:cs="Calibri"/>
          <w:color w:val="000000"/>
          <w:sz w:val="22"/>
          <w:szCs w:val="22"/>
        </w:rPr>
        <w:t xml:space="preserve">Mass trapping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at 1 trap/5-ha significantly lowered the incidence of red ring nematode infection vectored by the weevil in commercial oil palm plantations in the Americas (Öhlschlager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Oehlschlager, 2016). With respect to ornamental palms in urban areas, trap placement with respect to palms of interest is a highly important consideration. If traps are placed too close to palms, weevils attracted to traps but not retained and killed in traps may attack nearby palms. If the goal of trapping is to detect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activity in the general vicinity of palms of concern, then traps could be deployed outside the immediate area of interest, perhaps approximately 1 km away. If weevils are captured at this distance from the palms of concern, it likely indicates there is probably a risk of weevil attack and steps should be promptly considered and implemented to protect those palms. </w:t>
      </w:r>
    </w:p>
    <w:p>
      <w:pPr>
        <w:widowControl w:val="on"/>
        <w:pBdr/>
        <w:spacing w:before="220" w:after="220" w:line="240" w:lineRule="auto"/>
        <w:ind w:left="0" w:right="0"/>
        <w:jc w:val="both"/>
      </w:pPr>
      <w:r>
        <w:rPr>
          <w:rFonts w:ascii="Calibri" w:hAnsi="Calibri" w:eastAsia="Calibri" w:cs="Calibri"/>
          <w:color w:val="000000"/>
          <w:sz w:val="22"/>
          <w:szCs w:val="22"/>
        </w:rPr>
        <w:t xml:space="preserve">Trap colour (i.e. white vs. black vs. yellow) does not significantly affect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capture rates (Oehlschlager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order to maximize trap efficacy, traps should be placed in areas with partial or full shade. Full sun exposure, especially during the hottest parts of the day, rapidly diminishes trap efficacy (Navarro-Llopis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Relatively little is known about the natural enemies associated with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its native range. However, one promising candidate is a parasitic fly, </w:t>
      </w:r>
      <w:r>
        <w:rPr>
          <w:rFonts w:ascii="Calibri" w:hAnsi="Calibri" w:eastAsia="Calibri" w:cs="Calibri"/>
          <w:i/>
          <w:iCs/>
          <w:color w:val="000000"/>
          <w:sz w:val="22"/>
          <w:szCs w:val="22"/>
        </w:rPr>
        <w:t xml:space="preserve">Billaea rhynchophorae</w:t>
      </w:r>
      <w:r>
        <w:rPr>
          <w:rFonts w:ascii="Calibri" w:hAnsi="Calibri" w:eastAsia="Calibri" w:cs="Calibri"/>
          <w:color w:val="000000"/>
          <w:sz w:val="22"/>
          <w:szCs w:val="22"/>
        </w:rPr>
        <w:t xml:space="preserve"> (Diptera: Tachinidae), from Brazil that is reported to attack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larvae and pupae (Moura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2006). Very little is known about the biology and ecology of this fly but its population-level impacts on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Brazilian oil palm plantations appear to be significant with year round parasitism averaging 50% (range: 32-74%) and each parasitized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pupa produces around 18 flies. Löhr (2013) provides a compelling argument for increased research into potential biocontrol agents attacking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the native range. </w:t>
      </w:r>
      <w:r>
        <w:rPr>
          <w:rFonts w:ascii="Calibri" w:hAnsi="Calibri" w:eastAsia="Calibri" w:cs="Calibri"/>
          <w:i/>
          <w:iCs/>
          <w:color w:val="000000"/>
          <w:sz w:val="22"/>
          <w:szCs w:val="22"/>
        </w:rPr>
        <w:t xml:space="preserve">Billaea</w:t>
      </w:r>
      <w:r>
        <w:rPr>
          <w:rFonts w:ascii="Calibri" w:hAnsi="Calibri" w:eastAsia="Calibri" w:cs="Calibri"/>
          <w:color w:val="000000"/>
          <w:sz w:val="22"/>
          <w:szCs w:val="22"/>
        </w:rPr>
        <w:t xml:space="preserve"> spp. are obvious candidates in need of detailed study.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Sanitation</w:t>
      </w:r>
    </w:p>
    <w:p>
      <w:pPr>
        <w:widowControl w:val="on"/>
        <w:pBdr/>
        <w:spacing w:before="220" w:after="220" w:line="240" w:lineRule="auto"/>
        <w:ind w:left="0" w:right="0"/>
        <w:jc w:val="both"/>
      </w:pPr>
      <w:r>
        <w:rPr>
          <w:rFonts w:ascii="Calibri" w:hAnsi="Calibri" w:eastAsia="Calibri" w:cs="Calibri"/>
          <w:color w:val="000000"/>
          <w:sz w:val="22"/>
          <w:szCs w:val="22"/>
        </w:rPr>
        <w:t xml:space="preserve">Removal and destruction of palms infested with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can be done by mechanically chipping or grinding infested fronds and removal and destruction of infested crowns either by burying 1.5 m underground or cutting with a chainsaw and then mechanically chipping or grinding into small pieces. Chipping or grinding will kill larvae, pupae, and adults, and this process helps desiccate eggs. Burning infested palm crowns is difficult and not recommended. Palm trunks with crowns removed can be left standing. It is unlikely that these will be used for breeding by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as the meristematic region, the preferred feeding site for larvae, is not available. Applications of contact insecticides to the tops of cut trunks that have had the crowns removed can be made. Insecticide residues will kill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attracted by wound volatiles.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Insecticidal control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difficult (Hagley, 1963). However, systemic insecticides applied as either trunk sprays or injections, soil injections or drenches, or as crown drenches are effective. If applied during the early stages of infestation, insecticides may be capable of ‘curing’ infested palms. A combination of systemic insecticides with different rates of movement in palms can be effective. A combination approach may use fast moving compounds that reach internal larval infestation sites first and slower moving compounds follow up to provide more persistent control. Systemic insecticides that have both insecticidal and nematicidal properties need evaluation as these types of products have the potential to provide protection against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Applications of contact insecticides to crown regions can provide some protection from adult weevils and can be used in combination with systemic insecticides. Cutting an observation ‘window’ into the crown may help with observations to determine treatment efficacy. ‘Windows’ are made by removing fronds at the base of the crown so access to the crown is possible. In extreme situations, all of the fronds can be removed from the crown region so that the top of the palm has a bulbous-looking appearance. Insecticide treatments can be applied to this ‘bulb’ and in the absence of fronds less insecticide is needed as there is reduced run off and applications are highly focused on the infested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IPM of R. palmarum</w:t>
      </w:r>
    </w:p>
    <w:p>
      <w:pPr>
        <w:widowControl w:val="on"/>
        <w:pBdr/>
        <w:spacing w:before="220" w:after="220" w:line="240" w:lineRule="auto"/>
        <w:ind w:left="0" w:right="0"/>
        <w:jc w:val="both"/>
      </w:pPr>
      <w:r>
        <w:rPr>
          <w:rFonts w:ascii="Calibri" w:hAnsi="Calibri" w:eastAsia="Calibri" w:cs="Calibri"/>
          <w:color w:val="000000"/>
          <w:sz w:val="22"/>
          <w:szCs w:val="22"/>
        </w:rPr>
        <w:t xml:space="preserve">IPM manuals outlining control programs for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Brazil (Moura, 2017) and Colombia (</w:t>
      </w:r>
      <w:hyperlink r:id="rId9293692b6c80da955" w:history="1">
        <w:r>
          <w:rPr>
            <w:rFonts w:ascii="Calibri" w:hAnsi="Calibri" w:eastAsia="Calibri" w:cs="Calibri"/>
            <w:color w:val="0000CC"/>
            <w:sz w:val="22"/>
            <w:szCs w:val="22"/>
            <w:u w:val="single"/>
          </w:rPr>
          <w:t xml:space="preserve">https://www.ica.gov.co/getattachment/19e016c0-0d14-4412-af12-03eecfe398f2/Manejo-del-picudo--Rhynchophorus-palmarum-L--(Cole.aspx</w:t>
        </w:r>
      </w:hyperlink>
      <w:r>
        <w:rPr>
          <w:rFonts w:ascii="Calibri" w:hAnsi="Calibri" w:eastAsia="Calibri" w:cs="Calibri"/>
          <w:color w:val="000000"/>
          <w:sz w:val="22"/>
          <w:szCs w:val="22"/>
        </w:rPr>
        <w:t xml:space="preserve">) are available.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presumably presents a significant risk to edible date palms in North Africa and the Middle East. This potential risk will be better understood should this weevil invade and establish in edible date growing regions of California (e.g. the Coachella Valley) and Arizona (e.g. the Bard Valley).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 serious problem afflicting ornamental palms, especially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California. It is highly likely to threaten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throughout the Mediterranean region and in the Canary Islands, the native range of this palm. The current problem with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 these areas would be greatly amplified if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invaded and carried with it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as it is likely that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would be able to vector this palm killing nematode.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could potentially be introduced into countries of the EPPO region through imported palms from infested areas.</w:t>
      </w: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was added in 2005 to the EPPO A1 list, and endangered EPPO member countries are thus recommended to regulate it as a quarantine pest. Imported plants for planting of palms should originate in a pest-free area or come from a pest-free place of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Arango G &amp; Rizo D (1977) [Some considerations on the behaviour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Metamasius hemipterus </w:t>
      </w:r>
      <w:r>
        <w:rPr>
          <w:rFonts w:ascii="Calibri" w:hAnsi="Calibri" w:eastAsia="Calibri" w:cs="Calibri"/>
          <w:color w:val="000000"/>
          <w:sz w:val="22"/>
          <w:szCs w:val="22"/>
        </w:rPr>
        <w:t xml:space="preserve">on sugarcane.] </w:t>
      </w:r>
      <w:r>
        <w:rPr>
          <w:rFonts w:ascii="Calibri" w:hAnsi="Calibri" w:eastAsia="Calibri" w:cs="Calibri"/>
          <w:i/>
          <w:iCs/>
          <w:color w:val="000000"/>
          <w:sz w:val="22"/>
          <w:szCs w:val="22"/>
        </w:rPr>
        <w:t xml:space="preserve">Revista Colombiana de Entomologia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23-28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Brathwaite C &amp; Siddiqi M (1975) Description of </w:t>
      </w:r>
      <w:r>
        <w:rPr>
          <w:rFonts w:ascii="Calibri" w:hAnsi="Calibri" w:eastAsia="Calibri" w:cs="Calibri"/>
          <w:i/>
          <w:iCs/>
          <w:color w:val="000000"/>
          <w:sz w:val="22"/>
          <w:szCs w:val="22"/>
        </w:rPr>
        <w:t xml:space="preserve">Rhadinaphelenchus cocophilus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Description of Plant-Parasitic Nematodes</w:t>
      </w:r>
      <w:r>
        <w:rPr>
          <w:rFonts w:ascii="Calibri" w:hAnsi="Calibri" w:eastAsia="Calibri" w:cs="Calibri"/>
          <w:color w:val="000000"/>
          <w:sz w:val="22"/>
          <w:szCs w:val="22"/>
        </w:rPr>
        <w:t xml:space="preserve">, no. 72.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Chinchilla C (1988) [The red ring/small leaf syndrome in oil palm and coconut.] </w:t>
      </w:r>
      <w:r>
        <w:rPr>
          <w:rFonts w:ascii="Calibri" w:hAnsi="Calibri" w:eastAsia="Calibri" w:cs="Calibri"/>
          <w:i/>
          <w:iCs/>
          <w:color w:val="000000"/>
          <w:sz w:val="22"/>
          <w:szCs w:val="22"/>
        </w:rPr>
        <w:t xml:space="preserve">Boletín Técnico Oil Palm Operations (Costa 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Chinchilla C &amp; Öhlschlager AC (1992) Captures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in traps baited with the male-produced aggregation pheromone. </w:t>
      </w:r>
      <w:r>
        <w:rPr>
          <w:rFonts w:ascii="Calibri" w:hAnsi="Calibri" w:eastAsia="Calibri" w:cs="Calibri"/>
          <w:i/>
          <w:iCs/>
          <w:color w:val="000000"/>
          <w:sz w:val="22"/>
          <w:szCs w:val="22"/>
        </w:rPr>
        <w:t xml:space="preserve">ASD Oil Palm Papers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Chinchilla C &amp; Öhlschlager AC (1993) [Traps for capture of adult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using the aggregation pheromone produced by the male.] </w:t>
      </w:r>
      <w:r>
        <w:rPr>
          <w:rFonts w:ascii="Calibri" w:hAnsi="Calibri" w:eastAsia="Calibri" w:cs="Calibri"/>
          <w:i/>
          <w:iCs/>
          <w:color w:val="000000"/>
          <w:sz w:val="22"/>
          <w:szCs w:val="22"/>
        </w:rPr>
        <w:t xml:space="preserve">Manejo Integrado de Plagas (Costa Rica) </w:t>
      </w:r>
      <w:r>
        <w:rPr>
          <w:rFonts w:ascii="Calibri" w:hAnsi="Calibri" w:eastAsia="Calibri" w:cs="Calibri"/>
          <w:color w:val="000000"/>
          <w:sz w:val="22"/>
          <w:szCs w:val="22"/>
        </w:rPr>
        <w:t xml:space="preserve">no. 29, 28-35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Choo J, Zent EL &amp; Simpson BB (2009) The importance of traditional ecological knowledge for palm-weevil cultivation in the Venezuelan Amazon. </w:t>
      </w:r>
      <w:r>
        <w:rPr>
          <w:rFonts w:ascii="Calibri" w:hAnsi="Calibri" w:eastAsia="Calibri" w:cs="Calibri"/>
          <w:i/>
          <w:iCs/>
          <w:color w:val="000000"/>
          <w:sz w:val="22"/>
          <w:szCs w:val="22"/>
        </w:rPr>
        <w:t xml:space="preserve">Journal of Ethnobiology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113-128.</w:t>
      </w:r>
    </w:p>
    <w:p>
      <w:pPr>
        <w:widowControl w:val="on"/>
        <w:pBdr/>
        <w:spacing w:before="220" w:after="220" w:line="240" w:lineRule="auto"/>
        <w:ind w:left="0" w:right="0"/>
        <w:jc w:val="left"/>
      </w:pPr>
      <w:r>
        <w:rPr>
          <w:rFonts w:ascii="Calibri" w:hAnsi="Calibri" w:eastAsia="Calibri" w:cs="Calibri"/>
          <w:color w:val="000000"/>
          <w:sz w:val="22"/>
          <w:szCs w:val="22"/>
        </w:rPr>
        <w:t xml:space="preserve">Cobb NA (1922) A note on the coconut nematode of Panama. </w:t>
      </w:r>
      <w:r>
        <w:rPr>
          <w:rFonts w:ascii="Calibri" w:hAnsi="Calibri" w:eastAsia="Calibri" w:cs="Calibri"/>
          <w:i/>
          <w:iCs/>
          <w:color w:val="000000"/>
          <w:sz w:val="22"/>
          <w:szCs w:val="22"/>
        </w:rPr>
        <w:t xml:space="preserve">Journal of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Dean C (1979) </w:t>
      </w:r>
      <w:r>
        <w:rPr>
          <w:rFonts w:ascii="Calibri" w:hAnsi="Calibri" w:eastAsia="Calibri" w:cs="Calibri"/>
          <w:i/>
          <w:iCs/>
          <w:color w:val="000000"/>
          <w:sz w:val="22"/>
          <w:szCs w:val="22"/>
        </w:rPr>
        <w:t xml:space="preserve">Red ring disease of </w:t>
      </w:r>
      <w:r>
        <w:rPr>
          <w:rFonts w:ascii="Calibri" w:hAnsi="Calibri" w:eastAsia="Calibri" w:cs="Calibri"/>
          <w:color w:val="000000"/>
          <w:sz w:val="22"/>
          <w:szCs w:val="22"/>
        </w:rPr>
        <w:t xml:space="preserve">Cocos nucifera </w:t>
      </w:r>
      <w:r>
        <w:rPr>
          <w:rFonts w:ascii="Calibri" w:hAnsi="Calibri" w:eastAsia="Calibri" w:cs="Calibri"/>
          <w:i/>
          <w:iCs/>
          <w:color w:val="000000"/>
          <w:sz w:val="22"/>
          <w:szCs w:val="22"/>
        </w:rPr>
        <w:t xml:space="preserve">caused by </w:t>
      </w:r>
      <w:r>
        <w:rPr>
          <w:rFonts w:ascii="Calibri" w:hAnsi="Calibri" w:eastAsia="Calibri" w:cs="Calibri"/>
          <w:color w:val="000000"/>
          <w:sz w:val="22"/>
          <w:szCs w:val="22"/>
        </w:rPr>
        <w:t xml:space="preserve">Rhadinaphelenchus cocophilus</w:t>
      </w:r>
      <w:r>
        <w:rPr>
          <w:rFonts w:ascii="Calibri" w:hAnsi="Calibri" w:eastAsia="Calibri" w:cs="Calibri"/>
          <w:i/>
          <w:iCs/>
          <w:color w:val="000000"/>
          <w:sz w:val="22"/>
          <w:szCs w:val="22"/>
        </w:rPr>
        <w:t xml:space="preserve">. An Annotated Bibliography and Review. </w:t>
      </w:r>
      <w:r>
        <w:rPr>
          <w:rFonts w:ascii="Calibri" w:hAnsi="Calibri" w:eastAsia="Calibri" w:cs="Calibri"/>
          <w:color w:val="000000"/>
          <w:sz w:val="22"/>
          <w:szCs w:val="22"/>
        </w:rPr>
        <w:t xml:space="preserve">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Delgado C, Romero R, Vásquez Espinoza R, Trigozo M, Correa R (2019)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used in traditional medicine in the Peruvian Amazon. </w:t>
      </w:r>
      <w:r>
        <w:rPr>
          <w:rFonts w:ascii="Calibri" w:hAnsi="Calibri" w:eastAsia="Calibri" w:cs="Calibri"/>
          <w:i/>
          <w:iCs/>
          <w:color w:val="000000"/>
          <w:sz w:val="22"/>
          <w:szCs w:val="22"/>
        </w:rPr>
        <w:t xml:space="preserve">Ethnobiology Letters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120–128.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7/83 Diagnostics.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palmarum.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571-579.</w:t>
      </w:r>
    </w:p>
    <w:p>
      <w:pPr>
        <w:widowControl w:val="on"/>
        <w:pBdr/>
        <w:spacing w:before="220" w:after="220" w:line="240" w:lineRule="auto"/>
        <w:ind w:left="0" w:right="0"/>
        <w:jc w:val="left"/>
      </w:pPr>
      <w:r>
        <w:rPr>
          <w:rFonts w:ascii="Calibri" w:hAnsi="Calibri" w:eastAsia="Calibri" w:cs="Calibri"/>
          <w:color w:val="000000"/>
          <w:sz w:val="22"/>
          <w:szCs w:val="22"/>
        </w:rPr>
        <w:t xml:space="preserve">Esser R &amp; Meredith J (1987) Red ring nematode. </w:t>
      </w:r>
      <w:r>
        <w:rPr>
          <w:rFonts w:ascii="Calibri" w:hAnsi="Calibri" w:eastAsia="Calibri" w:cs="Calibri"/>
          <w:i/>
          <w:iCs/>
          <w:color w:val="000000"/>
          <w:sz w:val="22"/>
          <w:szCs w:val="22"/>
        </w:rPr>
        <w:t xml:space="preserve">Nematology Circular of the Florida Department of Agriculture</w:t>
      </w:r>
      <w:r>
        <w:rPr>
          <w:rFonts w:ascii="Calibri" w:hAnsi="Calibri" w:eastAsia="Calibri" w:cs="Calibri"/>
          <w:color w:val="000000"/>
          <w:sz w:val="22"/>
          <w:szCs w:val="22"/>
        </w:rPr>
        <w:t xml:space="preserve"> no. 141, Gainesville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Fenwick D (1967) The effect of weevil control on the incidence of red ring disease. </w:t>
      </w:r>
      <w:r>
        <w:rPr>
          <w:rFonts w:ascii="Calibri" w:hAnsi="Calibri" w:eastAsia="Calibri" w:cs="Calibri"/>
          <w:i/>
          <w:iCs/>
          <w:color w:val="000000"/>
          <w:sz w:val="22"/>
          <w:szCs w:val="22"/>
        </w:rPr>
        <w:t xml:space="preserve">Journal of the Agricultural Society of Trinidad and Tobago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231-244.</w:t>
      </w:r>
    </w:p>
    <w:p>
      <w:pPr>
        <w:widowControl w:val="on"/>
        <w:pBdr/>
        <w:spacing w:before="220" w:after="220" w:line="240" w:lineRule="auto"/>
        <w:ind w:left="0" w:right="0"/>
        <w:jc w:val="left"/>
      </w:pPr>
      <w:r>
        <w:rPr>
          <w:rFonts w:ascii="Calibri" w:hAnsi="Calibri" w:eastAsia="Calibri" w:cs="Calibri"/>
          <w:color w:val="000000"/>
          <w:sz w:val="22"/>
          <w:szCs w:val="22"/>
        </w:rPr>
        <w:t xml:space="preserve">Garcia-Hernandez JL, Beltran-Morales F, Loya-Ramirez JG, Morales-Cota JR, Troyo-Diéguez E, Beltrán-Morales EF (2003) Primer informe del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Dryophthoridae) en Baja California Sur. </w:t>
      </w:r>
      <w:r>
        <w:rPr>
          <w:rFonts w:ascii="Calibri" w:hAnsi="Calibri" w:eastAsia="Calibri" w:cs="Calibri"/>
          <w:i/>
          <w:iCs/>
          <w:color w:val="000000"/>
          <w:sz w:val="22"/>
          <w:szCs w:val="22"/>
        </w:rPr>
        <w:t xml:space="preserve">Folia Entomológica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415-417.</w:t>
      </w:r>
    </w:p>
    <w:p>
      <w:pPr>
        <w:widowControl w:val="on"/>
        <w:pBdr/>
        <w:spacing w:before="220" w:after="220" w:line="240" w:lineRule="auto"/>
        <w:ind w:left="0" w:right="0"/>
        <w:jc w:val="left"/>
      </w:pPr>
      <w:r>
        <w:rPr>
          <w:rFonts w:ascii="Calibri" w:hAnsi="Calibri" w:eastAsia="Calibri" w:cs="Calibri"/>
          <w:color w:val="000000"/>
          <w:sz w:val="22"/>
          <w:szCs w:val="22"/>
        </w:rPr>
        <w:t xml:space="preserve">Gerber K &amp; Giblin-Davis RM (1990) Association of the red ring nematode and other nematode species with the palm weevil,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143-149.</w:t>
      </w:r>
    </w:p>
    <w:p>
      <w:pPr>
        <w:widowControl w:val="on"/>
        <w:pBdr/>
        <w:spacing w:before="220" w:after="220" w:line="240" w:lineRule="auto"/>
        <w:ind w:left="0" w:right="0"/>
        <w:jc w:val="left"/>
      </w:pPr>
      <w:r>
        <w:rPr>
          <w:rFonts w:ascii="Calibri" w:hAnsi="Calibri" w:eastAsia="Calibri" w:cs="Calibri"/>
          <w:color w:val="000000"/>
          <w:sz w:val="22"/>
          <w:szCs w:val="22"/>
        </w:rPr>
        <w:t xml:space="preserve">Giblin-Davis RM, Gerber K &amp; Griffith R (1991) Laboratory rearing of </w:t>
      </w:r>
      <w:r>
        <w:rPr>
          <w:rFonts w:ascii="Calibri" w:hAnsi="Calibri" w:eastAsia="Calibri" w:cs="Calibri"/>
          <w:i/>
          <w:iCs/>
          <w:color w:val="000000"/>
          <w:sz w:val="22"/>
          <w:szCs w:val="22"/>
        </w:rPr>
        <w:t xml:space="preserve">Rhynchophorus cruentatus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(3), 480-488.</w:t>
      </w:r>
    </w:p>
    <w:p>
      <w:pPr>
        <w:widowControl w:val="on"/>
        <w:pBdr/>
        <w:spacing w:before="220" w:after="220" w:line="240" w:lineRule="auto"/>
        <w:ind w:left="0" w:right="0"/>
        <w:jc w:val="left"/>
      </w:pPr>
      <w:r>
        <w:rPr>
          <w:rFonts w:ascii="Calibri" w:hAnsi="Calibri" w:eastAsia="Calibri" w:cs="Calibri"/>
          <w:color w:val="000000"/>
          <w:sz w:val="22"/>
          <w:szCs w:val="22"/>
        </w:rPr>
        <w:t xml:space="preserve">Giblin-Davis RM &amp; Roda AL (2013) Real time invasive pest identification training: a case study with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weevils.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(3), 741-745.</w:t>
      </w:r>
    </w:p>
    <w:p>
      <w:pPr>
        <w:widowControl w:val="on"/>
        <w:pBdr/>
        <w:spacing w:before="220" w:after="220" w:line="240" w:lineRule="auto"/>
        <w:ind w:left="0" w:right="0"/>
        <w:jc w:val="left"/>
      </w:pPr>
      <w:r>
        <w:rPr>
          <w:rFonts w:ascii="Calibri" w:hAnsi="Calibri" w:eastAsia="Calibri" w:cs="Calibri"/>
          <w:color w:val="000000"/>
          <w:sz w:val="22"/>
          <w:szCs w:val="22"/>
        </w:rPr>
        <w:t xml:space="preserve">Giblin-Davis RM., Faleiro JR, Jacas JA, Peña JE &amp; Vidyasagar PSPV (2013) Biology and management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Potential Invasive Pests of Agricultural Crops, Ed. J. E. Peña, pp. 1-34, CABI Publishing Oxfordshire, U.K.</w:t>
      </w:r>
    </w:p>
    <w:p>
      <w:pPr>
        <w:widowControl w:val="on"/>
        <w:pBdr/>
        <w:spacing w:before="220" w:after="220" w:line="240" w:lineRule="auto"/>
        <w:ind w:left="0" w:right="0"/>
        <w:jc w:val="left"/>
      </w:pPr>
      <w:r>
        <w:rPr>
          <w:rFonts w:ascii="Calibri" w:hAnsi="Calibri" w:eastAsia="Calibri" w:cs="Calibri"/>
          <w:color w:val="000000"/>
          <w:sz w:val="22"/>
          <w:szCs w:val="22"/>
        </w:rPr>
        <w:t xml:space="preserve">Grifﬁth R (1968) The relationship between the red ring nematode and the palm weevil. </w:t>
      </w:r>
      <w:r>
        <w:rPr>
          <w:rFonts w:ascii="Calibri" w:hAnsi="Calibri" w:eastAsia="Calibri" w:cs="Calibri"/>
          <w:i/>
          <w:iCs/>
          <w:color w:val="000000"/>
          <w:sz w:val="22"/>
          <w:szCs w:val="22"/>
        </w:rPr>
        <w:t xml:space="preserve">Journal of the Agricultural Society of Trinidad and Tobago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342-356.</w:t>
      </w:r>
    </w:p>
    <w:p>
      <w:pPr>
        <w:widowControl w:val="on"/>
        <w:pBdr/>
        <w:spacing w:before="220" w:after="220" w:line="240" w:lineRule="auto"/>
        <w:ind w:left="0" w:right="0"/>
        <w:jc w:val="left"/>
      </w:pPr>
      <w:r>
        <w:rPr>
          <w:rFonts w:ascii="Calibri" w:hAnsi="Calibri" w:eastAsia="Calibri" w:cs="Calibri"/>
          <w:color w:val="000000"/>
          <w:sz w:val="22"/>
          <w:szCs w:val="22"/>
        </w:rPr>
        <w:t xml:space="preserve">Grifﬁth R (1970) Control of red ring disease in coconut. </w:t>
      </w:r>
      <w:r>
        <w:rPr>
          <w:rFonts w:ascii="Calibri" w:hAnsi="Calibri" w:eastAsia="Calibri" w:cs="Calibri"/>
          <w:i/>
          <w:iCs/>
          <w:color w:val="000000"/>
          <w:sz w:val="22"/>
          <w:szCs w:val="22"/>
        </w:rPr>
        <w:t xml:space="preserve">Crop Bulletin of the Ministry of Agriculture of Trinidad and Tobago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Grifﬁth R (1987) Red ring disease of coconut palm.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Hagley E (1963) The role of the palm weevil as a vector of red ring disease of coconuts.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375-380.</w:t>
      </w:r>
    </w:p>
    <w:p>
      <w:pPr>
        <w:widowControl w:val="on"/>
        <w:pBdr/>
        <w:spacing w:before="220" w:after="220" w:line="240" w:lineRule="auto"/>
        <w:ind w:left="0" w:right="0"/>
        <w:jc w:val="left"/>
      </w:pPr>
      <w:r>
        <w:rPr>
          <w:rFonts w:ascii="Calibri" w:hAnsi="Calibri" w:eastAsia="Calibri" w:cs="Calibri"/>
          <w:color w:val="000000"/>
          <w:sz w:val="22"/>
          <w:szCs w:val="22"/>
        </w:rPr>
        <w:t xml:space="preserve">Hagley E (1965) On the life history and habits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22-28.</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Hoddle CD &amp; Milosavljević I (2020) How far can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(4), 1786-1795. </w:t>
      </w:r>
      <w:hyperlink r:id="rId8394692b6c80dcdd4" w:history="1">
        <w:r>
          <w:rPr>
            <w:rFonts w:ascii="Calibri" w:hAnsi="Calibri" w:eastAsia="Calibri" w:cs="Calibri"/>
            <w:color w:val="0000CC"/>
            <w:sz w:val="22"/>
            <w:szCs w:val="22"/>
            <w:u w:val="single"/>
          </w:rPr>
          <w:t xml:space="preserve">https://doi.org/10.1093/jee/toaa115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Jaffé K &amp; Sánchez P (1990) [</w:t>
      </w:r>
      <w:r>
        <w:rPr>
          <w:rFonts w:ascii="Calibri" w:hAnsi="Calibri" w:eastAsia="Calibri" w:cs="Calibri"/>
          <w:i/>
          <w:iCs/>
          <w:color w:val="000000"/>
          <w:sz w:val="22"/>
          <w:szCs w:val="22"/>
        </w:rPr>
        <w:t xml:space="preserve">Final Report of Project on Ethological Study of </w:t>
      </w:r>
      <w:r>
        <w:rPr>
          <w:rFonts w:ascii="Calibri" w:hAnsi="Calibri" w:eastAsia="Calibri" w:cs="Calibri"/>
          <w:color w:val="000000"/>
          <w:sz w:val="22"/>
          <w:szCs w:val="22"/>
        </w:rPr>
        <w:t xml:space="preserve">Rhynchophorus palmarum.] Universidad Simón Bolívar-FONAIAP, Caracas (VE).</w:t>
      </w:r>
    </w:p>
    <w:p>
      <w:pPr>
        <w:widowControl w:val="on"/>
        <w:pBdr/>
        <w:spacing w:before="220" w:after="220" w:line="240" w:lineRule="auto"/>
        <w:ind w:left="0" w:right="0"/>
        <w:jc w:val="left"/>
      </w:pPr>
      <w:r>
        <w:rPr>
          <w:rFonts w:ascii="Calibri" w:hAnsi="Calibri" w:eastAsia="Calibri" w:cs="Calibri"/>
          <w:color w:val="000000"/>
          <w:sz w:val="22"/>
          <w:szCs w:val="22"/>
        </w:rPr>
        <w:t xml:space="preserve">Jaffé K, Sánchez P, Cerda H, Hernández JV, Jaffé R, Urdaneta N, Guerra G, Martínez R &amp; Miras B (1993) Chemical ecology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attraction to host plants and to a male-produced aggregation pheromone.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1703-1720.</w:t>
      </w:r>
    </w:p>
    <w:p>
      <w:pPr>
        <w:widowControl w:val="on"/>
        <w:pBdr/>
        <w:spacing w:before="220" w:after="220" w:line="240" w:lineRule="auto"/>
        <w:ind w:left="0" w:right="0"/>
        <w:jc w:val="left"/>
      </w:pPr>
      <w:r>
        <w:rPr>
          <w:rFonts w:ascii="Calibri" w:hAnsi="Calibri" w:eastAsia="Calibri" w:cs="Calibri"/>
          <w:color w:val="000000"/>
          <w:sz w:val="22"/>
          <w:szCs w:val="22"/>
        </w:rPr>
        <w:t xml:space="preserve">Landero-Torres I, Presa-Parra E, Elena Galindo-Tovar M, Leyva-Ovalle OR, Murguía-González J, Valenzuela-González JE &amp; García-Martínez MA (2015) Variación temporal y espacial de la abundancia del picudo negro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L., Coleoptera: Curculionidae) en cultivos de palmas ornamentales del centro de Veracruz, México.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(1), 179-188.</w:t>
      </w:r>
    </w:p>
    <w:p>
      <w:pPr>
        <w:widowControl w:val="on"/>
        <w:pBdr/>
        <w:spacing w:before="220" w:after="220" w:line="240" w:lineRule="auto"/>
        <w:ind w:left="0" w:right="0"/>
        <w:jc w:val="left"/>
      </w:pPr>
      <w:r>
        <w:rPr>
          <w:rFonts w:ascii="Calibri" w:hAnsi="Calibri" w:eastAsia="Calibri" w:cs="Calibri"/>
          <w:color w:val="000000"/>
          <w:sz w:val="22"/>
          <w:szCs w:val="22"/>
        </w:rPr>
        <w:t xml:space="preserve">Löhr B (2013) Biological control of palm weevils: rediscovering forgotten opportunities. </w:t>
      </w:r>
      <w:r>
        <w:rPr>
          <w:rFonts w:ascii="Calibri" w:hAnsi="Calibri" w:eastAsia="Calibri" w:cs="Calibri"/>
          <w:i/>
          <w:iCs/>
          <w:color w:val="000000"/>
          <w:sz w:val="22"/>
          <w:szCs w:val="22"/>
        </w:rPr>
        <w:t xml:space="preserve">Biocontrol News and 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(3), 20N-23N.</w:t>
      </w:r>
    </w:p>
    <w:p>
      <w:pPr>
        <w:widowControl w:val="on"/>
        <w:pBdr/>
        <w:spacing w:before="220" w:after="220" w:line="240" w:lineRule="auto"/>
        <w:ind w:left="0" w:right="0"/>
        <w:jc w:val="left"/>
      </w:pPr>
      <w:r>
        <w:rPr>
          <w:rFonts w:ascii="Calibri" w:hAnsi="Calibri" w:eastAsia="Calibri" w:cs="Calibri"/>
          <w:color w:val="000000"/>
          <w:sz w:val="22"/>
          <w:szCs w:val="22"/>
        </w:rPr>
        <w:t xml:space="preserve">Löhr B, Vásquez-Ordóñez AA &amp; Becerra Lopez-Lavalle LA (2015)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in disguise: Undescribed polymorphisms in the ‘black’ palm weevil.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e0143210. </w:t>
      </w:r>
      <w:hyperlink r:id="rId1464692b6c80dd005" w:history="1">
        <w:r>
          <w:rPr>
            <w:rFonts w:ascii="Calibri" w:hAnsi="Calibri" w:eastAsia="Calibri" w:cs="Calibri"/>
            <w:color w:val="0000CC"/>
            <w:sz w:val="22"/>
            <w:szCs w:val="22"/>
            <w:u w:val="single"/>
          </w:rPr>
          <w:t xml:space="preserve">https://do.org/10.1371/journal.pone.0143210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Milosavljević, I, El-Shafie HAF, Faleiro JR, Hoddle CD &amp; Hoddle MS (2019) Palmageddon: the wasting of ornamental palms by invasive palm weevils,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143-156.</w:t>
      </w:r>
    </w:p>
    <w:p>
      <w:pPr>
        <w:widowControl w:val="on"/>
        <w:pBdr/>
        <w:spacing w:before="220" w:after="220" w:line="240" w:lineRule="auto"/>
        <w:ind w:left="0" w:right="0"/>
        <w:jc w:val="left"/>
      </w:pPr>
      <w:r>
        <w:rPr>
          <w:rFonts w:ascii="Calibri" w:hAnsi="Calibri" w:eastAsia="Calibri" w:cs="Calibri"/>
          <w:color w:val="000000"/>
          <w:sz w:val="22"/>
          <w:szCs w:val="22"/>
        </w:rPr>
        <w:t xml:space="preserve">Milosavljević I, Hoddle CD, Mafra-Neto A, Gomez-Marco F &amp; Hoddle MS (2020) Effects of evaluation of food bait and trap type on captures of efficacy to lure and catch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and trap bycatch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hyperlink r:id="rId2133692b6c80dd107" w:history="1">
        <w:r>
          <w:rPr>
            <w:rFonts w:ascii="Calibri" w:hAnsi="Calibri" w:eastAsia="Calibri" w:cs="Calibri"/>
            <w:color w:val="0000CC"/>
            <w:sz w:val="22"/>
            <w:szCs w:val="22"/>
            <w:u w:val="single"/>
          </w:rPr>
          <w:t xml:space="preserve">https://doi.org/10.1093/jee/toaa175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Moura JIL, Mariau D &amp; Delabie JHC (1993) Efﬁcacy of </w:t>
      </w:r>
      <w:r>
        <w:rPr>
          <w:rFonts w:ascii="Calibri" w:hAnsi="Calibri" w:eastAsia="Calibri" w:cs="Calibri"/>
          <w:i/>
          <w:iCs/>
          <w:color w:val="000000"/>
          <w:sz w:val="22"/>
          <w:szCs w:val="22"/>
        </w:rPr>
        <w:t xml:space="preserve">Paratheresia menezesi</w:t>
      </w:r>
      <w:r>
        <w:rPr>
          <w:rFonts w:ascii="Calibri" w:hAnsi="Calibri" w:eastAsia="Calibri" w:cs="Calibri"/>
          <w:color w:val="000000"/>
          <w:sz w:val="22"/>
          <w:szCs w:val="22"/>
        </w:rPr>
        <w:t xml:space="preserve"> for natural biological control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Oléagineux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219-223.</w:t>
      </w:r>
    </w:p>
    <w:p>
      <w:pPr>
        <w:widowControl w:val="on"/>
        <w:pBdr/>
        <w:spacing w:before="220" w:after="220" w:line="240" w:lineRule="auto"/>
        <w:ind w:left="0" w:right="0"/>
        <w:jc w:val="left"/>
      </w:pPr>
      <w:r>
        <w:rPr>
          <w:rFonts w:ascii="Calibri" w:hAnsi="Calibri" w:eastAsia="Calibri" w:cs="Calibri"/>
          <w:color w:val="000000"/>
          <w:sz w:val="22"/>
          <w:szCs w:val="22"/>
        </w:rPr>
        <w:t xml:space="preserve">Moura JIL, Toma R, Sgrillo RB &amp; Delabie JHC (2006) Natural efficiency of parasitism by </w:t>
      </w:r>
      <w:r>
        <w:rPr>
          <w:rFonts w:ascii="Calibri" w:hAnsi="Calibri" w:eastAsia="Calibri" w:cs="Calibri"/>
          <w:i/>
          <w:iCs/>
          <w:color w:val="000000"/>
          <w:sz w:val="22"/>
          <w:szCs w:val="22"/>
        </w:rPr>
        <w:t xml:space="preserve">Billaea rhynchophorae</w:t>
      </w:r>
      <w:r>
        <w:rPr>
          <w:rFonts w:ascii="Calibri" w:hAnsi="Calibri" w:eastAsia="Calibri" w:cs="Calibri"/>
          <w:color w:val="000000"/>
          <w:sz w:val="22"/>
          <w:szCs w:val="22"/>
        </w:rPr>
        <w:t xml:space="preserve"> (Blanchard) (Diptera: Tachinidae) for the control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(L.) (Coleoptera: Curculionidae).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273-274.</w:t>
      </w:r>
    </w:p>
    <w:p>
      <w:pPr>
        <w:widowControl w:val="on"/>
        <w:pBdr/>
        <w:spacing w:before="220" w:after="220" w:line="240" w:lineRule="auto"/>
        <w:ind w:left="0" w:right="0"/>
        <w:jc w:val="left"/>
      </w:pPr>
      <w:r>
        <w:rPr>
          <w:rFonts w:ascii="Calibri" w:hAnsi="Calibri" w:eastAsia="Calibri" w:cs="Calibri"/>
          <w:color w:val="000000"/>
          <w:sz w:val="22"/>
          <w:szCs w:val="22"/>
        </w:rPr>
        <w:t xml:space="preserve">Moura J (ed) (2017) Manejo Integrado das Pragas das Palmeiras. Ministério da Agricultura, Pecuária e Abastecimento Comissão Executiva do Plano da Lavoura Cacaueira. 186 pp.</w:t>
      </w:r>
    </w:p>
    <w:p>
      <w:pPr>
        <w:widowControl w:val="on"/>
        <w:pBdr/>
        <w:spacing w:before="220" w:after="220" w:line="240" w:lineRule="auto"/>
        <w:ind w:left="0" w:right="0"/>
        <w:jc w:val="left"/>
      </w:pPr>
      <w:r>
        <w:rPr>
          <w:rFonts w:ascii="Calibri" w:hAnsi="Calibri" w:eastAsia="Calibri" w:cs="Calibri"/>
          <w:color w:val="000000"/>
          <w:sz w:val="22"/>
          <w:szCs w:val="22"/>
        </w:rPr>
        <w:t xml:space="preserve">Nadarajan L (1988) Laboratory rearing of the palm weevil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on artiﬁcial diet. In: </w:t>
      </w:r>
      <w:r>
        <w:rPr>
          <w:rFonts w:ascii="Calibri" w:hAnsi="Calibri" w:eastAsia="Calibri" w:cs="Calibri"/>
          <w:i/>
          <w:iCs/>
          <w:color w:val="000000"/>
          <w:sz w:val="22"/>
          <w:szCs w:val="22"/>
        </w:rPr>
        <w:t xml:space="preserve">Rapport du Laboratoire des Médiateurs Chimiques.</w:t>
      </w:r>
      <w:r>
        <w:rPr>
          <w:rFonts w:ascii="Calibri" w:hAnsi="Calibri" w:eastAsia="Calibri" w:cs="Calibri"/>
          <w:color w:val="000000"/>
          <w:sz w:val="22"/>
          <w:szCs w:val="22"/>
        </w:rPr>
        <w:t xml:space="preserve"> INRA, Versailles (FR).</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Navarro-Llopis V, Primo J &amp; Vacas S (2018) Improvements in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Dryophthoridae) trapping systems.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1298-1305.</w:t>
      </w:r>
    </w:p>
    <w:p>
      <w:pPr>
        <w:widowControl w:val="on"/>
        <w:pBdr/>
        <w:spacing w:before="220" w:after="220" w:line="240" w:lineRule="auto"/>
        <w:ind w:left="0" w:right="0"/>
        <w:jc w:val="left"/>
      </w:pPr>
      <w:r>
        <w:rPr>
          <w:rFonts w:ascii="Calibri" w:hAnsi="Calibri" w:eastAsia="Calibri" w:cs="Calibri"/>
          <w:color w:val="000000"/>
          <w:sz w:val="22"/>
          <w:szCs w:val="22"/>
        </w:rPr>
        <w:t xml:space="preserve">Oehlschlager AC, Chinchilla CM, Gonzalez LM, Jiron LF, Mexzon R &amp; Morgan B (1993) Development of a pheromone-based trapping system for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1381-1392.</w:t>
      </w:r>
    </w:p>
    <w:p>
      <w:pPr>
        <w:widowControl w:val="on"/>
        <w:pBdr/>
        <w:spacing w:before="220" w:after="220" w:line="240" w:lineRule="auto"/>
        <w:ind w:left="0" w:right="0"/>
        <w:jc w:val="left"/>
      </w:pPr>
      <w:r>
        <w:rPr>
          <w:rFonts w:ascii="Calibri" w:hAnsi="Calibri" w:eastAsia="Calibri" w:cs="Calibri"/>
          <w:color w:val="000000"/>
          <w:sz w:val="22"/>
          <w:szCs w:val="22"/>
        </w:rPr>
        <w:t xml:space="preserve">Oehlschlager AC (2016) Palm weevil pheromones – discovery and use.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617-630.</w:t>
      </w:r>
    </w:p>
    <w:p>
      <w:pPr>
        <w:widowControl w:val="on"/>
        <w:pBdr/>
        <w:spacing w:before="220" w:after="220" w:line="240" w:lineRule="auto"/>
        <w:ind w:left="0" w:right="0"/>
        <w:jc w:val="left"/>
      </w:pPr>
      <w:r>
        <w:rPr>
          <w:rFonts w:ascii="Calibri" w:hAnsi="Calibri" w:eastAsia="Calibri" w:cs="Calibri"/>
          <w:color w:val="000000"/>
          <w:sz w:val="22"/>
          <w:szCs w:val="22"/>
        </w:rPr>
        <w:t xml:space="preserve">Öhlschlager A, Chinchilla C &amp; González M (1992a) Management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and the red ring disease in oil palm by pheromone-based trapping. </w:t>
      </w:r>
      <w:r>
        <w:rPr>
          <w:rFonts w:ascii="Calibri" w:hAnsi="Calibri" w:eastAsia="Calibri" w:cs="Calibri"/>
          <w:i/>
          <w:iCs/>
          <w:color w:val="000000"/>
          <w:sz w:val="22"/>
          <w:szCs w:val="22"/>
        </w:rPr>
        <w:t xml:space="preserve">ASD Oil Palm Papers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15-23.</w:t>
      </w:r>
    </w:p>
    <w:p>
      <w:pPr>
        <w:widowControl w:val="on"/>
        <w:pBdr/>
        <w:spacing w:before="220" w:after="220" w:line="240" w:lineRule="auto"/>
        <w:ind w:left="0" w:right="0"/>
        <w:jc w:val="left"/>
      </w:pPr>
      <w:r>
        <w:rPr>
          <w:rFonts w:ascii="Calibri" w:hAnsi="Calibri" w:eastAsia="Calibri" w:cs="Calibri"/>
          <w:color w:val="000000"/>
          <w:sz w:val="22"/>
          <w:szCs w:val="22"/>
        </w:rPr>
        <w:t xml:space="preserve">Öhlschlager A, Pierce H, Morgan B, Wimalaratne P, Slessor K, King G, Gries G, Gries R, Borden J, Jirón L, Chinchilla C &amp; Mexón R (1992b) Chirality and ﬁeld testing of rhynchophorol, the aggregation pheromone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134-135.</w:t>
      </w:r>
    </w:p>
    <w:p>
      <w:pPr>
        <w:widowControl w:val="on"/>
        <w:pBdr/>
        <w:spacing w:before="220" w:after="220" w:line="240" w:lineRule="auto"/>
        <w:ind w:left="0" w:right="0"/>
        <w:jc w:val="left"/>
      </w:pPr>
      <w:r>
        <w:rPr>
          <w:rFonts w:ascii="Calibri" w:hAnsi="Calibri" w:eastAsia="Calibri" w:cs="Calibri"/>
          <w:color w:val="000000"/>
          <w:sz w:val="22"/>
          <w:szCs w:val="22"/>
        </w:rPr>
        <w:t xml:space="preserve">Öhlschlager A, Chinchilla C, González L, Jirón L, Mexón R &amp; Morgan B (1993) Development of pheromone-based trapping system for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1381-1382.</w:t>
      </w:r>
    </w:p>
    <w:p>
      <w:pPr>
        <w:widowControl w:val="on"/>
        <w:pBdr/>
        <w:spacing w:before="220" w:after="220" w:line="240" w:lineRule="auto"/>
        <w:ind w:left="0" w:right="0"/>
        <w:jc w:val="left"/>
      </w:pPr>
      <w:r>
        <w:rPr>
          <w:rFonts w:ascii="Calibri" w:hAnsi="Calibri" w:eastAsia="Calibri" w:cs="Calibri"/>
          <w:color w:val="000000"/>
          <w:sz w:val="22"/>
          <w:szCs w:val="22"/>
        </w:rPr>
        <w:t xml:space="preserve">Restrepo L, Rivera F &amp; Raigosa J (1982) Life cycle, habit and morphometry of </w:t>
      </w:r>
      <w:r>
        <w:rPr>
          <w:rFonts w:ascii="Calibri" w:hAnsi="Calibri" w:eastAsia="Calibri" w:cs="Calibri"/>
          <w:i/>
          <w:iCs/>
          <w:color w:val="000000"/>
          <w:sz w:val="22"/>
          <w:szCs w:val="22"/>
        </w:rPr>
        <w:t xml:space="preserve">Metamasius hemipterus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on sugarcane. </w:t>
      </w:r>
      <w:r>
        <w:rPr>
          <w:rFonts w:ascii="Calibri" w:hAnsi="Calibri" w:eastAsia="Calibri" w:cs="Calibri"/>
          <w:i/>
          <w:iCs/>
          <w:color w:val="000000"/>
          <w:sz w:val="22"/>
          <w:szCs w:val="22"/>
        </w:rPr>
        <w:t xml:space="preserve">Acta Agronómica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33-44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Rochat D, Gonzalez A, Marian D, Villanueva A &amp; Sagatti P (1991a) Evidence for male-produced aggregation pheromone in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1221-1230.</w:t>
      </w:r>
    </w:p>
    <w:p>
      <w:pPr>
        <w:widowControl w:val="on"/>
        <w:pBdr/>
        <w:spacing w:before="220" w:after="220" w:line="240" w:lineRule="auto"/>
        <w:ind w:left="0" w:right="0"/>
        <w:jc w:val="left"/>
      </w:pPr>
      <w:r>
        <w:rPr>
          <w:rFonts w:ascii="Calibri" w:hAnsi="Calibri" w:eastAsia="Calibri" w:cs="Calibri"/>
          <w:color w:val="000000"/>
          <w:sz w:val="22"/>
          <w:szCs w:val="22"/>
        </w:rPr>
        <w:t xml:space="preserve">Rochat D, Malosse C, Lettere M, Ducrot PH, Zagatti P, Renou M &amp; Descoins C (1991b) Male-produced aggregation pheromone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collection, identiﬁcation, electrophysiological activity, and laboratory bioassay.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2127-2141.</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P &amp; Cerda H (1993) [The complex </w:t>
      </w:r>
      <w:r>
        <w:rPr>
          <w:rFonts w:ascii="Calibri" w:hAnsi="Calibri" w:eastAsia="Calibri" w:cs="Calibri"/>
          <w:i/>
          <w:iCs/>
          <w:color w:val="000000"/>
          <w:sz w:val="22"/>
          <w:szCs w:val="22"/>
        </w:rPr>
        <w:t xml:space="preserve">Rhynchophorus palmarum / Bursaphelenchus cocophilus </w:t>
      </w:r>
      <w:r>
        <w:rPr>
          <w:rFonts w:ascii="Calibri" w:hAnsi="Calibri" w:eastAsia="Calibri" w:cs="Calibri"/>
          <w:color w:val="000000"/>
          <w:sz w:val="22"/>
          <w:szCs w:val="22"/>
        </w:rPr>
        <w:t xml:space="preserve">in palms.] </w:t>
      </w:r>
      <w:r>
        <w:rPr>
          <w:rFonts w:ascii="Calibri" w:hAnsi="Calibri" w:eastAsia="Calibri" w:cs="Calibri"/>
          <w:i/>
          <w:iCs/>
          <w:color w:val="000000"/>
          <w:sz w:val="22"/>
          <w:szCs w:val="22"/>
        </w:rPr>
        <w:t xml:space="preserve">Boletín de Entomología Venezolana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P, Jaffe K, Hernandez JV &amp; Cerda H (1993) [Biology and behaviour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Boletín de Entomología Venezolana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83-93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P &amp; Jaffé K (1993) [Monitoring and integrated control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on oil palm.] </w:t>
      </w:r>
      <w:r>
        <w:rPr>
          <w:rFonts w:ascii="Calibri" w:hAnsi="Calibri" w:eastAsia="Calibri" w:cs="Calibri"/>
          <w:i/>
          <w:iCs/>
          <w:color w:val="000000"/>
          <w:sz w:val="22"/>
          <w:szCs w:val="22"/>
        </w:rPr>
        <w:t xml:space="preserve">Boletín Técnico Serie B</w:t>
      </w:r>
      <w:r>
        <w:rPr>
          <w:rFonts w:ascii="Calibri" w:hAnsi="Calibri" w:eastAsia="Calibri" w:cs="Calibri"/>
          <w:color w:val="000000"/>
          <w:sz w:val="22"/>
          <w:szCs w:val="22"/>
        </w:rPr>
        <w:t xml:space="preserve">. FONAIAP, Caracas (VE).</w:t>
      </w:r>
    </w:p>
    <w:p>
      <w:pPr>
        <w:widowControl w:val="on"/>
        <w:pBdr/>
        <w:spacing w:before="220" w:after="220" w:line="240" w:lineRule="auto"/>
        <w:ind w:left="0" w:right="0"/>
        <w:jc w:val="left"/>
      </w:pPr>
      <w:r>
        <w:rPr>
          <w:rFonts w:ascii="Calibri" w:hAnsi="Calibri" w:eastAsia="Calibri" w:cs="Calibri"/>
          <w:color w:val="000000"/>
          <w:sz w:val="22"/>
          <w:szCs w:val="22"/>
        </w:rPr>
        <w:t xml:space="preserve">Sancho D, Alvarez Gil MJ &amp; Fernández Sánchez LR (2015) Insectos y alimentación. Larvas de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L, un alimento de los pobladores de la Amazonía Ecuatoriana. </w:t>
      </w:r>
      <w:r>
        <w:rPr>
          <w:rFonts w:ascii="Calibri" w:hAnsi="Calibri" w:eastAsia="Calibri" w:cs="Calibri"/>
          <w:i/>
          <w:iCs/>
          <w:color w:val="000000"/>
          <w:sz w:val="22"/>
          <w:szCs w:val="22"/>
        </w:rPr>
        <w:t xml:space="preserve">Entomotropica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(14), 135-149.</w:t>
      </w:r>
    </w:p>
    <w:p>
      <w:pPr>
        <w:widowControl w:val="on"/>
        <w:pBdr/>
        <w:spacing w:before="220" w:after="220" w:line="240" w:lineRule="auto"/>
        <w:ind w:left="0" w:right="0"/>
        <w:jc w:val="left"/>
      </w:pPr>
      <w:r>
        <w:rPr>
          <w:rFonts w:ascii="Calibri" w:hAnsi="Calibri" w:eastAsia="Calibri" w:cs="Calibri"/>
          <w:color w:val="000000"/>
          <w:sz w:val="22"/>
          <w:szCs w:val="22"/>
        </w:rPr>
        <w:t xml:space="preserve">Santana CC, Nascimento JS, de M. Costa M, da Silva AT, Dornelas CB &amp; Grillo LAM (2014) Avaliação do desenvolvimento e reservas energéticas de larvas de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em diferentes dietas. </w:t>
      </w:r>
      <w:r>
        <w:rPr>
          <w:rFonts w:ascii="Calibri" w:hAnsi="Calibri" w:eastAsia="Calibri" w:cs="Calibri"/>
          <w:i/>
          <w:iCs/>
          <w:color w:val="000000"/>
          <w:sz w:val="22"/>
          <w:szCs w:val="22"/>
        </w:rPr>
        <w:t xml:space="preserve">Agrária - Revista Brasileira de Ciências Agrárias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205-209. </w:t>
      </w:r>
      <w:hyperlink r:id="rId4428692b6c80dd936" w:history="1">
        <w:r>
          <w:rPr>
            <w:rFonts w:ascii="Calibri" w:hAnsi="Calibri" w:eastAsia="Calibri" w:cs="Calibri"/>
            <w:color w:val="0000CC"/>
            <w:sz w:val="22"/>
            <w:szCs w:val="22"/>
            <w:u w:val="single"/>
          </w:rPr>
          <w:t xml:space="preserve">https://doi.org/10.5039/agraria.v9i2a3885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Schuiling M &amp; van Dinther J (1981) Red ring disease in the paricatuba oil palm estate, Brazil. </w:t>
      </w:r>
      <w:r>
        <w:rPr>
          <w:rFonts w:ascii="Calibri" w:hAnsi="Calibri" w:eastAsia="Calibri" w:cs="Calibri"/>
          <w:i/>
          <w:iCs/>
          <w:color w:val="000000"/>
          <w:sz w:val="22"/>
          <w:szCs w:val="22"/>
        </w:rPr>
        <w:t xml:space="preserve">Zeitschrift für Angewandte Entomologie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154-169.</w:t>
      </w:r>
    </w:p>
    <w:p>
      <w:pPr>
        <w:widowControl w:val="on"/>
        <w:pBdr/>
        <w:spacing w:before="220" w:after="220" w:line="240" w:lineRule="auto"/>
        <w:ind w:left="0" w:right="0"/>
        <w:jc w:val="left"/>
      </w:pPr>
      <w:r>
        <w:rPr>
          <w:rFonts w:ascii="Calibri" w:hAnsi="Calibri" w:eastAsia="Calibri" w:cs="Calibri"/>
          <w:color w:val="000000"/>
          <w:sz w:val="22"/>
          <w:szCs w:val="22"/>
        </w:rPr>
        <w:t xml:space="preserve">Thurston HD (1984) Red ring disease of coconut. In: </w:t>
      </w:r>
      <w:r>
        <w:rPr>
          <w:rFonts w:ascii="Calibri" w:hAnsi="Calibri" w:eastAsia="Calibri" w:cs="Calibri"/>
          <w:i/>
          <w:iCs/>
          <w:color w:val="000000"/>
          <w:sz w:val="22"/>
          <w:szCs w:val="22"/>
        </w:rPr>
        <w:t xml:space="preserve">Tropical Plant Diseases</w:t>
      </w:r>
      <w:r>
        <w:rPr>
          <w:rFonts w:ascii="Calibri" w:hAnsi="Calibri" w:eastAsia="Calibri" w:cs="Calibri"/>
          <w:color w:val="000000"/>
          <w:sz w:val="22"/>
          <w:szCs w:val="22"/>
        </w:rPr>
        <w:t xml:space="preserve">, pp. 161-164. American Phytopathological Society, St Paul (US).</w:t>
      </w:r>
    </w:p>
    <w:p>
      <w:pPr>
        <w:widowControl w:val="on"/>
        <w:pBdr/>
        <w:spacing w:before="220" w:after="220" w:line="240" w:lineRule="auto"/>
        <w:ind w:left="0" w:right="0"/>
        <w:jc w:val="left"/>
      </w:pPr>
      <w:r>
        <w:rPr>
          <w:rFonts w:ascii="Calibri" w:hAnsi="Calibri" w:eastAsia="Calibri" w:cs="Calibri"/>
          <w:color w:val="000000"/>
          <w:sz w:val="22"/>
          <w:szCs w:val="22"/>
        </w:rPr>
        <w:t xml:space="preserve">Wattanapongsiri A (1966) </w:t>
      </w:r>
      <w:r>
        <w:rPr>
          <w:rFonts w:ascii="Calibri" w:hAnsi="Calibri" w:eastAsia="Calibri" w:cs="Calibri"/>
          <w:i/>
          <w:iCs/>
          <w:color w:val="000000"/>
          <w:sz w:val="22"/>
          <w:szCs w:val="22"/>
        </w:rPr>
        <w:t xml:space="preserve">A Revision of the Genera Rhynchophorus and Dynamis</w:t>
      </w:r>
      <w:r>
        <w:rPr>
          <w:rFonts w:ascii="Calibri" w:hAnsi="Calibri" w:eastAsia="Calibri" w:cs="Calibri"/>
          <w:color w:val="000000"/>
          <w:sz w:val="22"/>
          <w:szCs w:val="22"/>
        </w:rPr>
        <w:t xml:space="preserve">. Department of Agricultural Science, Bangkok (TH).</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M (1963) Investigations into the development of the palm weevil,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Tropical Agriculture Trinidad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185-196.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Mark Hoddle, Department of Entomology, University of California, Riverside California,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EPPO datasheets on pests recommended for regulation. Available online. </w:t>
      </w:r>
      <w:hyperlink r:id="rId5410692b6c80ddb5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468-471. </w:t>
      </w:r>
      <w:hyperlink r:id="rId7639692b6c80ddc2c" w:history="1">
        <w:r>
          <w:rPr>
            <w:rFonts w:ascii="Calibri" w:hAnsi="Calibri" w:eastAsia="Calibri" w:cs="Calibri"/>
            <w:color w:val="0000CC"/>
            <w:sz w:val="22"/>
            <w:szCs w:val="22"/>
            <w:u w:val="single"/>
          </w:rPr>
          <w:t xml:space="preserve">https://doi.org/10.1111/j.1365-2338.2005.00883.x</w:t>
        </w:r>
      </w:hyperlink>
    </w:p>
    <w:p>
      <w:r>
        <w:drawing>
          <wp:inline distT="0" distB="0" distL="0" distR="0">
            <wp:extent cx="1800000" cy="604800"/>
            <wp:docPr id="12788203" name="name9424692b6c80dfa4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936692b6c80dfa4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406858">
    <w:multiLevelType w:val="hybridMultilevel"/>
    <w:lvl w:ilvl="0" w:tplc="32124337">
      <w:start w:val="1"/>
      <w:numFmt w:val="decimal"/>
      <w:lvlText w:val="%1."/>
      <w:lvlJc w:val="left"/>
      <w:pPr>
        <w:ind w:left="720" w:hanging="360"/>
      </w:pPr>
    </w:lvl>
    <w:lvl w:ilvl="1" w:tplc="32124337" w:tentative="1">
      <w:start w:val="1"/>
      <w:numFmt w:val="lowerLetter"/>
      <w:lvlText w:val="%2."/>
      <w:lvlJc w:val="left"/>
      <w:pPr>
        <w:ind w:left="1440" w:hanging="360"/>
      </w:pPr>
    </w:lvl>
    <w:lvl w:ilvl="2" w:tplc="32124337" w:tentative="1">
      <w:start w:val="1"/>
      <w:numFmt w:val="lowerRoman"/>
      <w:lvlText w:val="%3."/>
      <w:lvlJc w:val="right"/>
      <w:pPr>
        <w:ind w:left="2160" w:hanging="180"/>
      </w:pPr>
    </w:lvl>
    <w:lvl w:ilvl="3" w:tplc="32124337" w:tentative="1">
      <w:start w:val="1"/>
      <w:numFmt w:val="decimal"/>
      <w:lvlText w:val="%4."/>
      <w:lvlJc w:val="left"/>
      <w:pPr>
        <w:ind w:left="2880" w:hanging="360"/>
      </w:pPr>
    </w:lvl>
    <w:lvl w:ilvl="4" w:tplc="32124337" w:tentative="1">
      <w:start w:val="1"/>
      <w:numFmt w:val="lowerLetter"/>
      <w:lvlText w:val="%5."/>
      <w:lvlJc w:val="left"/>
      <w:pPr>
        <w:ind w:left="3600" w:hanging="360"/>
      </w:pPr>
    </w:lvl>
    <w:lvl w:ilvl="5" w:tplc="32124337" w:tentative="1">
      <w:start w:val="1"/>
      <w:numFmt w:val="lowerRoman"/>
      <w:lvlText w:val="%6."/>
      <w:lvlJc w:val="right"/>
      <w:pPr>
        <w:ind w:left="4320" w:hanging="180"/>
      </w:pPr>
    </w:lvl>
    <w:lvl w:ilvl="6" w:tplc="32124337" w:tentative="1">
      <w:start w:val="1"/>
      <w:numFmt w:val="decimal"/>
      <w:lvlText w:val="%7."/>
      <w:lvlJc w:val="left"/>
      <w:pPr>
        <w:ind w:left="5040" w:hanging="360"/>
      </w:pPr>
    </w:lvl>
    <w:lvl w:ilvl="7" w:tplc="32124337" w:tentative="1">
      <w:start w:val="1"/>
      <w:numFmt w:val="lowerLetter"/>
      <w:lvlText w:val="%8."/>
      <w:lvlJc w:val="left"/>
      <w:pPr>
        <w:ind w:left="5760" w:hanging="360"/>
      </w:pPr>
    </w:lvl>
    <w:lvl w:ilvl="8" w:tplc="32124337" w:tentative="1">
      <w:start w:val="1"/>
      <w:numFmt w:val="lowerRoman"/>
      <w:lvlText w:val="%9."/>
      <w:lvlJc w:val="right"/>
      <w:pPr>
        <w:ind w:left="6480" w:hanging="180"/>
      </w:pPr>
    </w:lvl>
  </w:abstractNum>
  <w:abstractNum w:abstractNumId="58406857">
    <w:multiLevelType w:val="hybridMultilevel"/>
    <w:lvl w:ilvl="0" w:tplc="450621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406857">
    <w:abstractNumId w:val="58406857"/>
  </w:num>
  <w:num w:numId="58406858">
    <w:abstractNumId w:val="5840685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8228200" Type="http://schemas.microsoft.com/office/2011/relationships/commentsExtended" Target="commentsExtended.xml"/><Relationship Id="rId847899527" Type="http://schemas.microsoft.com/office/2011/relationships/people" Target="people.xml"/><Relationship Id="rId4797692b6c80d54c3" Type="http://schemas.openxmlformats.org/officeDocument/2006/relationships/hyperlink" Target="https://gd.eppo.int/taxon/RHYCPA/" TargetMode="External"/><Relationship Id="rId6832692b6c80d552e" Type="http://schemas.openxmlformats.org/officeDocument/2006/relationships/hyperlink" Target="https://gd.eppo.int/taxon/RHYCPA/categorization" TargetMode="External"/><Relationship Id="rId6216692b6c80d6368" Type="http://schemas.openxmlformats.org/officeDocument/2006/relationships/hyperlink" Target="https://gd.eppo.int/taxon/RHYCPA/photos" TargetMode="External"/><Relationship Id="rId9293692b6c80da955" Type="http://schemas.openxmlformats.org/officeDocument/2006/relationships/hyperlink" Target="https://www.ica.gov.co/getattachment/19e016c0-0d14-4412-af12-03eecfe398f2/Manejo-del-picudo--Rhynchophorus-palmarum-L--(Cole.aspx" TargetMode="External"/><Relationship Id="rId8394692b6c80dcdd4" Type="http://schemas.openxmlformats.org/officeDocument/2006/relationships/hyperlink" Target="https://doi.org/10.1093/jee/toaa115" TargetMode="External"/><Relationship Id="rId1464692b6c80dd005" Type="http://schemas.openxmlformats.org/officeDocument/2006/relationships/hyperlink" Target="https://do.org/10.1371/journal.pone.0143210" TargetMode="External"/><Relationship Id="rId2133692b6c80dd107" Type="http://schemas.openxmlformats.org/officeDocument/2006/relationships/hyperlink" Target="https://doi.org/10.1093/jee/toaa175" TargetMode="External"/><Relationship Id="rId4428692b6c80dd936" Type="http://schemas.openxmlformats.org/officeDocument/2006/relationships/hyperlink" Target="https://doi.org/10.5039/agraria.v9i2a3885" TargetMode="External"/><Relationship Id="rId5410692b6c80ddb5f" Type="http://schemas.openxmlformats.org/officeDocument/2006/relationships/hyperlink" Target="https://gd.eppo.int" TargetMode="External"/><Relationship Id="rId7639692b6c80ddc2c" Type="http://schemas.openxmlformats.org/officeDocument/2006/relationships/hyperlink" Target="https://doi.org/10.1111/j.1365-2338.2005.00883.x" TargetMode="External"/><Relationship Id="rId7837692b6c80d622f" Type="http://schemas.openxmlformats.org/officeDocument/2006/relationships/image" Target="media/imgrId7837692b6c80d622f.jpg"/><Relationship Id="rId6425692b6c80d94cc" Type="http://schemas.openxmlformats.org/officeDocument/2006/relationships/image" Target="media/imgrId6425692b6c80d94cc.jpg"/><Relationship Id="rId7936692b6c80dfa4a" Type="http://schemas.openxmlformats.org/officeDocument/2006/relationships/image" Target="media/imgrId7936692b6c80dfa4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