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Euphranta japonica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2022-05-13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Euphranta japonica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(Ito)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Rhacochlaena japonica</w:t>
            </w:r>
            <w:r>
              <w:rPr>
                <w:rFonts w:ascii="Calibri" w:hAnsi="Calibri" w:eastAsia="Calibri" w:cs="Calibri"/>
                <w:color w:val="000000"/>
                <w:position w:val="-3"/>
                <w:sz w:val="22"/>
                <w:szCs w:val="22"/>
              </w:rPr>
              <w:t xml:space="preserve"> Ito</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cherry fruit fly</w:t>
            </w:r>
            <w:hyperlink r:id="rId17366623c20f48a6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8236623c20f48ae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RHACJA</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Euphranta japonica</w:t>
      </w:r>
      <w:r>
        <w:rPr>
          <w:rFonts w:ascii="Calibri" w:hAnsi="Calibri" w:eastAsia="Calibri" w:cs="Calibri"/>
          <w:color w:val="000000"/>
          <w:sz w:val="22"/>
          <w:szCs w:val="22"/>
        </w:rPr>
        <w:t xml:space="preserve"> attacks cherries in Japan (Hardy, 1983; Ito, 1983-85) and the Republic of Korea (Wang, 1996). The potential host range in the EPPO region would include cultivated cherries and possibly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As there is very little literature on this species it is possible that its full host range is not yet known.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left"/>
      </w:pP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has been reported only from the Far East.
</w:t>
      </w:r>
      <w:r>
        <w:drawing>
          <wp:inline distT="0" distB="0" distL="0" distR="0">
            <wp:extent cx="6120000" cy="3067200"/>
            <wp:docPr id="19728417" name="name33756623c20f492c6" descr="RHAC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ACJA_distribution_map.jpg"/>
                    <pic:cNvPicPr/>
                  </pic:nvPicPr>
                  <pic:blipFill>
                    <a:blip r:embed="rId77696623c20f492c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(Hokkaido, Honshu),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left"/>
      </w:pPr>
      <w:r>
        <w:rPr>
          <w:rFonts w:ascii="Calibri" w:hAnsi="Calibri" w:eastAsia="Calibri" w:cs="Calibri"/>
          <w:color w:val="000000"/>
          <w:sz w:val="22"/>
          <w:szCs w:val="22"/>
        </w:rPr>
        <w:t xml:space="preserve">There is no information available on the biology of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Not known, but attacked fruit will probably show signs of oviposition punctures.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left"/>
      </w:pPr>
      <w:r>
        <w:rPr>
          <w:rFonts w:ascii="Calibri" w:hAnsi="Calibri" w:eastAsia="Calibri" w:cs="Calibri"/>
          <w:color w:val="000000"/>
          <w:sz w:val="22"/>
          <w:szCs w:val="22"/>
        </w:rPr>
        <w:t xml:space="preserve">Not described. Ito (1947) provided a few notes on the larva in his original description [in German].</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left"/>
      </w:pPr>
      <w:r>
        <w:rPr>
          <w:rFonts w:ascii="Calibri" w:hAnsi="Calibri" w:eastAsia="Calibri" w:cs="Calibri"/>
          <w:color w:val="000000"/>
          <w:sz w:val="22"/>
          <w:szCs w:val="22"/>
        </w:rPr>
        <w:t xml:space="preserve">Colour: Head, margin of scutellum and legs orange; rest of body black; wing markings brown; wing with a complete apical crossband and no other complete crossbands; anterior edge of wing with two brown markings in cell sc, the basal of which reaches vein R2+3; another mark beyond the end of vein R1 extends to vein R4+5; posterior edge of wing with two markings, one extending forward across the dm-cu crossvein and the other across the r-m crossvein; both these marks only extending as far forwards as vein R4+5.</w:t>
      </w:r>
    </w:p>
    <w:p>
      <w:pPr>
        <w:widowControl w:val="on"/>
        <w:pBdr/>
        <w:spacing w:before="220" w:after="220" w:line="240" w:lineRule="auto"/>
        <w:ind w:left="0" w:right="0"/>
        <w:jc w:val="left"/>
      </w:pPr>
      <w:r>
        <w:rPr>
          <w:rFonts w:ascii="Calibri" w:hAnsi="Calibri" w:eastAsia="Calibri" w:cs="Calibri"/>
          <w:color w:val="000000"/>
          <w:sz w:val="22"/>
          <w:szCs w:val="22"/>
        </w:rPr>
        <w:t xml:space="preserve">Head: Three pairs of frontal setae and only one pair of orbital setae; first flagellomere rounded at apex.</w:t>
      </w:r>
    </w:p>
    <w:p>
      <w:pPr>
        <w:widowControl w:val="on"/>
        <w:pBdr/>
        <w:spacing w:before="220" w:after="220" w:line="240" w:lineRule="auto"/>
        <w:ind w:left="0" w:right="0"/>
        <w:jc w:val="left"/>
      </w:pPr>
      <w:r>
        <w:rPr>
          <w:rFonts w:ascii="Calibri" w:hAnsi="Calibri" w:eastAsia="Calibri" w:cs="Calibri"/>
          <w:color w:val="000000"/>
          <w:sz w:val="22"/>
          <w:szCs w:val="22"/>
        </w:rPr>
        <w:t xml:space="preserve">Thorax: Scutum without presutural supra-alar setae; scutum with a pair of dorsocentral setae which are placed about half way between anterior and posterior supra-alar setae; scutellum flat, with four marginal setae (one basal and an apical pair); anatergite with long pale hairs which are distinct from the general pubescence.</w:t>
      </w:r>
    </w:p>
    <w:p>
      <w:pPr>
        <w:widowControl w:val="on"/>
        <w:pBdr/>
        <w:spacing w:before="220" w:after="220" w:line="240" w:lineRule="auto"/>
        <w:ind w:left="0" w:right="0"/>
        <w:jc w:val="left"/>
      </w:pPr>
      <w:r>
        <w:rPr>
          <w:rFonts w:ascii="Calibri" w:hAnsi="Calibri" w:eastAsia="Calibri" w:cs="Calibri"/>
          <w:color w:val="000000"/>
          <w:sz w:val="22"/>
          <w:szCs w:val="22"/>
        </w:rPr>
        <w:t xml:space="preserve">Wing: Length 5-7 mm. Vein Sc abruptly bent forward at nearly 90°, weakened beyond this bend and ending at subcostal break; vein R1 with dorsal setulae; vein R4+5 with dorsal setulae at least as far as r-m crossvein; apex of vein M meeting C with a distinct angle; cell cup broader than half depth of cell bm, and usually about as deep as cell bm; cup extension short, never more than one fifth as long as vein A1+Cu2, and vein CuA2 straight along anterior edge of cup extension.</w:t>
      </w:r>
    </w:p>
    <w:p>
      <w:pPr>
        <w:widowControl w:val="on"/>
        <w:pBdr/>
        <w:spacing w:before="220" w:after="220" w:line="240" w:lineRule="auto"/>
        <w:ind w:left="0" w:right="0"/>
        <w:jc w:val="left"/>
      </w:pPr>
      <w:r>
        <w:rPr>
          <w:rFonts w:ascii="Calibri" w:hAnsi="Calibri" w:eastAsia="Calibri" w:cs="Calibri"/>
          <w:color w:val="000000"/>
          <w:sz w:val="22"/>
          <w:szCs w:val="22"/>
        </w:rPr>
        <w:t xml:space="preserve">Abdomen: Female with an ovipositor that is shorter than the wing length, and straight. Wing length 5-7mm.</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left"/>
      </w:pPr>
      <w:r>
        <w:rPr>
          <w:rFonts w:ascii="Calibri" w:hAnsi="Calibri" w:eastAsia="Calibri" w:cs="Calibri"/>
          <w:color w:val="000000"/>
          <w:sz w:val="22"/>
          <w:szCs w:val="22"/>
        </w:rPr>
        <w:t xml:space="preserve">Although trapping methods have been developed for many tephritid quarantine pests, none have been reported for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Not documented, but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could presumably be carried as puparia in soil accompanying host plants or as larvae in fruits on host plants. There is no record of interception of </w:t>
      </w:r>
      <w:r>
        <w:rPr>
          <w:rFonts w:ascii="Calibri" w:hAnsi="Calibri" w:eastAsia="Calibri" w:cs="Calibri"/>
          <w:i/>
          <w:iCs/>
          <w:color w:val="000000"/>
          <w:sz w:val="22"/>
          <w:szCs w:val="22"/>
        </w:rPr>
        <w:t xml:space="preserve">E. japonica </w:t>
      </w:r>
      <w:r>
        <w:rPr>
          <w:rFonts w:ascii="Calibri" w:hAnsi="Calibri" w:eastAsia="Calibri" w:cs="Calibri"/>
          <w:color w:val="000000"/>
          <w:sz w:val="22"/>
          <w:szCs w:val="22"/>
        </w:rPr>
        <w:t xml:space="preserve">for the European Union (European Commission,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was regarded as a pest by Watanabe (1939), Koyama (1989) did not mention it in his review of Japanese pest species, suggesting that its status as a pest is minimal. No further details are available. There is no mention of </w:t>
      </w:r>
      <w:r>
        <w:rPr>
          <w:rFonts w:ascii="Calibri" w:hAnsi="Calibri" w:eastAsia="Calibri" w:cs="Calibri"/>
          <w:i/>
          <w:iCs/>
          <w:color w:val="000000"/>
          <w:sz w:val="22"/>
          <w:szCs w:val="22"/>
        </w:rPr>
        <w:t xml:space="preserve">E. japonica </w:t>
      </w:r>
      <w:r>
        <w:rPr>
          <w:rFonts w:ascii="Calibri" w:hAnsi="Calibri" w:eastAsia="Calibri" w:cs="Calibri"/>
          <w:color w:val="000000"/>
          <w:sz w:val="22"/>
          <w:szCs w:val="22"/>
        </w:rPr>
        <w:t xml:space="preserve">in recent scientific literature</w:t>
      </w:r>
      <w:r>
        <w:rPr>
          <w:rFonts w:ascii="Calibri" w:hAnsi="Calibri" w:eastAsia="Calibri" w:cs="Calibri"/>
          <w:i/>
          <w:iCs/>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information, though general methods for fruit fly control would presumably be applicable.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very limited information on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Its lack of economic importance suggests that there is no justification for listing it individually as a quarantine pest. Measures against other fruit flies present in the EPPO region (e.g. </w:t>
      </w:r>
      <w:r>
        <w:rPr>
          <w:rFonts w:ascii="Calibri" w:hAnsi="Calibri" w:eastAsia="Calibri" w:cs="Calibri"/>
          <w:i/>
          <w:iCs/>
          <w:color w:val="000000"/>
          <w:sz w:val="22"/>
          <w:szCs w:val="22"/>
        </w:rPr>
        <w:t xml:space="preserve">Drosophila suzukii, Rhagoletis cerasi</w:t>
      </w:r>
      <w:r>
        <w:rPr>
          <w:rFonts w:ascii="Calibri" w:hAnsi="Calibri" w:eastAsia="Calibri" w:cs="Calibri"/>
          <w:color w:val="000000"/>
          <w:sz w:val="22"/>
          <w:szCs w:val="22"/>
        </w:rPr>
        <w:t xml:space="preserve">) are likely to limit the potential establishment and impact of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if it was introduced into the EPPO region (EPPO, 2022).</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(2020) in a risk categorization for all non-EU Tephritidae listed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among the species that satisfy the criteria that are within the remit of EFSA to assess for them to be regarded as potential Union quarantine pests.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phytosanitary measures seem to be justified however, measures similar to those suggested for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may be applied to limit the risk of introduction: consignments of cherries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cerasus</w:t>
      </w:r>
      <w:r>
        <w:rPr>
          <w:rFonts w:ascii="Calibri" w:hAnsi="Calibri" w:eastAsia="Calibri" w:cs="Calibri"/>
          <w:color w:val="000000"/>
          <w:sz w:val="22"/>
          <w:szCs w:val="22"/>
        </w:rPr>
        <w:t xml:space="preserve">) from regions where the pest occurs should be inspected for symptoms of infestation and those suspected should be cut open in order to look for larvae;  fruits should come from areas where the pest does not occur, or from a place of production found free from the pest by regular trapping before harvest and plants of host plant species transported with roots from regions where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pest occurs should be free from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EPPO datasheets on pests recommended for regulation. Available online. </w:t>
      </w:r>
      <w:hyperlink r:id="rId44916623c20f49bfe" w:history="1">
        <w:r>
          <w:rPr>
            <w:rFonts w:ascii="Calibri" w:hAnsi="Calibri" w:eastAsia="Calibri" w:cs="Calibri"/>
            <w:color w:val="0000CC"/>
            <w:sz w:val="22"/>
            <w:szCs w:val="22"/>
            <w:u w:val="single"/>
          </w:rPr>
          <w:t xml:space="preserve">https://gd.eppo.int/taxon/DROSSU/datasheet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Bragard C, Dehnen-Schmutz K,Di Serio F, Gonthier P, Jacques M-A, Jaques Miret JA, Justesen AF, Magnusson CS, Milonas P, Navas-Cortes JA, Parnell S, Potting R, Reignault PL, Thulke H-H, Van der Werf W, Vicent Civera A, Yuen J, Zappalà L, Bali EM, Papadopoulos N, Papanastassiou S, Czwienczek E, MacLeod A(2020). Pest categorisation of non-EU Tephritidae.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5931, 62 pp. </w:t>
      </w:r>
      <w:hyperlink r:id="rId72546623c20f49c84"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(2022) Europhyt/Traces. Interceptions of harmful organisms in imported plants and other objects. </w:t>
      </w:r>
      <w:hyperlink r:id="rId52426623c20f49cbe" w:history="1">
        <w:r>
          <w:rPr>
            <w:rFonts w:ascii="Calibri" w:hAnsi="Calibri" w:eastAsia="Calibri" w:cs="Calibri"/>
            <w:color w:val="0000CC"/>
            <w:sz w:val="22"/>
            <w:szCs w:val="22"/>
            <w:u w:val="single"/>
          </w:rPr>
          <w:t xml:space="preserve">https://ec.europa.eu/food/plants/plant-health-and-biosecurity/european-union-notification-system-plant-health-interceptions-europhyt/interceptions_en</w:t>
        </w:r>
      </w:hyperlink>
      <w:r>
        <w:rPr>
          <w:rFonts w:ascii="Calibri" w:hAnsi="Calibri" w:eastAsia="Calibri" w:cs="Calibri"/>
          <w:color w:val="000000"/>
          <w:sz w:val="22"/>
          <w:szCs w:val="22"/>
        </w:rPr>
        <w:t xml:space="preserve"> (last accessed 2022-05).</w:t>
      </w:r>
    </w:p>
    <w:p>
      <w:pPr>
        <w:widowControl w:val="on"/>
        <w:pBdr/>
        <w:spacing w:before="220" w:after="220" w:line="240" w:lineRule="auto"/>
        <w:ind w:left="0" w:right="0"/>
        <w:jc w:val="left"/>
      </w:pPr>
      <w:r>
        <w:rPr>
          <w:rFonts w:ascii="Calibri" w:hAnsi="Calibri" w:eastAsia="Calibri" w:cs="Calibri"/>
          <w:color w:val="000000"/>
          <w:sz w:val="22"/>
          <w:szCs w:val="22"/>
        </w:rPr>
        <w:t xml:space="preserve">Hardy DE (1983) The fruit flies of the tribe Euphrantini of Indonesia, New Guinea, and adjacent islands (Tephritidae: Diptera). </w:t>
      </w:r>
      <w:r>
        <w:rPr>
          <w:rFonts w:ascii="Calibri" w:hAnsi="Calibri" w:eastAsia="Calibri" w:cs="Calibri"/>
          <w:i/>
          <w:iCs/>
          <w:color w:val="000000"/>
          <w:sz w:val="22"/>
          <w:szCs w:val="22"/>
        </w:rPr>
        <w:t xml:space="preserve">International Journal of Entomology</w:t>
      </w:r>
      <w:r>
        <w:rPr>
          <w:rFonts w:ascii="Calibri" w:hAnsi="Calibri" w:eastAsia="Calibri" w:cs="Calibri"/>
          <w:color w:val="000000"/>
          <w:sz w:val="22"/>
          <w:szCs w:val="22"/>
        </w:rPr>
        <w:t xml:space="preserve"> 25, 152-205.</w:t>
      </w:r>
    </w:p>
    <w:p>
      <w:pPr>
        <w:widowControl w:val="on"/>
        <w:pBdr/>
        <w:spacing w:before="220" w:after="220" w:line="240" w:lineRule="auto"/>
        <w:ind w:left="0" w:right="0"/>
        <w:jc w:val="left"/>
      </w:pPr>
      <w:r>
        <w:rPr>
          <w:rFonts w:ascii="Calibri" w:hAnsi="Calibri" w:eastAsia="Calibri" w:cs="Calibri"/>
          <w:color w:val="000000"/>
          <w:sz w:val="22"/>
          <w:szCs w:val="22"/>
        </w:rPr>
        <w:t xml:space="preserve">Ito S (1947) Eine neue </w:t>
      </w:r>
      <w:r>
        <w:rPr>
          <w:rFonts w:ascii="Calibri" w:hAnsi="Calibri" w:eastAsia="Calibri" w:cs="Calibri"/>
          <w:i/>
          <w:iCs/>
          <w:color w:val="000000"/>
          <w:sz w:val="22"/>
          <w:szCs w:val="22"/>
        </w:rPr>
        <w:t xml:space="preserve">Rhacochlaena</w:t>
      </w:r>
      <w:r>
        <w:rPr>
          <w:rFonts w:ascii="Calibri" w:hAnsi="Calibri" w:eastAsia="Calibri" w:cs="Calibri"/>
          <w:color w:val="000000"/>
          <w:sz w:val="22"/>
          <w:szCs w:val="22"/>
        </w:rPr>
        <w:t xml:space="preserve">-Art aus Japan. </w:t>
      </w:r>
      <w:r>
        <w:rPr>
          <w:rFonts w:ascii="Calibri" w:hAnsi="Calibri" w:eastAsia="Calibri" w:cs="Calibri"/>
          <w:i/>
          <w:iCs/>
          <w:color w:val="000000"/>
          <w:sz w:val="22"/>
          <w:szCs w:val="22"/>
        </w:rPr>
        <w:t xml:space="preserve">Mushi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(8), 35-38.</w:t>
      </w:r>
    </w:p>
    <w:p>
      <w:pPr>
        <w:widowControl w:val="on"/>
        <w:pBdr/>
        <w:spacing w:before="220" w:after="220" w:line="240" w:lineRule="auto"/>
        <w:ind w:left="0" w:right="0"/>
        <w:jc w:val="left"/>
      </w:pPr>
      <w:r>
        <w:rPr>
          <w:rFonts w:ascii="Calibri" w:hAnsi="Calibri" w:eastAsia="Calibri" w:cs="Calibri"/>
          <w:color w:val="000000"/>
          <w:sz w:val="22"/>
          <w:szCs w:val="22"/>
        </w:rPr>
        <w:t xml:space="preserve">Ito S (1983-5) </w:t>
      </w:r>
      <w:r>
        <w:rPr>
          <w:rFonts w:ascii="Calibri" w:hAnsi="Calibri" w:eastAsia="Calibri" w:cs="Calibri"/>
          <w:i/>
          <w:iCs/>
          <w:color w:val="000000"/>
          <w:sz w:val="22"/>
          <w:szCs w:val="22"/>
        </w:rPr>
        <w:t xml:space="preserve">The Japanese fruitflies</w:t>
      </w:r>
      <w:r>
        <w:rPr>
          <w:rFonts w:ascii="Calibri" w:hAnsi="Calibri" w:eastAsia="Calibri" w:cs="Calibri"/>
          <w:color w:val="000000"/>
          <w:sz w:val="22"/>
          <w:szCs w:val="22"/>
        </w:rPr>
        <w:t xml:space="preserve">. 1983, 1-48; 1984a-e, 49-96, 97-144, 145-192, 193-240, 241-288; 1985, 289-352. S. Ito, Osaka, Japan.</w:t>
      </w:r>
    </w:p>
    <w:p>
      <w:pPr>
        <w:widowControl w:val="on"/>
        <w:pBdr/>
        <w:spacing w:before="220" w:after="220" w:line="240" w:lineRule="auto"/>
        <w:ind w:left="0" w:right="0"/>
        <w:jc w:val="left"/>
      </w:pPr>
      <w:r>
        <w:rPr>
          <w:rFonts w:ascii="Calibri" w:hAnsi="Calibri" w:eastAsia="Calibri" w:cs="Calibri"/>
          <w:color w:val="000000"/>
          <w:sz w:val="22"/>
          <w:szCs w:val="22"/>
        </w:rPr>
        <w:t xml:space="preserve">Koyama J (1989) Pest status; south-east Asia and Japan.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63-66.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Wang X-J (1996) The fruit flies (Diptera: Tephritidae) of the east Asian region. </w:t>
      </w:r>
      <w:r>
        <w:rPr>
          <w:rFonts w:ascii="Calibri" w:hAnsi="Calibri" w:eastAsia="Calibri" w:cs="Calibri"/>
          <w:i/>
          <w:iCs/>
          <w:color w:val="000000"/>
          <w:sz w:val="22"/>
          <w:szCs w:val="22"/>
        </w:rPr>
        <w:t xml:space="preserve">Acta Zootaxonomica</w:t>
      </w:r>
      <w:r>
        <w:rPr>
          <w:rFonts w:ascii="Calibri" w:hAnsi="Calibri" w:eastAsia="Calibri" w:cs="Calibri"/>
          <w:color w:val="000000"/>
          <w:sz w:val="22"/>
          <w:szCs w:val="22"/>
        </w:rPr>
        <w:t xml:space="preserve"> Sinica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(Supplement).</w:t>
      </w:r>
    </w:p>
    <w:p>
      <w:pPr>
        <w:widowControl w:val="on"/>
        <w:pBdr/>
        <w:spacing w:before="220" w:after="220" w:line="240" w:lineRule="auto"/>
        <w:ind w:left="0" w:right="0"/>
        <w:jc w:val="left"/>
      </w:pPr>
      <w:r>
        <w:rPr>
          <w:rFonts w:ascii="Calibri" w:hAnsi="Calibri" w:eastAsia="Calibri" w:cs="Calibri"/>
          <w:color w:val="000000"/>
          <w:sz w:val="22"/>
          <w:szCs w:val="22"/>
        </w:rPr>
        <w:t xml:space="preserve">Watanabe C (1939) [On the parasitic wasps of fruit flies attacking cherry]. </w:t>
      </w:r>
      <w:r>
        <w:rPr>
          <w:rFonts w:ascii="Calibri" w:hAnsi="Calibri" w:eastAsia="Calibri" w:cs="Calibri"/>
          <w:i/>
          <w:iCs/>
          <w:color w:val="000000"/>
          <w:sz w:val="22"/>
          <w:szCs w:val="22"/>
        </w:rPr>
        <w:t xml:space="preserve">Oyo-Dobutsugaku-Zasshi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123-128.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both"/>
      </w:pPr>
      <w:r>
        <w:rPr>
          <w:rFonts w:ascii="Calibri" w:hAnsi="Calibri" w:eastAsia="Calibri" w:cs="Calibri"/>
          <w:color w:val="000000"/>
          <w:sz w:val="22"/>
          <w:szCs w:val="22"/>
        </w:rPr>
        <w:t xml:space="preserve">This datasheet was revised in 2022 by the EPPO Secretariat. Only a very limited number of scientific references have been published since the last edition of the datasheet.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Euphranta japonica</w:t>
      </w:r>
      <w:r>
        <w:rPr>
          <w:rFonts w:ascii="Calibri" w:hAnsi="Calibri" w:eastAsia="Calibri" w:cs="Calibri"/>
          <w:color w:val="000000"/>
          <w:sz w:val="22"/>
          <w:szCs w:val="22"/>
        </w:rPr>
        <w:t xml:space="preserve">. EPPO datasheets on pests recommended for regulation. Available online. </w:t>
      </w:r>
      <w:hyperlink r:id="rId67976623c20f4a00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29006623c20f4a180"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14672334" name="name96436623c20f4a37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596623c20f4a37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033182">
    <w:multiLevelType w:val="hybridMultilevel"/>
    <w:lvl w:ilvl="0" w:tplc="92522417">
      <w:start w:val="1"/>
      <w:numFmt w:val="decimal"/>
      <w:lvlText w:val="%1."/>
      <w:lvlJc w:val="left"/>
      <w:pPr>
        <w:ind w:left="720" w:hanging="360"/>
      </w:pPr>
    </w:lvl>
    <w:lvl w:ilvl="1" w:tplc="92522417" w:tentative="1">
      <w:start w:val="1"/>
      <w:numFmt w:val="lowerLetter"/>
      <w:lvlText w:val="%2."/>
      <w:lvlJc w:val="left"/>
      <w:pPr>
        <w:ind w:left="1440" w:hanging="360"/>
      </w:pPr>
    </w:lvl>
    <w:lvl w:ilvl="2" w:tplc="92522417" w:tentative="1">
      <w:start w:val="1"/>
      <w:numFmt w:val="lowerRoman"/>
      <w:lvlText w:val="%3."/>
      <w:lvlJc w:val="right"/>
      <w:pPr>
        <w:ind w:left="2160" w:hanging="180"/>
      </w:pPr>
    </w:lvl>
    <w:lvl w:ilvl="3" w:tplc="92522417" w:tentative="1">
      <w:start w:val="1"/>
      <w:numFmt w:val="decimal"/>
      <w:lvlText w:val="%4."/>
      <w:lvlJc w:val="left"/>
      <w:pPr>
        <w:ind w:left="2880" w:hanging="360"/>
      </w:pPr>
    </w:lvl>
    <w:lvl w:ilvl="4" w:tplc="92522417" w:tentative="1">
      <w:start w:val="1"/>
      <w:numFmt w:val="lowerLetter"/>
      <w:lvlText w:val="%5."/>
      <w:lvlJc w:val="left"/>
      <w:pPr>
        <w:ind w:left="3600" w:hanging="360"/>
      </w:pPr>
    </w:lvl>
    <w:lvl w:ilvl="5" w:tplc="92522417" w:tentative="1">
      <w:start w:val="1"/>
      <w:numFmt w:val="lowerRoman"/>
      <w:lvlText w:val="%6."/>
      <w:lvlJc w:val="right"/>
      <w:pPr>
        <w:ind w:left="4320" w:hanging="180"/>
      </w:pPr>
    </w:lvl>
    <w:lvl w:ilvl="6" w:tplc="92522417" w:tentative="1">
      <w:start w:val="1"/>
      <w:numFmt w:val="decimal"/>
      <w:lvlText w:val="%7."/>
      <w:lvlJc w:val="left"/>
      <w:pPr>
        <w:ind w:left="5040" w:hanging="360"/>
      </w:pPr>
    </w:lvl>
    <w:lvl w:ilvl="7" w:tplc="92522417" w:tentative="1">
      <w:start w:val="1"/>
      <w:numFmt w:val="lowerLetter"/>
      <w:lvlText w:val="%8."/>
      <w:lvlJc w:val="left"/>
      <w:pPr>
        <w:ind w:left="5760" w:hanging="360"/>
      </w:pPr>
    </w:lvl>
    <w:lvl w:ilvl="8" w:tplc="92522417" w:tentative="1">
      <w:start w:val="1"/>
      <w:numFmt w:val="lowerRoman"/>
      <w:lvlText w:val="%9."/>
      <w:lvlJc w:val="right"/>
      <w:pPr>
        <w:ind w:left="6480" w:hanging="180"/>
      </w:pPr>
    </w:lvl>
  </w:abstractNum>
  <w:abstractNum w:abstractNumId="85033181">
    <w:multiLevelType w:val="hybridMultilevel"/>
    <w:lvl w:ilvl="0" w:tplc="363732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033181">
    <w:abstractNumId w:val="85033181"/>
  </w:num>
  <w:num w:numId="85033182">
    <w:abstractNumId w:val="8503318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5008590" Type="http://schemas.microsoft.com/office/2011/relationships/commentsExtended" Target="commentsExtended.xml"/><Relationship Id="rId940417511" Type="http://schemas.microsoft.com/office/2011/relationships/people" Target="people.xml"/><Relationship Id="rId17366623c20f48a6c" Type="http://schemas.openxmlformats.org/officeDocument/2006/relationships/hyperlink" Target="https://gd.eppo.int/taxon/RHACJA/" TargetMode="External"/><Relationship Id="rId78236623c20f48aef" Type="http://schemas.openxmlformats.org/officeDocument/2006/relationships/hyperlink" Target="https://gd.eppo.int/taxon/RHACJA/categorization" TargetMode="External"/><Relationship Id="rId44916623c20f49bfe" Type="http://schemas.openxmlformats.org/officeDocument/2006/relationships/hyperlink" Target="https://gd.eppo.int/taxon/DROSSU/datasheet" TargetMode="External"/><Relationship Id="rId72546623c20f49c84" Type="http://schemas.openxmlformats.org/officeDocument/2006/relationships/hyperlink" Target="https://doi.org/10.2903/j.efsa.2020.5931" TargetMode="External"/><Relationship Id="rId52426623c20f49cbe" Type="http://schemas.openxmlformats.org/officeDocument/2006/relationships/hyperlink" Target="https://ec.europa.eu/food/plants/plant-health-and-biosecurity/european-union-notification-system-plant-health-interceptions-europhyt/interceptions_en" TargetMode="External"/><Relationship Id="rId67976623c20f4a006" Type="http://schemas.openxmlformats.org/officeDocument/2006/relationships/hyperlink" Target="https://gd.eppo.int" TargetMode="External"/><Relationship Id="rId29006623c20f4a180" Type="http://schemas.openxmlformats.org/officeDocument/2006/relationships/hyperlink" Target="https://doi.org/10.1111/j.1365-2338.1983.tb01715.x" TargetMode="External"/><Relationship Id="rId77696623c20f492c3" Type="http://schemas.openxmlformats.org/officeDocument/2006/relationships/image" Target="media/imgrId77696623c20f492c3.jpg"/><Relationship Id="rId30596623c20f4a37d" Type="http://schemas.openxmlformats.org/officeDocument/2006/relationships/image" Target="media/imgrId30596623c20f4a37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