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syzygii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syzygii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(Roberts et al.) Vaneechoutte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Sumatra disease, banana blood disease</w:t>
            </w:r>
            <w:hyperlink r:id="rId31446a53d7591a1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3686a53d7591a20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Phylotype IV comprises 4 sequevars (PIV-8, PIV-9, PIV-10 and PIV-11) but the three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not clearly delineated according to sequevar.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relatively recently classified species, new hosts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likely still to be discovered.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Following inoculation,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has been shown to infect other related species of the family Myrtaceae, including some indigenous species native to Indonesian forests, such as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including some solanaceous crops as well as clove and arrowroot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It has also been detected on various wild spp., including </w:t>
      </w:r>
      <w:r>
        <w:rPr>
          <w:rFonts w:ascii="Calibri" w:hAnsi="Calibri" w:eastAsia="Calibri" w:cs="Calibri"/>
          <w:i/>
          <w:iCs/>
          <w:color w:val="000000"/>
          <w:sz w:val="22"/>
          <w:szCs w:val="22"/>
        </w:rPr>
        <w:t xml:space="preserve">Asclepias currassiva</w:t>
      </w:r>
      <w:r>
        <w:rPr>
          <w:rFonts w:ascii="Calibri" w:hAnsi="Calibri" w:eastAsia="Calibri" w:cs="Calibri"/>
          <w:color w:val="000000"/>
          <w:sz w:val="22"/>
          <w:szCs w:val="22"/>
        </w:rPr>
        <w:t xml:space="preserve"> (tropical milkweed),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Natural hosts reported so far are listed below. Other potential hosts, including tree species, have been reported (e.g. by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the pathogen has yet to be fully characterized.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textilis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found in</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1975 in the Indonesian provinces of Sumatra and West Java, </w:t>
      </w:r>
      <w:r>
        <w:rPr>
          <w:rFonts w:ascii="Calibri" w:hAnsi="Calibri" w:eastAsia="Calibri" w:cs="Calibri"/>
          <w:i/>
          <w:iCs/>
          <w:color w:val="000000"/>
          <w:sz w:val="22"/>
          <w:szCs w:val="22"/>
        </w:rPr>
        <w:t xml:space="preserve">R. syzygii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syzygii </w:t>
      </w:r>
      <w:r>
        <w:rPr>
          <w:rFonts w:ascii="Calibri" w:hAnsi="Calibri" w:eastAsia="Calibri" w:cs="Calibri"/>
          <w:color w:val="000000"/>
          <w:sz w:val="22"/>
          <w:szCs w:val="22"/>
        </w:rPr>
        <w:t xml:space="preserve">has now spread to Central and East Java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Lomer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suggested that Sumatra disease of cloves may have been transferred to clove trees from wild forest hosts because of the localized initial distribution of the disease and the corresponding localized distribution of the vector species, indicating that the pathogen may have a wider host range than has so far been identified (Purcell and Hopkins, 1996).</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was first reported in Indonesia on Selayar Island in the early 1900s after the introduction of dessert banana. The disease spread to Java in the late 1980s and has become common on local </w:t>
      </w:r>
      <w:r>
        <w:rPr>
          <w:rFonts w:ascii="Calibri" w:hAnsi="Calibri" w:eastAsia="Calibri" w:cs="Calibri"/>
          <w:i/>
          <w:iCs/>
          <w:color w:val="000000"/>
          <w:sz w:val="22"/>
          <w:szCs w:val="22"/>
        </w:rPr>
        <w:t xml:space="preserve">M. paradisiaca</w:t>
      </w:r>
      <w:r>
        <w:rPr>
          <w:rFonts w:ascii="Calibri" w:hAnsi="Calibri" w:eastAsia="Calibri" w:cs="Calibri"/>
          <w:color w:val="000000"/>
          <w:sz w:val="22"/>
          <w:szCs w:val="22"/>
        </w:rPr>
        <w:t xml:space="preserve"> cultivars in Sulawesi.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has since spread to most of the larger Indonesian islands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has also been reported on the island of New Guinea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in Malaysia (Teng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 </w:t>
      </w:r>
      <w:r>
        <w:rPr>
          <w:rFonts w:ascii="Calibri" w:hAnsi="Calibri" w:eastAsia="Calibri" w:cs="Calibri"/>
          <w:color w:val="000000"/>
          <w:sz w:val="22"/>
          <w:szCs w:val="22"/>
        </w:rPr>
        <w:t xml:space="preserve">causes disease on solanaceous hosts in Indonesia and some other countries, and has also been isolated from clove in Indonesia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currently known worldwide distribution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is as follows:</w:t>
      </w:r>
    </w:p>
    <w:p>
      <w:r>
        <w:drawing>
          <wp:inline distT="0" distB="0" distL="0" distR="0">
            <wp:extent cx="6120000" cy="3067200"/>
            <wp:docPr id="85998116" name="name91326a53d7591ba02" descr="RALSS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Y_distribution_map.jpg"/>
                    <pic:cNvPicPr/>
                  </pic:nvPicPr>
                  <pic:blipFill>
                    <a:blip r:embed="rId15236a53d7591b9f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(Meghalaya), Indonesia (Irian Jaya, Java, Kalimantan, Nusa Tenggara, Sulawesi, Sumatra), Japan (Hokkaido, Honshu, Kyushu, Ryukyu Archipelago), Korea, Republic of, Malaysia (West), Philippines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a xylem-limited bacterium, living in xylem cells or tracheary elements of plants (Purcell and Hopkins, 1996). It is transmitted by insect vectors, tube building cercopoids (Hemiptera), that feed on xylem sap. Of these, </w:t>
      </w:r>
      <w:r>
        <w:rPr>
          <w:rFonts w:ascii="Calibri" w:hAnsi="Calibri" w:eastAsia="Calibri" w:cs="Calibri"/>
          <w:i/>
          <w:iCs/>
          <w:color w:val="000000"/>
          <w:sz w:val="22"/>
          <w:szCs w:val="22"/>
        </w:rPr>
        <w:t xml:space="preserve">Hindola fulva</w:t>
      </w:r>
      <w:r>
        <w:rPr>
          <w:rFonts w:ascii="Calibri" w:hAnsi="Calibri" w:eastAsia="Calibri" w:cs="Calibri"/>
          <w:color w:val="000000"/>
          <w:sz w:val="22"/>
          <w:szCs w:val="22"/>
        </w:rPr>
        <w:t xml:space="preserve"> was found to be a natural insect vector in Sumatra whereas </w:t>
      </w:r>
      <w:r>
        <w:rPr>
          <w:rFonts w:ascii="Calibri" w:hAnsi="Calibri" w:eastAsia="Calibri" w:cs="Calibri"/>
          <w:i/>
          <w:iCs/>
          <w:color w:val="000000"/>
          <w:sz w:val="22"/>
          <w:szCs w:val="22"/>
        </w:rPr>
        <w:t xml:space="preserve">H. striata</w:t>
      </w:r>
      <w:r>
        <w:rPr>
          <w:rFonts w:ascii="Calibri" w:hAnsi="Calibri" w:eastAsia="Calibri" w:cs="Calibri"/>
          <w:color w:val="000000"/>
          <w:sz w:val="22"/>
          <w:szCs w:val="22"/>
        </w:rPr>
        <w:t xml:space="preserve"> is a primarily vector in Java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Vector transmission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persistent with a short latent period between acquisition and transmission of the pathogen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Blocking of the xylem vessels by bacterial biofilm is the major cause of wilting.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can survive in soil for at least a year in infested plant residues and infected fruits and can be disseminated through plantations in soil and water or on tools and vehicles. It enters the plant through its roots, eventually colonizing and blocking the xylem. Various pollenating insects, including the stingless bee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and the banana skipper butterfly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also transmit this subspecies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Plantain (type ABB) cultivars with dehiscent bracts are particularly susceptible to insect transmission since the bacterium can reach the vascular tissue through wounds created when the bracts fall off. The high sugar content of the male flower nectar of the highly susceptible cultivar ‘Pisang Kepok’ appears to be particularly attractive to insects such as wasps, bees and flies (Setyobudi and Hermanto, 1999).</w:t>
      </w:r>
    </w:p>
    <w:p>
      <w:pPr>
        <w:widowControl w:val="on"/>
        <w:pBdr/>
        <w:spacing w:before="220" w:after="220" w:line="240" w:lineRule="auto"/>
        <w:ind w:left="0" w:right="0"/>
        <w:jc w:val="both"/>
      </w:pPr>
      <w:r>
        <w:rPr>
          <w:rFonts w:ascii="Calibri" w:hAnsi="Calibri" w:eastAsia="Calibri" w:cs="Calibri"/>
          <w:color w:val="000000"/>
          <w:sz w:val="22"/>
          <w:szCs w:val="22"/>
        </w:rPr>
        <w:t xml:space="preserve">Less is known of the biology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it appears to persist in the environment for long periods, probably associated with its wild hosts. Unlike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potato brown rot strains,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only causes disease of potato in tropical but not temperate conditions (Cellier and Prior, 2010); it was highly pathogenic to potato at 26°C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clove:</w:t>
      </w:r>
      <w:r>
        <w:rPr>
          <w:rFonts w:ascii="Calibri" w:hAnsi="Calibri" w:eastAsia="Calibri" w:cs="Calibri"/>
          <w:color w:val="000000"/>
          <w:sz w:val="22"/>
          <w:szCs w:val="22"/>
        </w:rPr>
        <w:t xml:space="preserve"> Sumatra disease usually affects productive trees over 10 years of age (Hadiwijaya, 1983). Externally the initial symptom is unseasonal yellowing of leaves followed by leaf-drop from the tips of branches high in the crown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leaves may also wilt suddenly and turn brown, but stay attached to the branch. Affected twigs turn reddish brown and progressively die back. Symptoms typically progress to lower branches until the whole crown is affected, and the tree dies within 6-18 months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Symptoms are usually more severe and disease spread is more rapid as elevations increase and temperatures decrease. Artificial inoculation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seedlings leads to leaf yellowing and drying after 28 days and death of the seedling after 56 days (Danaatmadja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Internally, the newly formed wood adjacent to the cambium becomes discoloured a pale greyish-brown and the xylem discoloration can be traced down the trunk into one or more major roots (Bennett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1985). When cut, infected branches ooze a milky white to pale brown bacterial exudate from the cut surface. Although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can be isolated from the roots and lower trunk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trees only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can systemically colonize and kill these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Symptoms of blood disease are quite similar to Moko disease caused by insect-transmitted strains belonging to RSSC phylotype II. The male flower bud and peduncle discolour and shrivel, the fruit pulp shows a reddish dry rot, and the vascular tissue throughout the plant exhibits a reddish discoloration, which oozes reddish-brown bacterial exudate when cut (Sequeira and Averre, 1961; Buddenhagen, 1962). The older leaves of blood disease-infected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become yellow, followed by wilting, necrosis and collapse; younger leaves turn bright yellow before becoming necrotic and dry. The pathogen rapidly colonizes the entire plant, and suckers also wilt and die (Eden-Green, 1994b).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tomato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disease symptoms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on solanaceous crops are no different from those described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(see relevant EPPO data sheets). The external symptoms of infected plants are wilting, stunting and yellowing of the foliage with the disease progressing until the plant completely collapses. Internally the vascular tissue and portions of the pith and cortex become progressively discoloured eventually leading to complete necrosis and plant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Morphology and phylogeny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subspecies is fully described by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Cells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Gram-negative, non-sporulating, non-capsulated, motile or non-motile, rods, approximately 0.5-0.6 x 1.0-2.5mm, occurring singly, in pairs or occasionally in short chains. Aerobic growth. Catalase- and oxidase-positive. Growth is observed on MacConkey agar without NaCl, but not on this media with 5 % NaCl. </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on casamino peptone glucose (CPG) agar at 28 °C is very sparse or absent after 6 days for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typically produces small (0.5-2 mm), round, mucoid, and non-fluid colonies after 4-5 days.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colonies vary from fluidal to butyrous, irregular and convex, white in colour with a diameter of approximately 0.5 mm after 2-3 days of incubation at 28 °C on CPG.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spread of Sumatra disease of clove appears to be largely through transmission by the insect vectors of the order Hemiptera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resulting in a distinct pattern of disease expression and distribution in the field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Seedlings less than 2 years old are rarely affected. The disease advances on a broad front, at an estimated rate of 1-2 km per year and then disappears for years until young trees mature and the cycle repeats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disease spreads in all directions uphill, downhill, and across rivers.</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is also vectored by a variety of pollenating insects. Dispersion by insects at over 25 km per annum was shown on cooking and dessert bananas (Eden-Green and Seal, 1993). Mairawita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the flying insect,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often carried the blood disease pathogen in Sumatra. In Sulawesi, various large wasps, </w:t>
      </w:r>
      <w:r>
        <w:rPr>
          <w:rFonts w:ascii="Calibri" w:hAnsi="Calibri" w:eastAsia="Calibri" w:cs="Calibri"/>
          <w:i/>
          <w:iCs/>
          <w:color w:val="000000"/>
          <w:sz w:val="22"/>
          <w:szCs w:val="22"/>
        </w:rPr>
        <w:t xml:space="preserve">Oncopsia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Trigona</w:t>
      </w:r>
      <w:r>
        <w:rPr>
          <w:rFonts w:ascii="Calibri" w:hAnsi="Calibri" w:eastAsia="Calibri" w:cs="Calibri"/>
          <w:color w:val="000000"/>
          <w:sz w:val="22"/>
          <w:szCs w:val="22"/>
        </w:rPr>
        <w:t xml:space="preserve"> bees and flies have been observed in contact with ooze discharging from peduncles and male buds of blood bacterial wilt-affected plants.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is also known to carry the bacterium in Java (Suharjo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plantations, spread also occurs via surface water, contaminated tools and vehicles. However, it is likely that the transmigration of people from Java to less populated islands in the country was associated with the spread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in infected planting material (especially suckers of cooking banana ABB and BBB types, but also dessert banana and related ornamental plants), initially from Selayar Island to Sulawesi, Java and eventually to most of the larger Indonesian islands as well as to New Guinea and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is probably also due to movement of infected planting material. Spread of this subsp. outside of Indonesia has mainly been of a single sequevar (PIV-8) and is limited to potato, suggesting possible movement in the international potato trade. As with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local spread can occur through mechanical transmission during cultivation or via soil drainage or surface water used for irrigation or by root contact.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the reduction in banana production due to blood disease was estimated to be approximately 36% in 1991 (Muharam and Subijanto, 1991). In Southern Sumatra, losses due to blood disease have been estimated to reach 64% (Cahyaniati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With spread of the pathogen to most of the larger Indonesian islands, the average yield loss has been estimated to exceed 35% (Supriadi, 2005). Production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has decreased rapidly since 1996, mainly due to Sumatra disease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disease, which was initially confined to the Indonesian provinces of Sumatra and West Java, has now spread to Central Java and East Java and causes economic losses of up to 5-10% per year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all, plant diseases caused by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in Indonesia were estimated to cause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highest pre-harvest losses of all pests, including mammals and insects (Geddes,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clove varieties appear susceptible to Sumatra disease, so local agricultural departments in Indonesia recommend that agricultural tools used for field work should be disinfected, infected plants should be eradicated, and insecticides should be applied to minimize the spread of the disease by insect vectors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an alternative to insecticides, different natural enemies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have been identified, such as parasitizing species of </w:t>
      </w:r>
      <w:r>
        <w:rPr>
          <w:rFonts w:ascii="Calibri" w:hAnsi="Calibri" w:eastAsia="Calibri" w:cs="Calibri"/>
          <w:i/>
          <w:iCs/>
          <w:color w:val="000000"/>
          <w:sz w:val="22"/>
          <w:szCs w:val="22"/>
        </w:rPr>
        <w:t xml:space="preserve">Stylops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Acmopolynema</w:t>
      </w:r>
      <w:r>
        <w:rPr>
          <w:rFonts w:ascii="Calibri" w:hAnsi="Calibri" w:eastAsia="Calibri" w:cs="Calibri"/>
          <w:color w:val="000000"/>
          <w:sz w:val="22"/>
          <w:szCs w:val="22"/>
        </w:rPr>
        <w:t xml:space="preserve"> and predatory species of the family Tettigoniidae. Some potentially antagonistic bacterial endophytes and rhizobacteria which are antagonistic to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have also been identified (Fina Dwimartina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biological control strategies are difficult to apply on a sufficiently large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all edible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are thought to be susceptible to blood disease. The cultivar ‘Pisang Puju’, an acceptable resistant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plantain variety from Sulawesi, and ‘Pisang Sepatu Amora’ appear to be less susceptible since these cultivars abort the male bud, blocking insect transmission (Hermanto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Similarly, removal of the male flower bud of susceptible varieties, as practiced for Moko disease control, has been an effective cultural control practice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of infected plants is an essential part of control but disposal of infected plant material can be difficult. Indonesian farmers managed to effectively control banana blood disease by burning uprooted material (Setyobudi and Hermanto, 1999). In commercial plantations, strict and sustained preventive management measures, based on the use of healthy planting material, male fluorescence de-budding or bagging to prevent insect transmission and strict hygiene and quarantine measures can be very effective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in the case of small scale farmers, facing banana blood disease in cooking bananas, adoption of simple measures is not always easy. Many cooking varieties are grown in small informal plantings that continuously provide sources of inoculum. Restricting movement of planting material from infected areas remains the most effective way to limit spread of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relies on the same approaches as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Use of pathogen-free planting material, prevention of movement of infected potato tubers or other host plants for planting, regular use of inspection and diagnostics to identify and eliminate infections and careful hygiene during cultivation, pruning and harvesting activities are key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bacterium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being introduced into, or intercepted in, the EPPO region. Introduction of some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may present a risk for the warmer southern member countries or for host plants grown under protected cultivation. Due to the host specificity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it should only present a risk to clove-producing countries.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is mainly a risk to banana production and should be given the same phytosanitary consideration as Moko disease-causing strains of phylotype II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already spread internationally within Asia on potato, but seem to be lower risk for the EPPO region than the phylotype 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because it only causes disease of potato in tropical but not temperate conditions (Cellier and Prior, 2010;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CPA, Hunt P &amp; Asman A (1985) Association of a xylem-limited bacterium with Sumatra disease of cloves in Indonesia.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487-494.</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15516a53d7591ced5"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Cahyaniati C, Mortensen N, Mathur SB (1997) Bacterial wilt of banana in Indonesia. </w:t>
      </w:r>
      <w:r>
        <w:rPr>
          <w:rFonts w:ascii="Calibri" w:hAnsi="Calibri" w:eastAsia="Calibri" w:cs="Calibri"/>
          <w:i/>
          <w:iCs/>
          <w:color w:val="000000"/>
          <w:sz w:val="22"/>
          <w:szCs w:val="22"/>
        </w:rPr>
        <w:t xml:space="preserve">Technical Bulletin.  Directorate Plant Protection of Indonesia</w:t>
      </w:r>
      <w:r>
        <w:rPr>
          <w:rFonts w:ascii="Calibri" w:hAnsi="Calibri" w:eastAsia="Calibri" w:cs="Calibri"/>
          <w:color w:val="000000"/>
          <w:sz w:val="22"/>
          <w:szCs w:val="22"/>
        </w:rPr>
        <w:t xml:space="preserve">. Jakarta (ID).</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 Moore N, Fegan M (2001) Blood disease and Panama disease: Two newly introduced and grave threats to banana production on the island of New Guinea. pp. 816-821 in: Food Security for Papua New Guinea. Proceedings of the Papua New Guinea Food and Nutrition 2000 Conference PNG University of Technology, Lae, 26-30 June 2000. (Eds Bourke RM, Allen MG, Salisbury JG). ACIAR.</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Balfas R, Sutarjo T, Jamalius (1992) Characteristics of the transmission of Sumatra disease of cloves by tube-building cercopoids,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(6), 702-712.</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Seal SE (1993) Bacterial diseases of banana and plantain in southeast Asia. pp.115-121 in: </w:t>
      </w:r>
      <w:r>
        <w:rPr>
          <w:rFonts w:ascii="Calibri" w:hAnsi="Calibri" w:eastAsia="Calibri" w:cs="Calibri"/>
          <w:i/>
          <w:iCs/>
          <w:color w:val="000000"/>
          <w:sz w:val="22"/>
          <w:szCs w:val="22"/>
        </w:rPr>
        <w:t xml:space="preserve">Proceedings of an international symposium on genetic improvement of bananas for resistance to diseases and pests: breeding bananas and plantains for resistance to diseases and pests, Montpellier, France, 7-9 September 1992</w:t>
      </w:r>
      <w:r>
        <w:rPr>
          <w:rFonts w:ascii="Calibri" w:hAnsi="Calibri" w:eastAsia="Calibri" w:cs="Calibri"/>
          <w:color w:val="000000"/>
          <w:sz w:val="22"/>
          <w:szCs w:val="22"/>
        </w:rPr>
        <w:t xml:space="preserve">. (Ed Ganry J). INIBAP, Montpellier (FR). </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(2006). Diverse members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cause bacterial wilts of banana</w:t>
      </w:r>
      <w:r>
        <w:rPr>
          <w:rFonts w:ascii="Calibri" w:hAnsi="Calibri" w:eastAsia="Calibri" w:cs="Calibri"/>
          <w:i/>
          <w:iCs/>
          <w:color w:val="000000"/>
          <w:sz w:val="22"/>
          <w:szCs w:val="22"/>
        </w:rPr>
        <w:t xml:space="preserve">. Australasian Plant 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93-101.</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Taghavi M, Sly LI, Hayward AC (1998) Phylogeny, diversity and molecular diagnostics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pp. 19-33 In </w:t>
      </w:r>
      <w:r>
        <w:rPr>
          <w:rFonts w:ascii="Calibri" w:hAnsi="Calibri" w:eastAsia="Calibri" w:cs="Calibri"/>
          <w:i/>
          <w:iCs/>
          <w:color w:val="000000"/>
          <w:sz w:val="22"/>
          <w:szCs w:val="22"/>
        </w:rPr>
        <w:t xml:space="preserve">Bacterial Wilt Disease: Molecular and ecological aspects</w:t>
      </w:r>
      <w:r>
        <w:rPr>
          <w:rFonts w:ascii="Calibri" w:hAnsi="Calibri" w:eastAsia="Calibri" w:cs="Calibri"/>
          <w:color w:val="000000"/>
          <w:sz w:val="22"/>
          <w:szCs w:val="22"/>
        </w:rPr>
        <w:t xml:space="preserve"> (eds Prior P, Allen C &amp; Elphinstone J) Springer Verlag,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Fina Dwimartina, Triwidodo Arwiyanto &amp; Tri Joko (2017) Potential of endophytic and rhizobacteria as an effective biocontrol for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191-198 DOI: 10.3923/ajppaj.2017.191.198</w:t>
      </w:r>
    </w:p>
    <w:p>
      <w:pPr>
        <w:widowControl w:val="on"/>
        <w:pBdr/>
        <w:spacing w:before="220" w:after="220" w:line="240" w:lineRule="auto"/>
        <w:ind w:left="0" w:right="0"/>
        <w:jc w:val="left"/>
      </w:pPr>
      <w:r>
        <w:rPr>
          <w:rFonts w:ascii="Calibri" w:hAnsi="Calibri" w:eastAsia="Calibri" w:cs="Calibri"/>
          <w:color w:val="000000"/>
          <w:sz w:val="22"/>
          <w:szCs w:val="22"/>
        </w:rPr>
        <w:t xml:space="preserve">Geddes AMW (1992) The relative importance of preharvest crop pests in Indonesia. Bulletin No. 47.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Hermanto C, Eliza E, Emilda D (2013) Bunch management of banana to control blood disease. </w:t>
      </w:r>
      <w:r>
        <w:rPr>
          <w:rFonts w:ascii="Calibri" w:hAnsi="Calibri" w:eastAsia="Calibri" w:cs="Calibri"/>
          <w:i/>
          <w:iCs/>
          <w:color w:val="000000"/>
          <w:sz w:val="22"/>
          <w:szCs w:val="22"/>
        </w:rPr>
        <w:t xml:space="preserve">Australasian Plant Pathology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653-658.</w:t>
      </w:r>
    </w:p>
    <w:p>
      <w:pPr>
        <w:widowControl w:val="on"/>
        <w:pBdr/>
        <w:spacing w:before="220" w:after="220" w:line="240" w:lineRule="auto"/>
        <w:ind w:left="0" w:right="0"/>
        <w:jc w:val="left"/>
      </w:pPr>
      <w:r>
        <w:rPr>
          <w:rFonts w:ascii="Calibri" w:hAnsi="Calibri" w:eastAsia="Calibri" w:cs="Calibri"/>
          <w:color w:val="000000"/>
          <w:sz w:val="22"/>
          <w:szCs w:val="22"/>
        </w:rPr>
        <w:t xml:space="preserve">Lomer CJ, Eden-Green SJ, Boa ER, Supriadi (1992) Evidence for a forest origin of Sumatra disease of cloves</w:t>
      </w:r>
      <w:r>
        <w:rPr>
          <w:rFonts w:ascii="Calibri" w:hAnsi="Calibri" w:eastAsia="Calibri" w:cs="Calibri"/>
          <w:i/>
          <w:iCs/>
          <w:color w:val="000000"/>
          <w:sz w:val="22"/>
          <w:szCs w:val="22"/>
        </w:rPr>
        <w:t xml:space="preserve"> 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95-98.</w:t>
      </w:r>
    </w:p>
    <w:p>
      <w:pPr>
        <w:widowControl w:val="on"/>
        <w:pBdr/>
        <w:spacing w:before="220" w:after="220" w:line="240" w:lineRule="auto"/>
        <w:ind w:left="0" w:right="0"/>
        <w:jc w:val="left"/>
      </w:pPr>
      <w:r>
        <w:rPr>
          <w:rFonts w:ascii="Calibri" w:hAnsi="Calibri" w:eastAsia="Calibri" w:cs="Calibri"/>
          <w:color w:val="000000"/>
          <w:sz w:val="22"/>
          <w:szCs w:val="22"/>
        </w:rPr>
        <w:t xml:space="preserve">Mairawita S, Habazar T, Hasyim A, Nasir N (2012)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potential as bacterial spreader agent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IV cause blood disease on banana plants. pp. 109-116 in:</w:t>
      </w:r>
      <w:r>
        <w:rPr>
          <w:rFonts w:ascii="Calibri" w:hAnsi="Calibri" w:eastAsia="Calibri" w:cs="Calibri"/>
          <w:i/>
          <w:iCs/>
          <w:color w:val="000000"/>
          <w:sz w:val="22"/>
          <w:szCs w:val="22"/>
        </w:rPr>
        <w:t xml:space="preserve"> Proceedings of the 2012 International Conference on Biological and Life Sciences, July</w:t>
      </w:r>
      <w:r>
        <w:rPr>
          <w:rFonts w:ascii="Calibri" w:hAnsi="Calibri" w:eastAsia="Calibri" w:cs="Calibri"/>
          <w:color w:val="000000"/>
          <w:sz w:val="22"/>
          <w:szCs w:val="22"/>
        </w:rPr>
        <w:t xml:space="preserve"> 23-24. IACSIT Press,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Muharam A, Subijanto (1991) Status of banana diseases in Indonesia. pp. 44-49 in: </w:t>
      </w:r>
      <w:r>
        <w:rPr>
          <w:rFonts w:ascii="Calibri" w:hAnsi="Calibri" w:eastAsia="Calibri" w:cs="Calibri"/>
          <w:i/>
          <w:iCs/>
          <w:color w:val="000000"/>
          <w:sz w:val="22"/>
          <w:szCs w:val="22"/>
        </w:rPr>
        <w:t xml:space="preserve">Proceedings of the Technical Meeting on Diseases Affecting Banana and Plantain in Asia and Pacific.</w:t>
      </w:r>
      <w:r>
        <w:rPr>
          <w:rFonts w:ascii="Calibri" w:hAnsi="Calibri" w:eastAsia="Calibri" w:cs="Calibri"/>
          <w:color w:val="000000"/>
          <w:sz w:val="22"/>
          <w:szCs w:val="22"/>
        </w:rPr>
        <w:t xml:space="preserve"> Valmayar RV, Umali BE and Bejosano CP (eds.) INIBAP, Brisbane, QLD.</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90716a53d7591d464"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P, Fegan M (2005) Recent developments in the phylogeny and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Hopkins DL (1996) Fastidious xylem-limited bacterial plant pathogens.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131-151.</w:t>
      </w:r>
    </w:p>
    <w:p>
      <w:pPr>
        <w:widowControl w:val="on"/>
        <w:pBdr/>
        <w:spacing w:before="220" w:after="220" w:line="240" w:lineRule="auto"/>
        <w:ind w:left="0" w:right="0"/>
        <w:jc w:val="left"/>
      </w:pPr>
      <w:r>
        <w:rPr>
          <w:rFonts w:ascii="Calibri" w:hAnsi="Calibri" w:eastAsia="Calibri" w:cs="Calibri"/>
          <w:color w:val="000000"/>
          <w:sz w:val="22"/>
          <w:szCs w:val="22"/>
        </w:rPr>
        <w:t xml:space="preserve">Rezende RR, Morgan T, Quintero FO, Santos CC, Oliveira LS, Mafia RG, Rezende GD, Alfenas-Zerbini P (2025) First report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causing bacteria wilt on eucalyptus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(early view). </w:t>
      </w:r>
      <w:hyperlink r:id="rId70526a53d7591d5c1" w:history="1">
        <w:r>
          <w:rPr>
            <w:rFonts w:ascii="Calibri" w:hAnsi="Calibri" w:eastAsia="Calibri" w:cs="Calibri"/>
            <w:color w:val="0000CC"/>
            <w:sz w:val="22"/>
            <w:szCs w:val="22"/>
            <w:u w:val="single"/>
          </w:rPr>
          <w:t xml:space="preserve">https://doi.org/10.1094/PDIS-10-24-2229-PDN</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3087-103. </w:t>
      </w:r>
      <w:hyperlink r:id="rId48516a53d7591d851"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Safni I, Subandiyah S, Fegan M (2018) Ecology, epidemiology and disease management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in Indonesia.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419. </w:t>
      </w:r>
      <w:hyperlink r:id="rId14376a53d7591d8e1" w:history="1">
        <w:r>
          <w:rPr>
            <w:rFonts w:ascii="Calibri" w:hAnsi="Calibri" w:eastAsia="Calibri" w:cs="Calibri"/>
            <w:color w:val="0000CC"/>
            <w:sz w:val="22"/>
            <w:szCs w:val="22"/>
            <w:u w:val="single"/>
          </w:rPr>
          <w:t xml:space="preserve">https://doi.org/10.3389/fmicb.2018.00419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Setyobudi L, Hermanto C (1999) Rehabilitation of cooking bananas from blood disease: baseline status of distribution and infestation in Sumatra. </w:t>
      </w:r>
      <w:r>
        <w:rPr>
          <w:rFonts w:ascii="Calibri" w:hAnsi="Calibri" w:eastAsia="Calibri" w:cs="Calibri"/>
          <w:i/>
          <w:iCs/>
          <w:color w:val="000000"/>
          <w:sz w:val="22"/>
          <w:szCs w:val="22"/>
        </w:rPr>
        <w:t xml:space="preserve">Paper presented on the RISBAP Meeting on September 13-17, 1999</w:t>
      </w:r>
      <w:r>
        <w:rPr>
          <w:rFonts w:ascii="Calibri" w:hAnsi="Calibri" w:eastAsia="Calibri" w:cs="Calibri"/>
          <w:color w:val="000000"/>
          <w:sz w:val="22"/>
          <w:szCs w:val="22"/>
        </w:rPr>
        <w:t xml:space="preserve">, Phitsanulok Thailand 6 pp.</w:t>
      </w:r>
    </w:p>
    <w:p>
      <w:pPr>
        <w:widowControl w:val="on"/>
        <w:pBdr/>
        <w:spacing w:before="220" w:after="220" w:line="240" w:lineRule="auto"/>
        <w:ind w:left="0" w:right="0"/>
        <w:jc w:val="left"/>
      </w:pPr>
      <w:r>
        <w:rPr>
          <w:rFonts w:ascii="Calibri" w:hAnsi="Calibri" w:eastAsia="Calibri" w:cs="Calibri"/>
          <w:color w:val="000000"/>
          <w:sz w:val="22"/>
          <w:szCs w:val="22"/>
        </w:rPr>
        <w:t xml:space="preserve">Suharjo R, Subandiyah S, Martono E (2008) [Relationship between arrival frequency of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to the banana’s flower and disease incidence of banana bacterial wilt in wet rice field, dry field and house yard.].</w:t>
      </w:r>
    </w:p>
    <w:p>
      <w:pPr>
        <w:widowControl w:val="on"/>
        <w:pBdr/>
        <w:spacing w:before="220" w:after="220" w:line="240" w:lineRule="auto"/>
        <w:ind w:left="0" w:right="0"/>
        <w:jc w:val="left"/>
      </w:pPr>
      <w:r>
        <w:rPr>
          <w:rFonts w:ascii="Calibri" w:hAnsi="Calibri" w:eastAsia="Calibri" w:cs="Calibri"/>
          <w:color w:val="000000"/>
          <w:sz w:val="22"/>
          <w:szCs w:val="22"/>
        </w:rPr>
        <w:t xml:space="preserve">Maret, Jurnal Hama dan Penyakit Tumbuhan Tropika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47-54. </w:t>
      </w:r>
      <w:hyperlink r:id="rId94866a53d7591d9cd" w:history="1">
        <w:r>
          <w:rPr>
            <w:rFonts w:ascii="Calibri" w:hAnsi="Calibri" w:eastAsia="Calibri" w:cs="Calibri"/>
            <w:color w:val="0000CC"/>
            <w:sz w:val="22"/>
            <w:szCs w:val="22"/>
            <w:u w:val="single"/>
          </w:rPr>
          <w:t xml:space="preserve">https://doi.org/10.23960/j.hptt.1847-54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(2005) Present status of blood disease in Indonesia. pp. 395-404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Teng SK, Aziz NAA, Mustafa M, Laboh R, Ismail IS, Sulaiman SR, Azizan AA, Devi S (2016) The occurrence of blood disease of banana in Selangor, Malaysia. </w:t>
      </w:r>
      <w:r>
        <w:rPr>
          <w:rFonts w:ascii="Calibri" w:hAnsi="Calibri" w:eastAsia="Calibri" w:cs="Calibri"/>
          <w:i/>
          <w:iCs/>
          <w:color w:val="000000"/>
          <w:sz w:val="22"/>
          <w:szCs w:val="22"/>
        </w:rPr>
        <w:t xml:space="preserve">International Journal of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EPPO datasheets on pests recommended for regulation. Available online. </w:t>
      </w:r>
      <w:hyperlink r:id="rId20096a53d7591de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2205328" name="name68266a53d7591df5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586a53d7591df5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958858">
    <w:multiLevelType w:val="hybridMultilevel"/>
    <w:lvl w:ilvl="0" w:tplc="54784445">
      <w:start w:val="1"/>
      <w:numFmt w:val="decimal"/>
      <w:lvlText w:val="%1."/>
      <w:lvlJc w:val="left"/>
      <w:pPr>
        <w:ind w:left="720" w:hanging="360"/>
      </w:pPr>
    </w:lvl>
    <w:lvl w:ilvl="1" w:tplc="54784445" w:tentative="1">
      <w:start w:val="1"/>
      <w:numFmt w:val="lowerLetter"/>
      <w:lvlText w:val="%2."/>
      <w:lvlJc w:val="left"/>
      <w:pPr>
        <w:ind w:left="1440" w:hanging="360"/>
      </w:pPr>
    </w:lvl>
    <w:lvl w:ilvl="2" w:tplc="54784445" w:tentative="1">
      <w:start w:val="1"/>
      <w:numFmt w:val="lowerRoman"/>
      <w:lvlText w:val="%3."/>
      <w:lvlJc w:val="right"/>
      <w:pPr>
        <w:ind w:left="2160" w:hanging="180"/>
      </w:pPr>
    </w:lvl>
    <w:lvl w:ilvl="3" w:tplc="54784445" w:tentative="1">
      <w:start w:val="1"/>
      <w:numFmt w:val="decimal"/>
      <w:lvlText w:val="%4."/>
      <w:lvlJc w:val="left"/>
      <w:pPr>
        <w:ind w:left="2880" w:hanging="360"/>
      </w:pPr>
    </w:lvl>
    <w:lvl w:ilvl="4" w:tplc="54784445" w:tentative="1">
      <w:start w:val="1"/>
      <w:numFmt w:val="lowerLetter"/>
      <w:lvlText w:val="%5."/>
      <w:lvlJc w:val="left"/>
      <w:pPr>
        <w:ind w:left="3600" w:hanging="360"/>
      </w:pPr>
    </w:lvl>
    <w:lvl w:ilvl="5" w:tplc="54784445" w:tentative="1">
      <w:start w:val="1"/>
      <w:numFmt w:val="lowerRoman"/>
      <w:lvlText w:val="%6."/>
      <w:lvlJc w:val="right"/>
      <w:pPr>
        <w:ind w:left="4320" w:hanging="180"/>
      </w:pPr>
    </w:lvl>
    <w:lvl w:ilvl="6" w:tplc="54784445" w:tentative="1">
      <w:start w:val="1"/>
      <w:numFmt w:val="decimal"/>
      <w:lvlText w:val="%7."/>
      <w:lvlJc w:val="left"/>
      <w:pPr>
        <w:ind w:left="5040" w:hanging="360"/>
      </w:pPr>
    </w:lvl>
    <w:lvl w:ilvl="7" w:tplc="54784445" w:tentative="1">
      <w:start w:val="1"/>
      <w:numFmt w:val="lowerLetter"/>
      <w:lvlText w:val="%8."/>
      <w:lvlJc w:val="left"/>
      <w:pPr>
        <w:ind w:left="5760" w:hanging="360"/>
      </w:pPr>
    </w:lvl>
    <w:lvl w:ilvl="8" w:tplc="54784445" w:tentative="1">
      <w:start w:val="1"/>
      <w:numFmt w:val="lowerRoman"/>
      <w:lvlText w:val="%9."/>
      <w:lvlJc w:val="right"/>
      <w:pPr>
        <w:ind w:left="6480" w:hanging="180"/>
      </w:pPr>
    </w:lvl>
  </w:abstractNum>
  <w:abstractNum w:abstractNumId="22958857">
    <w:multiLevelType w:val="hybridMultilevel"/>
    <w:lvl w:ilvl="0" w:tplc="843401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958857">
    <w:abstractNumId w:val="22958857"/>
  </w:num>
  <w:num w:numId="22958858">
    <w:abstractNumId w:val="229588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6414151" Type="http://schemas.microsoft.com/office/2011/relationships/commentsExtended" Target="commentsExtended.xml"/><Relationship Id="rId357074606" Type="http://schemas.microsoft.com/office/2011/relationships/people" Target="people.xml"/><Relationship Id="rId31446a53d7591a1c4" Type="http://schemas.openxmlformats.org/officeDocument/2006/relationships/hyperlink" Target="https://gd.eppo.int/taxon/RALSSY/" TargetMode="External"/><Relationship Id="rId83686a53d7591a208" Type="http://schemas.openxmlformats.org/officeDocument/2006/relationships/hyperlink" Target="https://gd.eppo.int/taxon/RALSSY/categorization" TargetMode="External"/><Relationship Id="rId15516a53d7591ced5" Type="http://schemas.openxmlformats.org/officeDocument/2006/relationships/hyperlink" Target="https://doi.org/10.3389/fpls.2017.01290" TargetMode="External"/><Relationship Id="rId90716a53d7591d464" Type="http://schemas.openxmlformats.org/officeDocument/2006/relationships/hyperlink" Target="https://doi.org/10.3390/pathogens9110886" TargetMode="External"/><Relationship Id="rId70526a53d7591d5c1" Type="http://schemas.openxmlformats.org/officeDocument/2006/relationships/hyperlink" Target="https://doi.org/10.1094/PDIS-10-24-2229-PDN" TargetMode="External"/><Relationship Id="rId48516a53d7591d851" Type="http://schemas.openxmlformats.org/officeDocument/2006/relationships/hyperlink" Target="https://doi.org/10.1099/ijs.0.066712-0" TargetMode="External"/><Relationship Id="rId14376a53d7591d8e1" Type="http://schemas.openxmlformats.org/officeDocument/2006/relationships/hyperlink" Target="https://doi.org/10.3389/fmicb.2018.00419" TargetMode="External"/><Relationship Id="rId94866a53d7591d9cd" Type="http://schemas.openxmlformats.org/officeDocument/2006/relationships/hyperlink" Target="https://doi.org/10.23960/j.hptt.1847-54" TargetMode="External"/><Relationship Id="rId20096a53d7591de66" Type="http://schemas.openxmlformats.org/officeDocument/2006/relationships/hyperlink" Target="https://gd.eppo.int" TargetMode="External"/><Relationship Id="rId15236a53d7591b9ff" Type="http://schemas.openxmlformats.org/officeDocument/2006/relationships/image" Target="media/imgrId15236a53d7591b9ff.jpg"/><Relationship Id="rId58586a53d7591df5c" Type="http://schemas.openxmlformats.org/officeDocument/2006/relationships/image" Target="media/imgrId58586a53d7591df5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