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Yabuuchi et al. emend. Safni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rot of potato, moko disease of banana</w:t>
            </w:r>
            <w:hyperlink r:id="rId1208662365c98de9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9346662365c98df2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741891" name="name4251662365c98e3a1" descr="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1.jpg"/>
                          <pic:cNvPicPr/>
                        </pic:nvPicPr>
                        <pic:blipFill>
                          <a:blip r:embed="rId3888662365c98e39f" cstate="print"/>
                          <a:stretch>
                            <a:fillRect/>
                          </a:stretch>
                        </pic:blipFill>
                        <pic:spPr>
                          <a:xfrm>
                            <a:off x="0" y="0"/>
                            <a:ext cx="2160000" cy="1281600"/>
                          </a:xfrm>
                          <a:prstGeom prst="rect">
                            <a:avLst/>
                          </a:prstGeom>
                          <a:ln w="0">
                            <a:noFill/>
                          </a:ln>
                        </pic:spPr>
                      </pic:pic>
                    </a:graphicData>
                  </a:graphic>
                </wp:inline>
              </w:drawing>
            </w:r>
            <w:hyperlink r:id="rId9339662365c98e48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This datasheet considers phylotype II as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stricto. </w:t>
      </w:r>
      <w:r>
        <w:rPr>
          <w:rFonts w:ascii="Calibri" w:hAnsi="Calibri" w:eastAsia="Calibri" w:cs="Calibri"/>
          <w:color w:val="000000"/>
          <w:sz w:val="22"/>
          <w:szCs w:val="22"/>
        </w:rPr>
        <w:t xml:space="preserve">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has a wide range of cultivated and wild hosts. Of major economic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and the musaceous crops banana and plantain. Some genotypes with apparent host specificity were historically designated race status, i.e. on banana/plantain (race 2) and potato (race 3). Strains pathogenic to banana and plantain are now known to comprise several sequevars of phylotype II (PIIA-6, PIIA-24, PIIA-38, PIIA-41, PIIA-53, PIIB-3, PIIB-4 and PIIB-25), although only PIIA-24 and PIIA-53 appear to be restricted to banana and plantain, with the other sequevars naturally occurring on a wider host range including related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spp. as well as the solanaceous hosts. A variant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 which is not pathogenic on banana, was termed PIIB-4NPB and was found to infect plantain,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peppers, aubergine,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and cucurbits in Martinique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strain has also been found in Brazil, Costa Rica, French Guiana, and Trinidad.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that PIIB-4 was found on potato in France.</w:t>
      </w:r>
    </w:p>
    <w:p>
      <w:pPr>
        <w:widowControl w:val="on"/>
        <w:pBdr/>
        <w:spacing w:before="220" w:after="220" w:line="240" w:lineRule="auto"/>
        <w:ind w:left="0" w:right="0"/>
        <w:jc w:val="both"/>
      </w:pPr>
      <w:r>
        <w:rPr>
          <w:rFonts w:ascii="Calibri" w:hAnsi="Calibri" w:eastAsia="Calibri" w:cs="Calibri"/>
          <w:color w:val="000000"/>
          <w:sz w:val="22"/>
          <w:szCs w:val="22"/>
        </w:rPr>
        <w:t xml:space="preserve">A single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1 (PIIB-1; formerly referred to as race 3 biovar 2) has spread worldwide through trade in infected potatoes and has been introduced into the EPPO region (Janse, 1996). This strain has established within some river catchments in wild riparian plants (mainly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This strain also infects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spp. Another phylotype II sequevar (PIIA-50), which is widespread on potato in Brazil, has also been found on potato in one area of Portugal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sequevars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have a wide host range, often including solanaceous crops. Many perennial non-crop species, including nightshades of the Solanaceae, are also hosts of the pathogen worldwide and increase the potential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to persist in the environment. New hosts are still being discovered e.g.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in Florida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Natural hosts worldwide are listed below, focusing mainly on cultivated plants where isolates of the bacterium have been characterized to phylotype and sequevar of the RSSC. For historical host lists, see Kelman (1953), Bradbury (1986), Persley (1986) and Hayward (1994). Several other host lists, including wild species, have been reported, with a wider range than currently shown below, but for which the pathogen has yet to be fully characterized (e.g.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&amp;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amboinicus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Gliricidia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hildebrandtii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Marsypianthes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pellucida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arenastrum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Soliva anthemifolia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(RSSC phylotype II) is regarded to be of Central and South American origin where the largest diversity of genotypes is found. Certain strains have been dispersed worldwide through international trade in infected, often asymptomatic, vegetatively propagated crops e.g. banana/plantain suckers, potato tubers and ornamental host plants and plant parts. Although originally thought to originate in the rainforests of Costa Rica and the Caribbean area, the current distribution of strains causing Moko disease now covers many countries in Latin America. Furthermore, sequevar PIIB-3 has been found causing bugtok and Moko diseases of plantain (saba and cardaba ABB varieties) and dessert banana (AAA varieties) in the Philippines (Villa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PIIB-4 has been found causing Moko disease of dessert bananas in Malaysia (Zulperi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Originating in South America, where it is widespread, the sequevar PIIB-1 has spread worldwide to potato growing areas of Africa, Asia, Europe and Oceania. In addition to spread in infected potato, this strain has also spread through international trade of infected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cuttings and entered protected horticulture in Europe and the USA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Within the EPPO region, disease outbreaks in potato, tomato and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have been strictly monitored and eradication measures imposed, although the bacterium has established in river systems in a number of countries, from which it is more difficult to eradicate entirely.</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w:t>
      </w:r>
      <w:r>
        <w:rPr>
          <w:rFonts w:ascii="Calibri" w:hAnsi="Calibri" w:eastAsia="Calibri" w:cs="Calibri"/>
          <w:i/>
          <w:iCs/>
          <w:color w:val="000000"/>
          <w:sz w:val="22"/>
          <w:szCs w:val="22"/>
        </w:rPr>
        <w:t xml:space="preserve">R. solanacearum </w:t>
      </w:r>
      <w:r>
        <w:rPr>
          <w:rFonts w:ascii="Calibri" w:hAnsi="Calibri" w:eastAsia="Calibri" w:cs="Calibri"/>
          <w:color w:val="000000"/>
          <w:sz w:val="22"/>
          <w:szCs w:val="22"/>
        </w:rPr>
        <w:t xml:space="preserve">(RSSC phylotype II), is as follows:</w:t>
      </w:r>
    </w:p>
    <w:p>
      <w:r>
        <w:drawing>
          <wp:inline distT="0" distB="0" distL="0" distR="0">
            <wp:extent cx="6120000" cy="3067200"/>
            <wp:docPr id="54453684" name="name8570662365c9900d9" descr="RAL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L_distribution_map.jpg"/>
                    <pic:cNvPicPr/>
                  </pic:nvPicPr>
                  <pic:blipFill>
                    <a:blip r:embed="rId5551662365c9900d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Czech Republic, France (mainland), Georgia, Germany, Greece (mainland), Hungary, Italy (mainland), Netherlands, Poland, Portugal (mainland), Romania, Russia (Central Russia), Serbia, Slovakia, Spain (mainland), Türkiye, Ukraine, United Kingdom (England,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Burundi, Cameroon, Cote d'Ivoire, Egypt, Ethiopia, Guinea, Kenya, Madagascar, Malawi, Mali, Niger, Nigeria, Reunion, Rwanda,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Fujian, Guangdong, Guizhou, Hebei, Hubei, Hunan, Neimenggu, Shandong, Sichuan, Yunnan, Zhejiang), India (Himachal Pradesh, Karnataka, Madhya Pradesh, Manipur, Meghalaya, Tripura, Uttar Pradesh, West Bengal), Iran, Malaysia (Sabah, West), Myanmar, Nepal,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Georgia, Louisiana, New Jersey, North Carolina, South Carolina,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El Salvador, Grenada, Guadeloupe, Guatemala, Honduras, Jamaica, Martinique, Nicaragua, Panama,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Amazonas, Bahia, Ceara, Distrito Federal, Espirito Santo, Goias, Maranhao, Mato Grosso, Mato Grosso do Sul, Minas Gerais, Para, Paraiba, Parana, Pernambuco, Piaui, Rio de Janeiro, Rio Grande do Sul, Rondonia, Roraima, Santa Catarina, Sao Paulo, Sergipe, Tocantins),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Victoria), New Caledonia,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often described as soilborne, survival is usually short lived at low temperature in bare soil but is significant in alternative wild host plants (especially perennial nightshade species growing in waterlogged conditions or overwintering volunteers from susceptible crops). In Europe for example, infected riparian plants of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harbour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sequevar PIIB-1 that can then spread to susceptible potato and tomato crops when irrigated with contaminated surface water in the summer. The bacterium has been shown to survive in a viable but non-culturable (VBNC) form, but the epidemiological relevance of this is unclear (van Overbeek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is usually most severe at temperatures of 24-35°C, although sequevar PIIB-1 has a lower optimum growth temperature than other strains and is therefore more suited to temperate potato-growing climates. High soil moisture or periods of wet weather or rainy seasons are associated with high disease incidence. Entry into plants is usually through root injuries from where the bacteria move by colonization of the xylem. Blocking of the vessels by bacterial biofilm is the major cause of wilting.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w:t>
      </w:r>
      <w:r>
        <w:rPr>
          <w:rFonts w:ascii="Calibri" w:hAnsi="Calibri" w:eastAsia="Calibri" w:cs="Calibri"/>
          <w:color w:val="000000"/>
          <w:sz w:val="22"/>
          <w:szCs w:val="22"/>
        </w:rPr>
        <w:t xml:space="preserve">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The youngest leaves are the first to be affected and have a flaccid appearance, this usually first occurs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 </w:t>
      </w:r>
      <w:r>
        <w:rPr>
          <w:rFonts w:ascii="Calibri" w:hAnsi="Calibri" w:eastAsia="Calibri" w:cs="Calibri"/>
          <w:color w:val="000000"/>
          <w:sz w:val="22"/>
          <w:szCs w:val="22"/>
        </w:rPr>
        <w:t xml:space="preserve">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due to infection with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PIIB-4NPB strain,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and plantain: </w:t>
      </w:r>
      <w:r>
        <w:rPr>
          <w:rFonts w:ascii="Calibri" w:hAnsi="Calibri" w:eastAsia="Calibri" w:cs="Calibri"/>
          <w:color w:val="000000"/>
          <w:sz w:val="22"/>
          <w:szCs w:val="22"/>
        </w:rPr>
        <w:t xml:space="preserve">Moko disease first appears on young and fast-growing plants, the youngest leaves turn pale-green or yellow and wilt. Within a week all leaves may collapse. Young suckers may be blackened, stunted or twisted. The pseudostems show brown vascular discoloration (Hayward, 1983). Moko disease is easily confused with Panama disease caused by </w:t>
      </w:r>
      <w:r>
        <w:rPr>
          <w:rFonts w:ascii="Calibri" w:hAnsi="Calibri" w:eastAsia="Calibri" w:cs="Calibri"/>
          <w:i/>
          <w:iCs/>
          <w:color w:val="000000"/>
          <w:sz w:val="22"/>
          <w:szCs w:val="22"/>
        </w:rPr>
        <w:t xml:space="preserve">Fusarium odoratissimum</w:t>
      </w:r>
      <w:r>
        <w:rPr>
          <w:rFonts w:ascii="Calibri" w:hAnsi="Calibri" w:eastAsia="Calibri" w:cs="Calibri"/>
          <w:color w:val="000000"/>
          <w:sz w:val="22"/>
          <w:szCs w:val="22"/>
        </w:rPr>
        <w:t xml:space="preserve">. A clear distinction is possible when fruits are affected: brown dry rot is seen only in the case of Moko disease. In the Philippines, the symptoms of Bugtok disease on AAB type cooking banana are similar to those which cause Moko disease on AAA Cavendish banana. The two diseases are caused by the same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IIB sequevar 3), which is genetically identical to a strain from Honduras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 </w:t>
      </w:r>
      <w:r>
        <w:rPr>
          <w:rFonts w:ascii="Calibri" w:hAnsi="Calibri" w:eastAsia="Calibri" w:cs="Calibri"/>
          <w:color w:val="000000"/>
          <w:sz w:val="22"/>
          <w:szCs w:val="22"/>
        </w:rPr>
        <w:t xml:space="preserve">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spp.: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 </w:t>
      </w:r>
      <w:r>
        <w:rPr>
          <w:rFonts w:ascii="Calibri" w:hAnsi="Calibri" w:eastAsia="Calibri" w:cs="Calibri"/>
          <w:color w:val="000000"/>
          <w:sz w:val="22"/>
          <w:szCs w:val="22"/>
        </w:rPr>
        <w:t xml:space="preserve">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tetazolium. A small, fluidal and round (SFR) colony-forming type is described amongst insect-transmitted Moko disease strains.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there are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or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 rRNA,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seed potatoes, banana suckers and ornamental plants for planting). Asymptomatic (latent) infections, which escape visual inspections, are common at low temperatures when the rates of infection and colonization are slower, allowing host resistance mechanisms to be more effective. Similarly, latent infections also tend to occur in tolerant varieties.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infections are established, local spread can occur when the bacterium is transmitted mechanically during pruning operations or when cuttings are taken for propagation. Some strains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which cause Moko disease are transmitted by insects (including pollinating flies, bees, wasps and thrips on banana) with potential for rapid spread over several kilometres. Spread to neighbouring plants can also occur through soil drainage water and by root contact. The bacterium also spreads through surface water. For example, many outbreaks of potato brown rot in Europe have been associated with spread from infected riparian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growing with roots in surface water which has then been used to irrigate potato or tomato crops (Janse, 1996). It is thought that initial infections of the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occurred when waste from imported ware potatoes with latent infections survived or bypassed sewage treatment, leading to contamination of watercourses inhabited by the wild host.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RSSC complex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Moko disease has affected banana and plantain over thousands of 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Central and South America, particularly affecting small scale subsistence farmers. Also, Moko disease has caused considerable hardship to both subsistence and cash economies, where banana is a major, low input, staple source of carbohydrate, vitamins and minerals for countless communities.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reliable detection and reporting of the pathogen, quarantine measures on infected fields and farms, rotation with non-host crops for at least two years, control of weed hosts and volunteer plants (and in some cases of nematodes),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 geranium cuttings produced in Central America and East Africa for export to USA and Europe (Janse et al., 2004; USDA-APHIS, 2004).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e.g. in banana and plantain production. Insect transmission of Moko and banana blood diseases in commercial banana production has been successfully reduced by the now widespread practices of early male bud removal and/or bagging of the emerging florescence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is a quarantine pest in many countries. The occurrence around the world of different strains of the pathogen presents an ongoing risk of the introduction of new variants capable of affecting the European and Mediterranean potato and tomato production. Absence of the bacterium is an important consideration for countries and pest free areas exporting seed potatoes.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PIIB-1 sequevar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(formerly known as race 3 biovar 2), causing potato brown rot, has a lower growth temperature optimum than other strains and appears to present the most important risk for the wider EPPO region. There is a definite risk that it could spread through imports of (latently) infected seed potatoes from countries where the disease now occurs. Furthermore, introduction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by use of (latently) infected potatoes for table consumption, use as cattle fodder or for industrial processing is a potential risk if the potatoes, or wastes derived from them, are reintroduced into the agricultural system. Natural spread may take place if the bacterium is introduced via discharge of poorly or non-treated wastes into surface water, which is then used to irrigate susceptible crops. The PIIB-1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has also been previously introduced into the EPPO region in infected geranium plants for planting originating in Eastern Africa and Central America. Increased stringency of phytosanitary measures during production of the young geranium plants appears to have eliminated this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other than potato are most likely to be affected in the warmer parts of the EPPO region, or under heated glasshouse conditions since strains other than PIIB-1 have higher temperature optima. Banana-infecting strains are not found in the banana-producing areas of the southern Mediterranean zone. A particular variant of the banana-infecting strain PIIB-4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(named PIIB-4NPB), is not pathogenic on banana but has been shown to infect cucurbits and </w:t>
      </w:r>
      <w:r>
        <w:rPr>
          <w:rFonts w:ascii="Calibri" w:hAnsi="Calibri" w:eastAsia="Calibri" w:cs="Calibri"/>
          <w:i/>
          <w:iCs/>
          <w:color w:val="000000"/>
          <w:sz w:val="22"/>
          <w:szCs w:val="22"/>
        </w:rPr>
        <w:t xml:space="preserve">Anthurium</w:t>
      </w:r>
      <w:r>
        <w:rPr>
          <w:rFonts w:ascii="Calibri" w:hAnsi="Calibri" w:eastAsia="Calibri" w:cs="Calibri"/>
          <w:color w:val="000000"/>
          <w:sz w:val="22"/>
          <w:szCs w:val="22"/>
        </w:rPr>
        <w:t xml:space="preserve"> in Martinique and is also pathogenic on tomato, pepper, aubergine,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 caribaea</w:t>
      </w:r>
      <w:r>
        <w:rPr>
          <w:rFonts w:ascii="Calibri" w:hAnsi="Calibri" w:eastAsia="Calibri" w:cs="Calibri"/>
          <w:color w:val="000000"/>
          <w:sz w:val="22"/>
          <w:szCs w:val="22"/>
        </w:rPr>
        <w:t xml:space="preserve"> and some weeds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viscosa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This strain is also present in Brazil, Costa Rica, French Guiana, and Trinidad and presents a potential risk if spread to the EPPO region in imported ornamentals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Measures should be applied to vegetative propagating material (e.g. seed potatoes, banana suckers and ornamental plants for planting) of host plants to prevent the international movement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and other host plants may be placed in post-entry quarantine to observe any symptoms and if relevant to test them to ensure their freedom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that provides guidance on surveillance for the pathogen and its containment and eradication if found. Seed potato tubers, and other plants for planting of known hosts, should have been grown in areas found free from strains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(RSSC) during the growing season and during the previous two growing seasons. Since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2627662365c9913b5"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Remenant B, Chiroleu F, Lefeuvre P, Prior P (2012) Phylogeny and population structure of brown rot- and Moko disease-causing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2367-2375. </w:t>
      </w:r>
      <w:hyperlink r:id="rId4476662365c9914c4" w:history="1">
        <w:r>
          <w:rPr>
            <w:rFonts w:ascii="Calibri" w:hAnsi="Calibri" w:eastAsia="Calibri" w:cs="Calibri"/>
            <w:color w:val="0000CC"/>
            <w:sz w:val="22"/>
            <w:szCs w:val="22"/>
            <w:u w:val="single"/>
          </w:rPr>
          <w:t xml:space="preserve">https://doi.org/10.1128/AEM.06123-11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Cruz L, Eloy M, Quirino F, Oliveira H, Tenreiro R (2012)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plants and environmental sources in Portugal.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(3), 687–706.</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5618, 28 pp. </w:t>
      </w:r>
      <w:hyperlink r:id="rId1420662365c9916ee"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eds Allen C, Prior P,</w:t>
      </w:r>
      <w:r>
        <w:rPr>
          <w:rFonts w:ascii="Calibri" w:hAnsi="Calibri" w:eastAsia="Calibri" w:cs="Calibri"/>
          <w:color w:val="000000"/>
          <w:sz w:val="22"/>
          <w:szCs w:val="22"/>
        </w:rPr>
        <w:t xml:space="preserve">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3899662365c99178e"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1292662365c9917ea"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9304662365c991821"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w:t>
      </w:r>
      <w:hyperlink r:id="rId4895662365c99187d" w:history="1">
        <w:r>
          <w:rPr>
            <w:rFonts w:ascii="Calibri" w:hAnsi="Calibri" w:eastAsia="Calibri" w:cs="Calibri"/>
            <w:color w:val="0000CC"/>
            <w:sz w:val="22"/>
            <w:szCs w:val="22"/>
            <w:u w:val="single"/>
          </w:rPr>
          <w:t xml:space="preserve"> 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3999662365c9918d7"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(1983)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bacterial wilt and moko disease. In </w:t>
      </w:r>
      <w:r>
        <w:rPr>
          <w:rFonts w:ascii="Calibri" w:hAnsi="Calibri" w:eastAsia="Calibri" w:cs="Calibri"/>
          <w:i/>
          <w:iCs/>
          <w:color w:val="000000"/>
          <w:sz w:val="22"/>
          <w:szCs w:val="22"/>
        </w:rPr>
        <w:t xml:space="preserve">Plant bacterial diseases</w:t>
      </w:r>
      <w:r>
        <w:rPr>
          <w:rFonts w:ascii="Calibri" w:hAnsi="Calibri" w:eastAsia="Calibri" w:cs="Calibri"/>
          <w:color w:val="000000"/>
          <w:sz w:val="22"/>
          <w:szCs w:val="22"/>
        </w:rPr>
        <w:t xml:space="preserve"> (eds Fahy PC, Persley GJ), pp. 129-135. Academic Press, Sydney (AU).</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3964662365c991ab6" w:history="1">
        <w:r>
          <w:rPr>
            <w:rFonts w:ascii="Calibri" w:hAnsi="Calibri" w:eastAsia="Calibri" w:cs="Calibri"/>
            <w:color w:val="0000CC"/>
            <w:sz w:val="22"/>
            <w:szCs w:val="22"/>
            <w:u w:val="single"/>
          </w:rPr>
          <w:t xml:space="preserve">https://doi.org/10.3389/fpls.2014.00715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(1996) Potato brown rot in western Europe – history, present occurrence and some remarks on possible origin, epidemiology and control strategies.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679-695. </w:t>
      </w:r>
      <w:hyperlink r:id="rId6470662365c991b43" w:history="1">
        <w:r>
          <w:rPr>
            <w:rFonts w:ascii="Calibri" w:hAnsi="Calibri" w:eastAsia="Calibri" w:cs="Calibri"/>
            <w:color w:val="0000CC"/>
            <w:sz w:val="22"/>
            <w:szCs w:val="22"/>
            <w:u w:val="single"/>
          </w:rPr>
          <w:t xml:space="preserve">https://doi.org/10.1111/j.1365-2338.1996.tb01512.x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(2), 147-155.</w:t>
      </w:r>
    </w:p>
    <w:p>
      <w:pPr>
        <w:widowControl w:val="on"/>
        <w:pBdr/>
        <w:spacing w:before="220" w:after="220" w:line="240" w:lineRule="auto"/>
        <w:ind w:left="0" w:right="0"/>
        <w:jc w:val="left"/>
      </w:pPr>
      <w:r>
        <w:rPr>
          <w:rFonts w:ascii="Calibri" w:hAnsi="Calibri" w:eastAsia="Calibri" w:cs="Calibri"/>
          <w:color w:val="000000"/>
          <w:sz w:val="22"/>
          <w:szCs w:val="22"/>
        </w:rPr>
        <w:t xml:space="preserve">Ji P, Allen C, Sanchez Perez A, Yao J, Elphinstone JG, Jones JB, Momol MT (2007) New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associated with vegetable and ornamental crops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(2),195-203.</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Kim SH, Olson TN, Schaad NW, Moorman GW (2003)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the causal agent of brown rot of potato, identified in geraniums in Pennsylvania, Delaware, and Connecticut.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450.</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1540662365c991e7c" w:history="1">
        <w:r>
          <w:rPr>
            <w:rFonts w:ascii="Calibri" w:hAnsi="Calibri" w:eastAsia="Calibri" w:cs="Calibri"/>
            <w:color w:val="0000CC"/>
            <w:sz w:val="22"/>
            <w:szCs w:val="22"/>
            <w:u w:val="single"/>
          </w:rPr>
          <w:t xml:space="preserve">https://doi.org/10.3389/fmicb.2018.01228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5759662365c991f0a"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&amp;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 Medellín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1899662365c992207"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(3),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6687662365c9926b3"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(2004) Minimum sanitation protocols for offshore geranium cutting production.  </w:t>
      </w:r>
      <w:hyperlink r:id="rId7065662365c9926f0" w:history="1">
        <w:r>
          <w:rPr>
            <w:rFonts w:ascii="Calibri" w:hAnsi="Calibri" w:eastAsia="Calibri" w:cs="Calibri"/>
            <w:color w:val="0000CC"/>
            <w:sz w:val="22"/>
            <w:szCs w:val="22"/>
            <w:u w:val="single"/>
          </w:rPr>
          <w:t xml:space="preserve">https://plantpath.ifas.ufl.edu/rsol/RalstoniaPublications_PDF/USDARalstoniaSanitationProtocolsGeraniumOffshore.pdf</w:t>
        </w:r>
      </w:hyperlink>
      <w:r>
        <w:rPr>
          <w:rFonts w:ascii="Calibri" w:hAnsi="Calibri" w:eastAsia="Calibri" w:cs="Calibri"/>
          <w:color w:val="000000"/>
          <w:sz w:val="22"/>
          <w:szCs w:val="22"/>
        </w:rPr>
        <w:t xml:space="preserve"> (accessed in 2021-11-05).</w:t>
      </w:r>
    </w:p>
    <w:p>
      <w:pPr>
        <w:widowControl w:val="on"/>
        <w:pBdr/>
        <w:spacing w:before="220" w:after="220" w:line="240" w:lineRule="auto"/>
        <w:ind w:left="0" w:right="0"/>
        <w:jc w:val="left"/>
      </w:pPr>
      <w:r>
        <w:rPr>
          <w:rFonts w:ascii="Calibri" w:hAnsi="Calibri" w:eastAsia="Calibri" w:cs="Calibri"/>
          <w:color w:val="000000"/>
          <w:sz w:val="22"/>
          <w:szCs w:val="22"/>
        </w:rPr>
        <w:t xml:space="preserve">van Overbeek LS, Bergervoet JHW, Jacobs FHH and van Elsas JD (2004) The low-temperature-induced viable-but-nonculturable state affects the virulence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(5), 463-469.</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Villa JE, Horita M, Hyakumachi M, Tsuchiya K (2021) Pathogenic and genetic variability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the Philippines.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(3), 544-554.</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Ralstonia solanacearum strains with a quantitative, multiplex, real-time, fluorogenic PCR (TaqMan) assay.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 </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1180662365c992c76"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Zulperi D, Sijam K, Ahmad ZAM, Awang Y, Ismail SI, Asib N, Hata EM (2016)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sequevar 4 strains associated with Moko disease of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in Peninsular Malaysia.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(2), 257-270.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EPPO datasheets on pests recommended for regulation. Available online. </w:t>
      </w:r>
      <w:hyperlink r:id="rId1015662365c992eb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7775278" name="name1042662365c99313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66662365c99313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78284">
    <w:multiLevelType w:val="hybridMultilevel"/>
    <w:lvl w:ilvl="0" w:tplc="32239126">
      <w:start w:val="1"/>
      <w:numFmt w:val="decimal"/>
      <w:lvlText w:val="%1."/>
      <w:lvlJc w:val="left"/>
      <w:pPr>
        <w:ind w:left="720" w:hanging="360"/>
      </w:pPr>
    </w:lvl>
    <w:lvl w:ilvl="1" w:tplc="32239126" w:tentative="1">
      <w:start w:val="1"/>
      <w:numFmt w:val="lowerLetter"/>
      <w:lvlText w:val="%2."/>
      <w:lvlJc w:val="left"/>
      <w:pPr>
        <w:ind w:left="1440" w:hanging="360"/>
      </w:pPr>
    </w:lvl>
    <w:lvl w:ilvl="2" w:tplc="32239126" w:tentative="1">
      <w:start w:val="1"/>
      <w:numFmt w:val="lowerRoman"/>
      <w:lvlText w:val="%3."/>
      <w:lvlJc w:val="right"/>
      <w:pPr>
        <w:ind w:left="2160" w:hanging="180"/>
      </w:pPr>
    </w:lvl>
    <w:lvl w:ilvl="3" w:tplc="32239126" w:tentative="1">
      <w:start w:val="1"/>
      <w:numFmt w:val="decimal"/>
      <w:lvlText w:val="%4."/>
      <w:lvlJc w:val="left"/>
      <w:pPr>
        <w:ind w:left="2880" w:hanging="360"/>
      </w:pPr>
    </w:lvl>
    <w:lvl w:ilvl="4" w:tplc="32239126" w:tentative="1">
      <w:start w:val="1"/>
      <w:numFmt w:val="lowerLetter"/>
      <w:lvlText w:val="%5."/>
      <w:lvlJc w:val="left"/>
      <w:pPr>
        <w:ind w:left="3600" w:hanging="360"/>
      </w:pPr>
    </w:lvl>
    <w:lvl w:ilvl="5" w:tplc="32239126" w:tentative="1">
      <w:start w:val="1"/>
      <w:numFmt w:val="lowerRoman"/>
      <w:lvlText w:val="%6."/>
      <w:lvlJc w:val="right"/>
      <w:pPr>
        <w:ind w:left="4320" w:hanging="180"/>
      </w:pPr>
    </w:lvl>
    <w:lvl w:ilvl="6" w:tplc="32239126" w:tentative="1">
      <w:start w:val="1"/>
      <w:numFmt w:val="decimal"/>
      <w:lvlText w:val="%7."/>
      <w:lvlJc w:val="left"/>
      <w:pPr>
        <w:ind w:left="5040" w:hanging="360"/>
      </w:pPr>
    </w:lvl>
    <w:lvl w:ilvl="7" w:tplc="32239126" w:tentative="1">
      <w:start w:val="1"/>
      <w:numFmt w:val="lowerLetter"/>
      <w:lvlText w:val="%8."/>
      <w:lvlJc w:val="left"/>
      <w:pPr>
        <w:ind w:left="5760" w:hanging="360"/>
      </w:pPr>
    </w:lvl>
    <w:lvl w:ilvl="8" w:tplc="32239126" w:tentative="1">
      <w:start w:val="1"/>
      <w:numFmt w:val="lowerRoman"/>
      <w:lvlText w:val="%9."/>
      <w:lvlJc w:val="right"/>
      <w:pPr>
        <w:ind w:left="6480" w:hanging="180"/>
      </w:pPr>
    </w:lvl>
  </w:abstractNum>
  <w:abstractNum w:abstractNumId="72578283">
    <w:multiLevelType w:val="hybridMultilevel"/>
    <w:lvl w:ilvl="0" w:tplc="13240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78283">
    <w:abstractNumId w:val="72578283"/>
  </w:num>
  <w:num w:numId="72578284">
    <w:abstractNumId w:val="725782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9293548" Type="http://schemas.microsoft.com/office/2011/relationships/commentsExtended" Target="commentsExtended.xml"/><Relationship Id="rId911730438" Type="http://schemas.microsoft.com/office/2011/relationships/people" Target="people.xml"/><Relationship Id="rId1208662365c98de9c" Type="http://schemas.openxmlformats.org/officeDocument/2006/relationships/hyperlink" Target="https://gd.eppo.int/taxon/RALSSL/" TargetMode="External"/><Relationship Id="rId9346662365c98df22" Type="http://schemas.openxmlformats.org/officeDocument/2006/relationships/hyperlink" Target="https://gd.eppo.int/taxon/RALSSL/categorization" TargetMode="External"/><Relationship Id="rId9339662365c98e48a" Type="http://schemas.openxmlformats.org/officeDocument/2006/relationships/hyperlink" Target="https://gd.eppo.int/taxon/RALSSL/photos" TargetMode="External"/><Relationship Id="rId2627662365c9913b5" Type="http://schemas.openxmlformats.org/officeDocument/2006/relationships/hyperlink" Target="https://doi.org/10.3389/fpls.2017.01290" TargetMode="External"/><Relationship Id="rId4476662365c9914c4" Type="http://schemas.openxmlformats.org/officeDocument/2006/relationships/hyperlink" Target="https://doi.org/10.1128/AEM.06123-11" TargetMode="External"/><Relationship Id="rId1420662365c9916ee" Type="http://schemas.openxmlformats.org/officeDocument/2006/relationships/hyperlink" Target="https://doi.org/10.2903/j.efsa.2019.5618" TargetMode="External"/><Relationship Id="rId3899662365c99178e" Type="http://schemas.openxmlformats.org/officeDocument/2006/relationships/hyperlink" Target="https://gd.eppo.int/" TargetMode="External"/><Relationship Id="rId1292662365c9917ea" Type="http://schemas.openxmlformats.org/officeDocument/2006/relationships/hyperlink" Target="https://gd.eppo.int/" TargetMode="External"/><Relationship Id="rId9304662365c991821" Type="http://schemas.openxmlformats.org/officeDocument/2006/relationships/hyperlink" Target="https://gd.eppo.int/" TargetMode="External"/><Relationship Id="rId4895662365c99187d" Type="http://schemas.openxmlformats.org/officeDocument/2006/relationships/hyperlink" Target="https://gd.eppo.int/" TargetMode="External"/><Relationship Id="rId3999662365c9918d7" Type="http://schemas.openxmlformats.org/officeDocument/2006/relationships/hyperlink" Target="https://gd.eppo.int/" TargetMode="External"/><Relationship Id="rId3964662365c991ab6" Type="http://schemas.openxmlformats.org/officeDocument/2006/relationships/hyperlink" Target="https://doi.org/10.3389/fpls.2014.00715" TargetMode="External"/><Relationship Id="rId6470662365c991b43" Type="http://schemas.openxmlformats.org/officeDocument/2006/relationships/hyperlink" Target="https://doi.org/10.1111/j.1365-2338.1996.tb01512.x" TargetMode="External"/><Relationship Id="rId1540662365c991e7c" Type="http://schemas.openxmlformats.org/officeDocument/2006/relationships/hyperlink" Target="https://doi.org/10.3389/fmicb.2018.01228" TargetMode="External"/><Relationship Id="rId5759662365c991f0a" Type="http://schemas.openxmlformats.org/officeDocument/2006/relationships/hyperlink" Target="https://doi.org/10.1111/j.1364-3703.2012.00804.x" TargetMode="External"/><Relationship Id="rId1899662365c992207" Type="http://schemas.openxmlformats.org/officeDocument/2006/relationships/hyperlink" Target="https://doi.org/10.3390/pathogens9110886" TargetMode="External"/><Relationship Id="rId6687662365c9926b3" Type="http://schemas.openxmlformats.org/officeDocument/2006/relationships/hyperlink" Target="https://doi.org/10.1099/ijs.0.066712-0" TargetMode="External"/><Relationship Id="rId7065662365c9926f0" Type="http://schemas.openxmlformats.org/officeDocument/2006/relationships/hyperlink" Target="https://plantpath.ifas.ufl.edu/rsol/RalstoniaPublications_PDF/USDARalstoniaSanitationProtocolsGeraniumOffshore.pdf" TargetMode="External"/><Relationship Id="rId1180662365c992c76" Type="http://schemas.openxmlformats.org/officeDocument/2006/relationships/hyperlink" Target="https://doi.org/10.1264/jsme2.ME14144" TargetMode="External"/><Relationship Id="rId1015662365c992eb4" Type="http://schemas.openxmlformats.org/officeDocument/2006/relationships/hyperlink" Target="https://gd.eppo.int" TargetMode="External"/><Relationship Id="rId3888662365c98e39f" Type="http://schemas.openxmlformats.org/officeDocument/2006/relationships/image" Target="media/imgrId3888662365c98e39f.jpg"/><Relationship Id="rId5551662365c9900d7" Type="http://schemas.openxmlformats.org/officeDocument/2006/relationships/image" Target="media/imgrId5551662365c9900d7.jpg"/><Relationship Id="rId7166662365c993139" Type="http://schemas.openxmlformats.org/officeDocument/2006/relationships/image" Target="media/imgrId7166662365c99313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