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Comstockaspis perniciosa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2023-10-26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Comstockaspis perniciosa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(Comstock)</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Hemiptera: Sternorrhyncha: Diaspididae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Aonidiella perniciosa</w:t>
            </w:r>
            <w:r>
              <w:rPr>
                <w:rFonts w:ascii="Calibri" w:hAnsi="Calibri" w:eastAsia="Calibri" w:cs="Calibri"/>
                <w:color w:val="000000"/>
                <w:position w:val="-3"/>
                <w:sz w:val="22"/>
                <w:szCs w:val="22"/>
              </w:rPr>
              <w:t xml:space="preserve"> (Comstock), </w:t>
            </w:r>
            <w:r>
              <w:rPr>
                <w:rFonts w:ascii="Calibri" w:hAnsi="Calibri" w:eastAsia="Calibri" w:cs="Calibri"/>
                <w:i/>
                <w:iCs/>
                <w:color w:val="000000"/>
                <w:position w:val="-3"/>
                <w:sz w:val="22"/>
                <w:szCs w:val="22"/>
              </w:rPr>
              <w:t xml:space="preserve">Aspidiotus perniciosus</w:t>
            </w:r>
            <w:r>
              <w:rPr>
                <w:rFonts w:ascii="Calibri" w:hAnsi="Calibri" w:eastAsia="Calibri" w:cs="Calibri"/>
                <w:color w:val="000000"/>
                <w:position w:val="-3"/>
                <w:sz w:val="22"/>
                <w:szCs w:val="22"/>
              </w:rPr>
              <w:t xml:space="preserve"> Comstock, </w:t>
            </w:r>
            <w:r>
              <w:rPr>
                <w:rFonts w:ascii="Calibri" w:hAnsi="Calibri" w:eastAsia="Calibri" w:cs="Calibri"/>
                <w:i/>
                <w:iCs/>
                <w:color w:val="000000"/>
                <w:position w:val="-3"/>
                <w:sz w:val="22"/>
                <w:szCs w:val="22"/>
              </w:rPr>
              <w:t xml:space="preserve">Diaspidiotus perniciosus</w:t>
            </w:r>
            <w:r>
              <w:rPr>
                <w:rFonts w:ascii="Calibri" w:hAnsi="Calibri" w:eastAsia="Calibri" w:cs="Calibri"/>
                <w:color w:val="000000"/>
                <w:position w:val="-3"/>
                <w:sz w:val="22"/>
                <w:szCs w:val="22"/>
              </w:rPr>
              <w:t xml:space="preserve"> (Comstock), </w:t>
            </w:r>
            <w:r>
              <w:rPr>
                <w:rFonts w:ascii="Calibri" w:hAnsi="Calibri" w:eastAsia="Calibri" w:cs="Calibri"/>
                <w:i/>
                <w:iCs/>
                <w:color w:val="000000"/>
                <w:position w:val="-3"/>
                <w:sz w:val="22"/>
                <w:szCs w:val="22"/>
              </w:rPr>
              <w:t xml:space="preserve">Quadraspidiotus perniciosus</w:t>
            </w:r>
            <w:r>
              <w:rPr>
                <w:rFonts w:ascii="Calibri" w:hAnsi="Calibri" w:eastAsia="Calibri" w:cs="Calibri"/>
                <w:color w:val="000000"/>
                <w:position w:val="-3"/>
                <w:sz w:val="22"/>
                <w:szCs w:val="22"/>
              </w:rPr>
              <w:t xml:space="preserve"> (Comstock)</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Californian scale, San José scale, pernicious scale</w:t>
            </w:r>
            <w:hyperlink r:id="rId63146a65868b1a259"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RNQP ((EU) 2019/2072 Annex IV)</w:t>
            </w:r>
            <w:hyperlink r:id="rId54846a65868b1a2c7"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QUADPE</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54266626" name="name79686a65868b1aae4" descr="29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990.jpg"/>
                          <pic:cNvPicPr/>
                        </pic:nvPicPr>
                        <pic:blipFill>
                          <a:blip r:embed="rId29776a65868b1aae3" cstate="print"/>
                          <a:stretch>
                            <a:fillRect/>
                          </a:stretch>
                        </pic:blipFill>
                        <pic:spPr>
                          <a:xfrm>
                            <a:off x="0" y="0"/>
                            <a:ext cx="2160000" cy="1281600"/>
                          </a:xfrm>
                          <a:prstGeom prst="rect">
                            <a:avLst/>
                          </a:prstGeom>
                          <a:ln w="0">
                            <a:noFill/>
                          </a:ln>
                        </pic:spPr>
                      </pic:pic>
                    </a:graphicData>
                  </a:graphic>
                </wp:inline>
              </w:drawing>
            </w:r>
            <w:hyperlink r:id="rId30216a65868b1ac3d"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The classification of </w:t>
      </w:r>
      <w:r>
        <w:rPr>
          <w:rFonts w:ascii="Calibri" w:hAnsi="Calibri" w:eastAsia="Calibri" w:cs="Calibri"/>
          <w:i/>
          <w:iCs/>
          <w:color w:val="000000"/>
          <w:sz w:val="22"/>
          <w:szCs w:val="22"/>
        </w:rPr>
        <w:t xml:space="preserve">Comstockaspis perniciosa</w:t>
      </w:r>
      <w:r>
        <w:rPr>
          <w:rFonts w:ascii="Calibri" w:hAnsi="Calibri" w:eastAsia="Calibri" w:cs="Calibri"/>
          <w:color w:val="000000"/>
          <w:sz w:val="22"/>
          <w:szCs w:val="22"/>
        </w:rPr>
        <w:t xml:space="preserve"> has changed over the years. Danzig (1993) placed it in the genus </w:t>
      </w:r>
      <w:r>
        <w:rPr>
          <w:rFonts w:ascii="Calibri" w:hAnsi="Calibri" w:eastAsia="Calibri" w:cs="Calibri"/>
          <w:i/>
          <w:iCs/>
          <w:color w:val="000000"/>
          <w:sz w:val="22"/>
          <w:szCs w:val="22"/>
        </w:rPr>
        <w:t xml:space="preserve">Diaspidiotus</w:t>
      </w:r>
      <w:r>
        <w:rPr>
          <w:rFonts w:ascii="Calibri" w:hAnsi="Calibri" w:eastAsia="Calibri" w:cs="Calibri"/>
          <w:color w:val="000000"/>
          <w:sz w:val="22"/>
          <w:szCs w:val="22"/>
        </w:rPr>
        <w:t xml:space="preserve">, Kosztarab (1996) in </w:t>
      </w:r>
      <w:r>
        <w:rPr>
          <w:rFonts w:ascii="Calibri" w:hAnsi="Calibri" w:eastAsia="Calibri" w:cs="Calibri"/>
          <w:i/>
          <w:iCs/>
          <w:color w:val="000000"/>
          <w:sz w:val="22"/>
          <w:szCs w:val="22"/>
        </w:rPr>
        <w:t xml:space="preserve">Quadraspidiotus</w:t>
      </w:r>
      <w:r>
        <w:rPr>
          <w:rFonts w:ascii="Calibri" w:hAnsi="Calibri" w:eastAsia="Calibri" w:cs="Calibri"/>
          <w:color w:val="000000"/>
          <w:sz w:val="22"/>
          <w:szCs w:val="22"/>
        </w:rPr>
        <w:t xml:space="preserve"> and Normark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in </w:t>
      </w:r>
      <w:r>
        <w:rPr>
          <w:rFonts w:ascii="Calibri" w:hAnsi="Calibri" w:eastAsia="Calibri" w:cs="Calibri"/>
          <w:i/>
          <w:iCs/>
          <w:color w:val="000000"/>
          <w:sz w:val="22"/>
          <w:szCs w:val="22"/>
        </w:rPr>
        <w:t xml:space="preserve">Comstockaspis</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hosts belong to the Rosaceae family: apples, peaches, pears, plums and </w:t>
      </w:r>
      <w:r>
        <w:rPr>
          <w:rFonts w:ascii="Calibri" w:hAnsi="Calibri" w:eastAsia="Calibri" w:cs="Calibri"/>
          <w:i/>
          <w:iCs/>
          <w:color w:val="000000"/>
          <w:sz w:val="22"/>
          <w:szCs w:val="22"/>
        </w:rPr>
        <w:t xml:space="preserve">Rubus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perniciosa</w:t>
      </w:r>
      <w:r>
        <w:rPr>
          <w:rFonts w:ascii="Calibri" w:hAnsi="Calibri" w:eastAsia="Calibri" w:cs="Calibri"/>
          <w:color w:val="000000"/>
          <w:sz w:val="22"/>
          <w:szCs w:val="22"/>
        </w:rPr>
        <w:t xml:space="preserve"> has also been reported in Chile on kiwifruits (Gonzalez, 1989). Its hosts include plants from over than 40 botanical families and about 80 genera, including: </w:t>
      </w:r>
      <w:r>
        <w:rPr>
          <w:rFonts w:ascii="Calibri" w:hAnsi="Calibri" w:eastAsia="Calibri" w:cs="Calibri"/>
          <w:i/>
          <w:iCs/>
          <w:color w:val="000000"/>
          <w:sz w:val="22"/>
          <w:szCs w:val="22"/>
        </w:rPr>
        <w:t xml:space="preserve">Acacia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Amelanchier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Chaenomeles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Cotoneaster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Cydonia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Euonymus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Fagus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Ligustrum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Maclura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Ptelea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Ribes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Symphoricarpos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Syringa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Tilia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Ulmus</w:t>
      </w:r>
      <w:r>
        <w:rPr>
          <w:rFonts w:ascii="Calibri" w:hAnsi="Calibri" w:eastAsia="Calibri" w:cs="Calibri"/>
          <w:color w:val="000000"/>
          <w:sz w:val="22"/>
          <w:szCs w:val="22"/>
        </w:rPr>
        <w:t xml:space="preserve">. These host plants are widely cultivated throughout the EPPO region as fruit crops and ornamentals.</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Acacia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campestre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japonicum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negundo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platanoides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saccharinum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Actinidia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Actinidia deliciosa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Aesculus hippocastanum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Akebia quinata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Akebia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Alnus nepalensis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Alnus nitida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Alnus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Aloe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Amelanchier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Aronia melanocarpa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pendula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pubescens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Buxus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Camellia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Camellia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Canna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Cannabis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Carpinus betulus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Carya glabra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Castanea crenata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Castanea dentata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Castanea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Catalpa bignonioides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Ceanothus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Cercidiphyllum japonicum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Chaenomeles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Chaenomeles lagenaria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Citrullus lanatus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trifoliata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unshiu</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Cornus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Cornus sanguinea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Cornus sericea f. baileyi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Corylus avellana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Corylus maxima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Cotoneaster integerrimus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Cotoneaster microphyllus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Cotoneaster niger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Cotoneaster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coccinea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crus-galli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marshallii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monogyna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orientalis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phaenopyrum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rhipidophylla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Cydonia oblonga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kaki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Elaeagnus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Eriobotrya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populnea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Fagus sylvatica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excelsior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Gleditsia triacanthos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Hedera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Hippophae rhamnoides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Hypericum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ailanthifolia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regia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Ligustrum vulgare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Maclura pomifera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asiatica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baccata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Nerium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Nyssa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Olea europaea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Olea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Osmanthus heterophyllus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Persea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Photinia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Pittosporum heterophyllum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Platanus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deltoides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euphratica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nigra var. italica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tremula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x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armeniaca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avium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caroliniana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cerasifera var. divaricata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cerasifera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cerasus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dulcis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hortulana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laurocerasus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mahaleb</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mandshurica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maritima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padus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pumila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salicina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serotina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serrulata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spinosa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x yedoensis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Pseudocydonia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Ptelea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Ptelea trifoliata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Pterocarya fraxinifolia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Pyracantha coccinea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Pyracantha rogersiana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Pyracantha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pyrifolia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ussuriensis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hartwissiana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marilandica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robur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serrata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Rhododendron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Ribes aureum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Ribes nigrum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Ribes oxyacanthoides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Ribes rubrum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Ribes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Robinia pseudoacacia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bracteata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carolina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multiflora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rugosa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acutifolia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alba subsp. vitellina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babylonica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candida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caprea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discolor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eleagnos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humilis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lucida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pentandra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repens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Sambucus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Simethis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Sorbus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Sorbus 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Sorbus aucuparia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Sorbus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Sorbus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Spartium junceum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Stevia triflora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Symphoricarpos albus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Symphoricarpos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Syringa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Syringa reticulata var. mandschurica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Syringa reticulata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Syringa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Tamarix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Tilia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Tilia platyphyllos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Tilia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glabra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minor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procera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Vernicia fordii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Viburnum lantana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perniciosa</w:t>
      </w:r>
      <w:r>
        <w:rPr>
          <w:rFonts w:ascii="Calibri" w:hAnsi="Calibri" w:eastAsia="Calibri" w:cs="Calibri"/>
          <w:color w:val="000000"/>
          <w:sz w:val="22"/>
          <w:szCs w:val="22"/>
        </w:rPr>
        <w:t xml:space="preserve"> is indigenous to Eastern Asia and has spread to many parts of the world: from China to Egypt, the Mediterranean Basin and North America, where it was first discovered in 1873 in California. At present, it is widely distributed in the Palearctic and Nearctic regions, being recorded in more than 60 countries in North and South America, Europe, southern Africa, Asia and Oceania.</w:t>
      </w:r>
    </w:p>
    <w:p>
      <w:r>
        <w:drawing>
          <wp:inline distT="0" distB="0" distL="0" distR="0">
            <wp:extent cx="6120000" cy="3067200"/>
            <wp:docPr id="55977282" name="name94096a65868b1d452" descr="QUADPE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ADPE_distribution_map.jpg"/>
                    <pic:cNvPicPr/>
                  </pic:nvPicPr>
                  <pic:blipFill>
                    <a:blip r:embed="rId32906a65868b1d44f"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Albania, Algeria, Armenia, Austria, Azerbaijan, Bulgaria, Croatia, Czechia, France (mainland), Georgia, Germany, Greece (mainland), Hungary, Italy (mainland, Sardegna), Kazakhstan, Kyrgyzstan, Moldova, Republic of, Morocco, Poland, Portugal (mainland, Azores, Madeira), Romania, Russian Federation (Far East, Southern Russia), Serbia, Slovakia, Slovenia, Spain (mainland, Islas Canárias), Switzerland, Tunisia, Türkiye, Ukraine, Uzbekistan</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Algeria, Angola, Congo, The Democratic Republic of the, Egypt, Morocco, South Africa, Tunisia, Zimbabwe</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Afghanistan, China (Anhui, Guangdong, Hebei, Heilongjiang, Henan, Hubei, Jiangxi, Jilin, Liaoning, Neimenggu, Shandong, Shanxi, Sichuan, Xianggang (Hong Kong), Xinjiang, Zhejiang), India (Andhra Pradesh, Assam, Delhi, Himachal Pradesh, Jammu &amp; Kashmir, Karnataka, Maharashtra, Meghalaya, Odisha, Punjab, Sikkim, Tamil Nadu, Uttar Pradesh, West Bengal), Indonesia (Java), Iran, Islamic Republic of, Iraq, Japan (Hokkaido, Honshu, Kyushu, Shikoku), Kazakhstan, Korea, Democratic People's Republic of, Korea, Republic of, Kyrgyzstan, Lebanon, Nepal, Pakistan, Tajikistan, Turkmenistan, Uzbekistan, Vietnam</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(British Columbia, Ontario, Québec), Mexico, United States of America (Alabama, California, Florida, Georgia, Hawaii, Illinois, Kansas, Maine, Massachusetts, Michigan, Mississippi, Missouri, New Jersey, New York, Oregon, Tennessee, Texas, Washington)</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Cuba</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Bolivia, Brazil (Espirito Santo, Minas Gerais, Parana, Rio de Janeiro, Rio Grande do Sul, Santa Catarina, Sao Paulo), Chile, Ecuador, Paraguay, Peru, Uruguay, Venezuela</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(New South Wales, Queensland, South Australia, Victoria, Western Australia), Fiji, New Caledonia, New Zealand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Most individuals of </w:t>
      </w:r>
      <w:r>
        <w:rPr>
          <w:rFonts w:ascii="Calibri" w:hAnsi="Calibri" w:eastAsia="Calibri" w:cs="Calibri"/>
          <w:i/>
          <w:iCs/>
          <w:color w:val="000000"/>
          <w:sz w:val="22"/>
          <w:szCs w:val="22"/>
        </w:rPr>
        <w:t xml:space="preserve">C. perniciosa</w:t>
      </w:r>
      <w:r>
        <w:rPr>
          <w:rFonts w:ascii="Calibri" w:hAnsi="Calibri" w:eastAsia="Calibri" w:cs="Calibri"/>
          <w:color w:val="000000"/>
          <w:sz w:val="22"/>
          <w:szCs w:val="22"/>
        </w:rPr>
        <w:t xml:space="preserve"> overwinter as 1st instar-nymphs (‘black cap’ nymphs), and a few as gravid adult females. All other stages perish in winter, except in areas with very warm climates. First instar-nymphs are very cold resistant, and about 20% have been reported to withstand long periods at -30°C. The threshold temperature for the development of 1st instar-nymphs is around 9-10°C, although development at this temperature is extremely slow. Hibernation is broken in February to March (in Northern Hemisphere) when the nymph quickly moults, giving rise to the 2nd instar. At this point, the sexes can be distinguished, since the female scale cover remains round, while male scales take on an elongated shape. The female undergoes three stages and two moults (first- and second-instar nymphs and the adult), while the male undergoes five stages and four moults (first- and second-instar larvae, the pronymph, nymph and adult). For males, the 2nd stage lasts 10-12 days and is terminated by the 2nd moult, giving rise to a prepupal stage. A 3rd moult follows after another 6-10 days, giving the pupal stage, followed by a 4th moult 4-5 days later, from which winged males, lacking mouthparts, emerge. For females, after the 2nd moult they reach the adult stage and, as they mature, they gradually increase in size until the scale cover reaches about 2 mm in diameter; they remain stationary, feeding. Adult males, which have limited flight ability, are mostly carried by wind currents and can also attach to birds, insects, or other animals and be spread by them. They mate with the females, which are not parthenogenetic. Females are viviparous, and 30-40 days after copulation (end of May to mid-June) they give birth to 50-400 larvae over a period of 6 to 8 weeks. First-instar nymphs, also called crawlers (mobile stage), emerge within 1-2 min and crawl within a further 2 min to 24 h, to infest new host tissue. Concerning females, only this stage is capable of dispersing and colonising new areas. Crawlers can also be dispersed by wind, birds, other insects, or machinery. Once a suitable location is found, the crawler fixes itself to the host by deeply implanting its rostrum into the host tissue. This is the most vulnerable stage in the life cycle and mortality rates are high. Once attached, the crawlers form the scale cover. This secretion is initially white (white cap nymph), but becomes grey and then black (black cap nymph). The </w:t>
      </w:r>
      <w:r>
        <w:rPr>
          <w:rFonts w:ascii="Calibri" w:hAnsi="Calibri" w:eastAsia="Calibri" w:cs="Calibri"/>
          <w:i/>
          <w:iCs/>
          <w:color w:val="000000"/>
          <w:sz w:val="22"/>
          <w:szCs w:val="22"/>
        </w:rPr>
        <w:t xml:space="preserve">C. perniciosa</w:t>
      </w:r>
      <w:r>
        <w:rPr>
          <w:rFonts w:ascii="Calibri" w:hAnsi="Calibri" w:eastAsia="Calibri" w:cs="Calibri"/>
          <w:color w:val="000000"/>
          <w:sz w:val="22"/>
          <w:szCs w:val="22"/>
        </w:rPr>
        <w:t xml:space="preserve"> cover is initiated by the first-instar larva as a filament secreted by integumentary glands. Loose material is glued together with liquid from the anal opening, and felted and shaped by movements of the insect beneath. The liquid hardens soon after contact with the air. At each moult, the cast exuviae are incorporated into the cover by addition of material to its margins.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perniciosa</w:t>
      </w:r>
      <w:r>
        <w:rPr>
          <w:rFonts w:ascii="Calibri" w:hAnsi="Calibri" w:eastAsia="Calibri" w:cs="Calibri"/>
          <w:color w:val="000000"/>
          <w:sz w:val="22"/>
          <w:szCs w:val="22"/>
        </w:rPr>
        <w:t xml:space="preserve"> has 1-5 generations per year in different parts of the world. In Central Europe, the adults appear at the end of April and May, and in Northern Europe 1 or 2 months later. The crawlers continue to appear for 1-2 months. There are usually two complete generations per year in Central Europe (Czech Republic, Hungary and Poland), two generations and a partial one in Switzerland, three to four in more southern areas, and only one in the more northerly parts of the EPPO region. The development time of one generation depends on weather conditions, mainly on temperatures. The total life cycle is completed within 60, 42 and 30 days at 20-21°C, 25-26°C and 31-32°C, respectively. At 31-32°C, marked mortality of 1st and 2nd instar larvae occurs while, at 39-40°C, normal larval development ceases. A large proportion of the 2nd generation nymphs, born at the end of July to beginning of August, enter into diapause at the black scale stage and overwinter in this form. Temperatures below 25°C are reported to induce extended diapause. In general, in the field, high temperatures and low humidity lead to high mortality, while light rainfall and warm weather (25-30°C) favour population increase. Heavy rainfall washes very young nymphs off the leaves. The degree-day accumulation method can be used to predict the appearance of subsequent developmental stages. The low temperature threshold in many studies was set at 10.5 °C or 10.6 °C, however, other values were also reported, e.g., 7.3 °C and 10 °C. For the 1st generation nymphs, the development temperature sum (&gt;7.3°C) is less than 500 degree-days (°C); for the 2nd generation, the temperature sum is 770 degree-days (°C).</w:t>
      </w:r>
    </w:p>
    <w:p>
      <w:pPr>
        <w:widowControl w:val="on"/>
        <w:pBdr/>
        <w:spacing w:before="220" w:after="220" w:line="240" w:lineRule="auto"/>
        <w:ind w:left="0" w:right="0"/>
        <w:jc w:val="both"/>
      </w:pPr>
      <w:r>
        <w:rPr>
          <w:rFonts w:ascii="Calibri" w:hAnsi="Calibri" w:eastAsia="Calibri" w:cs="Calibri"/>
          <w:color w:val="000000"/>
          <w:sz w:val="22"/>
          <w:szCs w:val="22"/>
        </w:rPr>
        <w:t xml:space="preserve">For further information, see also Vasseur &amp; Schvester (1957), Gentile &amp; Summers (1958), Mathys &amp; Stahl (1964), Freitas (1966; 1975), Huba (1969), Kosztarab &amp; Kozar (1988), Rychla (2014), Golan (2020), Golan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perniciosa</w:t>
      </w:r>
      <w:r>
        <w:rPr>
          <w:rFonts w:ascii="Calibri" w:hAnsi="Calibri" w:eastAsia="Calibri" w:cs="Calibri"/>
          <w:color w:val="000000"/>
          <w:sz w:val="22"/>
          <w:szCs w:val="22"/>
        </w:rPr>
        <w:t xml:space="preserve"> feeds on plant sap. All surface parts of young host plant tissue can be infested. Attacks generally take place on the bark but, in severe infestations, leaves and fruits may also be affected. Within 24 h of the nymph attaching itself to the plant, a characteristic violet-red halo appears around the insect rostrum inserted in host plant tissues. Haloes increase in size as the nymphs mature and may coalesce. The red cortical tissue swells with accumulating sap. This red coloration is not specific to </w:t>
      </w:r>
      <w:r>
        <w:rPr>
          <w:rFonts w:ascii="Calibri" w:hAnsi="Calibri" w:eastAsia="Calibri" w:cs="Calibri"/>
          <w:i/>
          <w:iCs/>
          <w:color w:val="000000"/>
          <w:sz w:val="22"/>
          <w:szCs w:val="22"/>
        </w:rPr>
        <w:t xml:space="preserve">C. perniciosa</w:t>
      </w:r>
      <w:r>
        <w:rPr>
          <w:rFonts w:ascii="Calibri" w:hAnsi="Calibri" w:eastAsia="Calibri" w:cs="Calibri"/>
          <w:color w:val="000000"/>
          <w:sz w:val="22"/>
          <w:szCs w:val="22"/>
        </w:rPr>
        <w:t xml:space="preserve">; it has also been reported on </w:t>
      </w:r>
      <w:r>
        <w:rPr>
          <w:rFonts w:ascii="Calibri" w:hAnsi="Calibri" w:eastAsia="Calibri" w:cs="Calibri"/>
          <w:i/>
          <w:iCs/>
          <w:color w:val="000000"/>
          <w:sz w:val="22"/>
          <w:szCs w:val="22"/>
        </w:rPr>
        <w:t xml:space="preserve">Ligustrum</w:t>
      </w:r>
      <w:r>
        <w:rPr>
          <w:rFonts w:ascii="Calibri" w:hAnsi="Calibri" w:eastAsia="Calibri" w:cs="Calibri"/>
          <w:color w:val="000000"/>
          <w:sz w:val="22"/>
          <w:szCs w:val="22"/>
        </w:rPr>
        <w:t xml:space="preserve"> infested by </w:t>
      </w:r>
      <w:r>
        <w:rPr>
          <w:rFonts w:ascii="Calibri" w:hAnsi="Calibri" w:eastAsia="Calibri" w:cs="Calibri"/>
          <w:i/>
          <w:iCs/>
          <w:color w:val="000000"/>
          <w:sz w:val="22"/>
          <w:szCs w:val="22"/>
        </w:rPr>
        <w:t xml:space="preserve">Diaspidiotus ostreaeformis</w:t>
      </w:r>
      <w:r>
        <w:rPr>
          <w:rFonts w:ascii="Calibri" w:hAnsi="Calibri" w:eastAsia="Calibri" w:cs="Calibri"/>
          <w:color w:val="000000"/>
          <w:sz w:val="22"/>
          <w:szCs w:val="22"/>
        </w:rPr>
        <w:t xml:space="preserve">. Bark often cracks and exudes gum, resulting in a dark-brown gelatinous area surrounding the area where the nymph is attached. Heavy infestation causes cessation of growth and loss of yield. Uncontrolled infestation can kill young trees within 2 to 3 years.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Positive identification of </w:t>
      </w:r>
      <w:r>
        <w:rPr>
          <w:rFonts w:ascii="Calibri" w:hAnsi="Calibri" w:eastAsia="Calibri" w:cs="Calibri"/>
          <w:i/>
          <w:iCs/>
          <w:color w:val="000000"/>
          <w:sz w:val="22"/>
          <w:szCs w:val="22"/>
        </w:rPr>
        <w:t xml:space="preserve">C. perniciosa</w:t>
      </w:r>
      <w:r>
        <w:rPr>
          <w:rFonts w:ascii="Calibri" w:hAnsi="Calibri" w:eastAsia="Calibri" w:cs="Calibri"/>
          <w:color w:val="000000"/>
          <w:sz w:val="22"/>
          <w:szCs w:val="22"/>
        </w:rPr>
        <w:t xml:space="preserve"> requires microscopic observation, in particular of the female pygidium. The most important feature that distinguishes this species from similar armored scale insects e.g. </w:t>
      </w:r>
      <w:r>
        <w:rPr>
          <w:rFonts w:ascii="Calibri" w:hAnsi="Calibri" w:eastAsia="Calibri" w:cs="Calibri"/>
          <w:i/>
          <w:iCs/>
          <w:color w:val="000000"/>
          <w:sz w:val="22"/>
          <w:szCs w:val="22"/>
        </w:rPr>
        <w:t xml:space="preserve">D. ostreaeformis, D. marani</w:t>
      </w:r>
      <w:r>
        <w:rPr>
          <w:rFonts w:ascii="Calibri" w:hAnsi="Calibri" w:eastAsia="Calibri" w:cs="Calibri"/>
          <w:color w:val="000000"/>
          <w:sz w:val="22"/>
          <w:szCs w:val="22"/>
        </w:rPr>
        <w:t xml:space="preserve"> or </w:t>
      </w:r>
      <w:r>
        <w:rPr>
          <w:rFonts w:ascii="Calibri" w:hAnsi="Calibri" w:eastAsia="Calibri" w:cs="Calibri"/>
          <w:i/>
          <w:iCs/>
          <w:color w:val="000000"/>
          <w:sz w:val="22"/>
          <w:szCs w:val="22"/>
        </w:rPr>
        <w:t xml:space="preserve">D. pyri</w:t>
      </w:r>
      <w:r>
        <w:rPr>
          <w:rFonts w:ascii="Calibri" w:hAnsi="Calibri" w:eastAsia="Calibri" w:cs="Calibri"/>
          <w:color w:val="000000"/>
          <w:sz w:val="22"/>
          <w:szCs w:val="22"/>
        </w:rPr>
        <w:t xml:space="preserve"> is the lack of perivulvar pores on the body of adult females (Kosztarab &amp; Kozar, 1988; Golan, 2020).</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First instar nymphs include three successive forms: crawlers – mobile, about 0.3 mm long, yellowish, oval, with three pairs of legs, antennae, and simple eyes; scale covering white or black. Second instar nymphs have a grey cover; round to elongated depending on their sex. The scale of the female is circular, slightly convex, exuviae subcentral. The scale of the male is slightly elongate, exuviae toward one end.</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Female: the adult female is circular, slightly convex, grey and about 1.5-2.2 mm in diameter, exuviae central or subcentral. Removing the scale reveals the pyriform insect body which bears characteristic ornamentations on the posterior part (pygidium). These consist of two pairs of lobes (one median and one lateral) and three short, largely spaced (exterior, lateral and median) combs. There are no glands around the vulva.</w:t>
      </w:r>
    </w:p>
    <w:p>
      <w:pPr>
        <w:widowControl w:val="on"/>
        <w:pBdr/>
        <w:spacing w:before="220" w:after="220" w:line="240" w:lineRule="auto"/>
        <w:ind w:left="0" w:right="0"/>
        <w:jc w:val="both"/>
      </w:pPr>
      <w:r>
        <w:rPr>
          <w:rFonts w:ascii="Calibri" w:hAnsi="Calibri" w:eastAsia="Calibri" w:cs="Calibri"/>
          <w:color w:val="000000"/>
          <w:sz w:val="22"/>
          <w:szCs w:val="22"/>
        </w:rPr>
        <w:t xml:space="preserve">Male: the adult male only has forewings, the hind pair being reduced to slender halteres linked to the wing bases by hooklets; mouthparts are absent. The characteristic dark band across the back (dorsum) differentiates them from other species of Diaspididae.</w:t>
      </w:r>
    </w:p>
    <w:p>
      <w:pPr>
        <w:widowControl w:val="on"/>
        <w:pBdr/>
        <w:spacing w:before="220" w:after="220" w:line="240" w:lineRule="auto"/>
        <w:ind w:left="0" w:right="0"/>
        <w:jc w:val="both"/>
      </w:pPr>
      <w:r>
        <w:rPr>
          <w:rFonts w:ascii="Calibri" w:hAnsi="Calibri" w:eastAsia="Calibri" w:cs="Calibri"/>
          <w:color w:val="000000"/>
          <w:sz w:val="22"/>
          <w:szCs w:val="22"/>
        </w:rPr>
        <w:t xml:space="preserve">For further information, see also Bustshik (1958), Mathys &amp; Stahl (1964), Boehm (1972), Stoetzel &amp; Davidson (1974), Geoffrion (1976), Kosztarab &amp; Kozar (1988); Kozar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perniciosa</w:t>
      </w:r>
      <w:r>
        <w:rPr>
          <w:rFonts w:ascii="Calibri" w:hAnsi="Calibri" w:eastAsia="Calibri" w:cs="Calibri"/>
          <w:color w:val="000000"/>
          <w:sz w:val="22"/>
          <w:szCs w:val="22"/>
        </w:rPr>
        <w:t xml:space="preserve"> can be detected on twigs and branches as greyish scales during pruning, and on fruits during harvest or packing. The observation of red spots on the fruits can also indicate the presence of </w:t>
      </w:r>
      <w:r>
        <w:rPr>
          <w:rFonts w:ascii="Calibri" w:hAnsi="Calibri" w:eastAsia="Calibri" w:cs="Calibri"/>
          <w:i/>
          <w:iCs/>
          <w:color w:val="000000"/>
          <w:sz w:val="22"/>
          <w:szCs w:val="22"/>
        </w:rPr>
        <w:t xml:space="preserve">C. perniciosa</w:t>
      </w:r>
      <w:r>
        <w:rPr>
          <w:rFonts w:ascii="Calibri" w:hAnsi="Calibri" w:eastAsia="Calibri" w:cs="Calibri"/>
          <w:color w:val="000000"/>
          <w:sz w:val="22"/>
          <w:szCs w:val="22"/>
        </w:rPr>
        <w:t xml:space="preserve">. Scouting trees during the dormant period can detect infested plants and determine the level of infestation. Common monitoring methods used to look for crawlers and immobile instars on twigs, leaves and fruits involve a magnifying glass or stereomicroscope and sticky tape traps to evaluate crawler activity and density. Pheromone traps are commonly used to determine the time of first male captures. Assessing the numbers of </w:t>
      </w:r>
      <w:r>
        <w:rPr>
          <w:rFonts w:ascii="Calibri" w:hAnsi="Calibri" w:eastAsia="Calibri" w:cs="Calibri"/>
          <w:i/>
          <w:iCs/>
          <w:color w:val="000000"/>
          <w:sz w:val="22"/>
          <w:szCs w:val="22"/>
        </w:rPr>
        <w:t xml:space="preserve">C. perniciosa</w:t>
      </w:r>
      <w:r>
        <w:rPr>
          <w:rFonts w:ascii="Calibri" w:hAnsi="Calibri" w:eastAsia="Calibri" w:cs="Calibri"/>
          <w:color w:val="000000"/>
          <w:sz w:val="22"/>
          <w:szCs w:val="22"/>
        </w:rPr>
        <w:t xml:space="preserve"> allows an estimate to be made of the degree of orchard infestation, to inform decisions about the timing of pesticide applications and can provide feedback on the efficacy of applied treatments.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1st instar crawlers are the main dispersal phase but are not normally carried more than a few kilometres by the wind. Crawlers mainly move vertically on the tree and are active for several hours after emergence covering distances of up to 3 m, but often settle within 1 m of their sessile mother. Although males have some flying ability and can be carried by wind, females are not dispersed in this way. International spread is liable to occur through human transport of planting material of host trees and shrubs, or fruits.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Since 1873, when </w:t>
      </w:r>
      <w:r>
        <w:rPr>
          <w:rFonts w:ascii="Calibri" w:hAnsi="Calibri" w:eastAsia="Calibri" w:cs="Calibri"/>
          <w:i/>
          <w:iCs/>
          <w:color w:val="000000"/>
          <w:sz w:val="22"/>
          <w:szCs w:val="22"/>
        </w:rPr>
        <w:t xml:space="preserve">C. perniciosa</w:t>
      </w:r>
      <w:r>
        <w:rPr>
          <w:rFonts w:ascii="Calibri" w:hAnsi="Calibri" w:eastAsia="Calibri" w:cs="Calibri"/>
          <w:color w:val="000000"/>
          <w:sz w:val="22"/>
          <w:szCs w:val="22"/>
        </w:rPr>
        <w:t xml:space="preserve"> was discovered in California (USA), it has been considered to have become the most serious pest of fruit trees in Europe and several other countries in the world. In Europe, the population of </w:t>
      </w:r>
      <w:r>
        <w:rPr>
          <w:rFonts w:ascii="Calibri" w:hAnsi="Calibri" w:eastAsia="Calibri" w:cs="Calibri"/>
          <w:i/>
          <w:iCs/>
          <w:color w:val="000000"/>
          <w:sz w:val="22"/>
          <w:szCs w:val="22"/>
        </w:rPr>
        <w:t xml:space="preserve">C. perniciosa</w:t>
      </w:r>
      <w:r>
        <w:rPr>
          <w:rFonts w:ascii="Calibri" w:hAnsi="Calibri" w:eastAsia="Calibri" w:cs="Calibri"/>
          <w:color w:val="000000"/>
          <w:sz w:val="22"/>
          <w:szCs w:val="22"/>
        </w:rPr>
        <w:t xml:space="preserve"> started to gradually increase at the end of the 1990s. Its expansion is greatly influenced by the progressing warming, the cumulative occurrence of host plants, as well as removal of non-selective pesticides in integrated pest management programmes. </w:t>
      </w:r>
      <w:r>
        <w:rPr>
          <w:rFonts w:ascii="Calibri" w:hAnsi="Calibri" w:eastAsia="Calibri" w:cs="Calibri"/>
          <w:i/>
          <w:iCs/>
          <w:color w:val="000000"/>
          <w:sz w:val="22"/>
          <w:szCs w:val="22"/>
        </w:rPr>
        <w:t xml:space="preserve">C. perniciosa</w:t>
      </w:r>
      <w:r>
        <w:rPr>
          <w:rFonts w:ascii="Calibri" w:hAnsi="Calibri" w:eastAsia="Calibri" w:cs="Calibri"/>
          <w:color w:val="000000"/>
          <w:sz w:val="22"/>
          <w:szCs w:val="22"/>
        </w:rPr>
        <w:t xml:space="preserve"> damages trees by injecting toxic saliva and, in the absence of control, young apple and pear trees, for example, can be killed within 2-3 years. Fruit quality and marketability are greatly reduced by scale attacks. In the EPPO region, the San José scale is currently of significant economic importance in Bulgaria, Hungary, Italy, Moldova, Portugal, Russia, Spain, Türkiye, Ukraine, and since 2015 in Poland. In the Far East, where the scale is indigenous and has only one generation per year, it causes little harm. Detailed information about its distribution and importance in different parts of the word can be found in many local publications. Studies on pears in Oregon (USA) indicated that an infestation level of 1% infested spurs in late April or 4% in July would result in harvest damage in excess of 2% infested fruit, the latter being about the maximum tolerable economic loss for the scale on pears (Westigard &amp; Calvin, 1977). Studies conducted in Portugal (Torres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demonstrated that pre-bloom sprays reduced damage by </w:t>
      </w:r>
      <w:r>
        <w:rPr>
          <w:rFonts w:ascii="Calibri" w:hAnsi="Calibri" w:eastAsia="Calibri" w:cs="Calibri"/>
          <w:i/>
          <w:iCs/>
          <w:color w:val="000000"/>
          <w:sz w:val="22"/>
          <w:szCs w:val="22"/>
        </w:rPr>
        <w:t xml:space="preserve">C. perniciosa</w:t>
      </w:r>
      <w:r>
        <w:rPr>
          <w:rFonts w:ascii="Calibri" w:hAnsi="Calibri" w:eastAsia="Calibri" w:cs="Calibri"/>
          <w:color w:val="000000"/>
          <w:sz w:val="22"/>
          <w:szCs w:val="22"/>
        </w:rPr>
        <w:t xml:space="preserve"> from 19% to 29%, while with post-bloom sprays, the lower level of infestation obtained was of 61%.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In orchards, chemical control can be achieved with applications of mineral oils or mixtures of mineral oils with pesticides at the end of the dormant season against the overwintering stages, and with applications of pesticides targeting crawlers during the growing season. The registration and use of pesticides can vary significantly from one region to another, and it is essential to consult the national list of registered pesticides or the relevant authorities to determine which products may be used in a particular country. For summer treatments, sex pheromone traps can be used to monitor the level of male adults, and therefore to determine the timing of applications. To control emerging crawlers, insecticide sprays should be synchronized with the crawler activity. The latter can be determined based on degree-day timing model or crawler catch on two-sided sticky tape traps wrapped around branches. Both pre-bloom and post-bloom applications against crawlers are necessary to protect fruits adequately. Several applications of insecticides are often needed during the first generation of crawler activity to reduce damage. The most effective control is obtained by applying two sprays against each crawler generation, one at the beginning and another 10 to14 days later. Good pruning practices can help to reduce spring and summer populations of </w:t>
      </w:r>
      <w:r>
        <w:rPr>
          <w:rFonts w:ascii="Calibri" w:hAnsi="Calibri" w:eastAsia="Calibri" w:cs="Calibri"/>
          <w:i/>
          <w:iCs/>
          <w:color w:val="000000"/>
          <w:sz w:val="22"/>
          <w:szCs w:val="22"/>
        </w:rPr>
        <w:t xml:space="preserve">C. perniciosa</w:t>
      </w:r>
      <w:r>
        <w:rPr>
          <w:rFonts w:ascii="Calibri" w:hAnsi="Calibri" w:eastAsia="Calibri" w:cs="Calibri"/>
          <w:color w:val="000000"/>
          <w:sz w:val="22"/>
          <w:szCs w:val="22"/>
        </w:rPr>
        <w:t xml:space="preserve"> and allow better spray coverage in treetops. Biological control with the hymenopteran parasitoid </w:t>
      </w:r>
      <w:r>
        <w:rPr>
          <w:rFonts w:ascii="Calibri" w:hAnsi="Calibri" w:eastAsia="Calibri" w:cs="Calibri"/>
          <w:i/>
          <w:iCs/>
          <w:color w:val="000000"/>
          <w:sz w:val="22"/>
          <w:szCs w:val="22"/>
        </w:rPr>
        <w:t xml:space="preserve">Encarsia perniciosi</w:t>
      </w:r>
      <w:r>
        <w:rPr>
          <w:rFonts w:ascii="Calibri" w:hAnsi="Calibri" w:eastAsia="Calibri" w:cs="Calibri"/>
          <w:color w:val="000000"/>
          <w:sz w:val="22"/>
          <w:szCs w:val="22"/>
        </w:rPr>
        <w:t xml:space="preserve"> (Hymenoptera: Aphelinidae) has also been used in orchards and private gardens. Surrounding infested vegetation can be a source for re-infestation of orchards and tree plantations, however it can also be a refuge for natural enemies.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Many abiotic and biotic factors affect the spread and rate of development of </w:t>
      </w:r>
      <w:r>
        <w:rPr>
          <w:rFonts w:ascii="Calibri" w:hAnsi="Calibri" w:eastAsia="Calibri" w:cs="Calibri"/>
          <w:i/>
          <w:iCs/>
          <w:color w:val="000000"/>
          <w:sz w:val="22"/>
          <w:szCs w:val="22"/>
        </w:rPr>
        <w:t xml:space="preserve">C. perniciosa,</w:t>
      </w:r>
      <w:r>
        <w:rPr>
          <w:rFonts w:ascii="Calibri" w:hAnsi="Calibri" w:eastAsia="Calibri" w:cs="Calibri"/>
          <w:color w:val="000000"/>
          <w:sz w:val="22"/>
          <w:szCs w:val="22"/>
        </w:rPr>
        <w:t xml:space="preserve"> but temperature seems to be the most relevant. In more northern zones, the San José scale can be present, but is not likely to cause much damage, as its reproductive potential and development are much reduced at low temperatures (Gentile &amp; Summers, 1958). The main risk remains to countries in Europe, where the species is absent or has a limited distribution at present. </w:t>
      </w:r>
      <w:r>
        <w:rPr>
          <w:rFonts w:ascii="Calibri" w:hAnsi="Calibri" w:eastAsia="Calibri" w:cs="Calibri"/>
          <w:i/>
          <w:iCs/>
          <w:color w:val="000000"/>
          <w:sz w:val="22"/>
          <w:szCs w:val="22"/>
        </w:rPr>
        <w:t xml:space="preserve">C. perniciosa</w:t>
      </w:r>
      <w:r>
        <w:rPr>
          <w:rFonts w:ascii="Calibri" w:hAnsi="Calibri" w:eastAsia="Calibri" w:cs="Calibri"/>
          <w:color w:val="000000"/>
          <w:sz w:val="22"/>
          <w:szCs w:val="22"/>
        </w:rPr>
        <w:t xml:space="preserve"> is a polyphagous pest which can attack crops of economic importance (e.g. fruit trees). Severe infestations may lead to economic crop losses, as well as losses in market access.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Many countries have specific regulations against </w:t>
      </w:r>
      <w:r>
        <w:rPr>
          <w:rFonts w:ascii="Calibri" w:hAnsi="Calibri" w:eastAsia="Calibri" w:cs="Calibri"/>
          <w:i/>
          <w:iCs/>
          <w:color w:val="000000"/>
          <w:sz w:val="22"/>
          <w:szCs w:val="22"/>
        </w:rPr>
        <w:t xml:space="preserve">C. perniciosa</w:t>
      </w:r>
      <w:r>
        <w:rPr>
          <w:rFonts w:ascii="Calibri" w:hAnsi="Calibri" w:eastAsia="Calibri" w:cs="Calibri"/>
          <w:color w:val="000000"/>
          <w:sz w:val="22"/>
          <w:szCs w:val="22"/>
        </w:rPr>
        <w:t xml:space="preserve">. It had been the object of quarantine regulations in the European Union, however in the past few years due to its spread over most of the EU Member States, </w:t>
      </w:r>
      <w:r>
        <w:rPr>
          <w:rFonts w:ascii="Calibri" w:hAnsi="Calibri" w:eastAsia="Calibri" w:cs="Calibri"/>
          <w:i/>
          <w:iCs/>
          <w:color w:val="000000"/>
          <w:sz w:val="22"/>
          <w:szCs w:val="22"/>
        </w:rPr>
        <w:t xml:space="preserve">C. perniciosa</w:t>
      </w:r>
      <w:r>
        <w:rPr>
          <w:rFonts w:ascii="Calibri" w:hAnsi="Calibri" w:eastAsia="Calibri" w:cs="Calibri"/>
          <w:color w:val="000000"/>
          <w:sz w:val="22"/>
          <w:szCs w:val="22"/>
        </w:rPr>
        <w:t xml:space="preserve"> is a regulated non-quarantine pest (RNQP), as it is still important to prevent its spread on plants for planting. Countries may prohibit importation of plants for planting (of host plants) from areas where the pest occurs during specified periods, as for example in summer, when treatment is not suitable because of the risk of phytotoxicity. Countries may require that consignments come from a field found to be free from </w:t>
      </w:r>
      <w:r>
        <w:rPr>
          <w:rFonts w:ascii="Calibri" w:hAnsi="Calibri" w:eastAsia="Calibri" w:cs="Calibri"/>
          <w:i/>
          <w:iCs/>
          <w:color w:val="000000"/>
          <w:sz w:val="22"/>
          <w:szCs w:val="22"/>
        </w:rPr>
        <w:t xml:space="preserve">C. perniciosa</w:t>
      </w:r>
      <w:r>
        <w:rPr>
          <w:rFonts w:ascii="Calibri" w:hAnsi="Calibri" w:eastAsia="Calibri" w:cs="Calibri"/>
          <w:color w:val="000000"/>
          <w:sz w:val="22"/>
          <w:szCs w:val="22"/>
        </w:rPr>
        <w:t xml:space="preserve"> during the last two growing seasons and may also require appropriate treatment of the consignment. However, under certain conditions, countries may accept a tolerance for this pest on fruits.</w:t>
      </w:r>
    </w:p>
    <w:p>
      <w:pPr>
        <w:widowControl w:val="on"/>
        <w:pBdr/>
        <w:spacing w:before="220" w:after="220" w:line="240" w:lineRule="auto"/>
        <w:ind w:left="0" w:right="0"/>
        <w:jc w:val="both"/>
      </w:pPr>
      <w:r>
        <w:rPr>
          <w:rFonts w:ascii="Calibri" w:hAnsi="Calibri" w:eastAsia="Calibri" w:cs="Calibri"/>
          <w:color w:val="000000"/>
          <w:sz w:val="22"/>
          <w:szCs w:val="22"/>
        </w:rPr>
        <w:t xml:space="preserve">Cold storage of apple consignments in standard or controlled-atmosphere storage for at least 4 months resulted in over 90% mortality of the scale insects in the overwintering stage and loss of vigour and complete loss of reproductive capacity in surviving individuals transferred to a temperature of 22°C (Dickler, 1976).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Boehm H (1972) [The San José scale]. </w:t>
      </w:r>
      <w:r>
        <w:rPr>
          <w:rFonts w:ascii="Calibri" w:hAnsi="Calibri" w:eastAsia="Calibri" w:cs="Calibri"/>
          <w:i/>
          <w:iCs/>
          <w:color w:val="000000"/>
          <w:sz w:val="22"/>
          <w:szCs w:val="22"/>
        </w:rPr>
        <w:t xml:space="preserve">Flugblatt, Bundesanstalt für Pflanzenschutz</w:t>
      </w:r>
      <w:r>
        <w:rPr>
          <w:rFonts w:ascii="Calibri" w:hAnsi="Calibri" w:eastAsia="Calibri" w:cs="Calibri"/>
          <w:color w:val="000000"/>
          <w:sz w:val="22"/>
          <w:szCs w:val="22"/>
        </w:rPr>
        <w:t xml:space="preserve"> No. 11.</w:t>
      </w:r>
    </w:p>
    <w:p>
      <w:pPr>
        <w:widowControl w:val="on"/>
        <w:pBdr/>
        <w:spacing w:before="220" w:after="220" w:line="240" w:lineRule="auto"/>
        <w:ind w:left="0" w:right="0"/>
        <w:jc w:val="left"/>
      </w:pPr>
      <w:r>
        <w:rPr>
          <w:rFonts w:ascii="Calibri" w:hAnsi="Calibri" w:eastAsia="Calibri" w:cs="Calibri"/>
          <w:color w:val="000000"/>
          <w:sz w:val="22"/>
          <w:szCs w:val="22"/>
        </w:rPr>
        <w:t xml:space="preserve">Bustshik TN (1958) A contribution to the comparative morphology of the males of the scale insects (Homoptera, Coccoidea, Diaspididae). Trudy Akademiya Nauk SSSR. </w:t>
      </w:r>
      <w:r>
        <w:rPr>
          <w:rFonts w:ascii="Calibri" w:hAnsi="Calibri" w:eastAsia="Calibri" w:cs="Calibri"/>
          <w:i/>
          <w:iCs/>
          <w:color w:val="000000"/>
          <w:sz w:val="22"/>
          <w:szCs w:val="22"/>
        </w:rPr>
        <w:t xml:space="preserve">Vsesoyuznogo Entomologicheskogo Obshchestva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162-269.</w:t>
      </w:r>
    </w:p>
    <w:p>
      <w:pPr>
        <w:widowControl w:val="on"/>
        <w:pBdr/>
        <w:spacing w:before="220" w:after="220" w:line="240" w:lineRule="auto"/>
        <w:ind w:left="0" w:right="0"/>
        <w:jc w:val="left"/>
      </w:pPr>
      <w:r>
        <w:rPr>
          <w:rFonts w:ascii="Calibri" w:hAnsi="Calibri" w:eastAsia="Calibri" w:cs="Calibri"/>
          <w:color w:val="000000"/>
          <w:sz w:val="22"/>
          <w:szCs w:val="22"/>
        </w:rPr>
        <w:t xml:space="preserve">Danzig EM (1993) [Fauna of Russia and neighbouring countries. Rhynchota, Volume X: suborder scale insects (Coccinea): families Phoenicococcidae and Diaspididae]. Nauka Publishing House St. Petersburg 452 pp.</w:t>
      </w:r>
    </w:p>
    <w:p>
      <w:pPr>
        <w:widowControl w:val="on"/>
        <w:pBdr/>
        <w:spacing w:before="220" w:after="220" w:line="240" w:lineRule="auto"/>
        <w:ind w:left="0" w:right="0"/>
        <w:jc w:val="left"/>
      </w:pPr>
      <w:r>
        <w:rPr>
          <w:rFonts w:ascii="Calibri" w:hAnsi="Calibri" w:eastAsia="Calibri" w:cs="Calibri"/>
          <w:color w:val="000000"/>
          <w:sz w:val="22"/>
          <w:szCs w:val="22"/>
        </w:rPr>
        <w:t xml:space="preserve">Dickler E (1976) [The effect of cold storage and controlled-atmosphere storage of apples from Italy on the mortality and fertility of the San José scale (</w:t>
      </w:r>
      <w:r>
        <w:rPr>
          <w:rFonts w:ascii="Calibri" w:hAnsi="Calibri" w:eastAsia="Calibri" w:cs="Calibri"/>
          <w:i/>
          <w:iCs/>
          <w:color w:val="000000"/>
          <w:sz w:val="22"/>
          <w:szCs w:val="22"/>
        </w:rPr>
        <w:t xml:space="preserve">Quadraspidiotus perniciosus</w:t>
      </w:r>
      <w:r>
        <w:rPr>
          <w:rFonts w:ascii="Calibri" w:hAnsi="Calibri" w:eastAsia="Calibri" w:cs="Calibri"/>
          <w:color w:val="000000"/>
          <w:sz w:val="22"/>
          <w:szCs w:val="22"/>
        </w:rPr>
        <w:t xml:space="preserve"> Comst.)]. </w:t>
      </w:r>
      <w:r>
        <w:rPr>
          <w:rFonts w:ascii="Calibri" w:hAnsi="Calibri" w:eastAsia="Calibri" w:cs="Calibri"/>
          <w:i/>
          <w:iCs/>
          <w:color w:val="000000"/>
          <w:sz w:val="22"/>
          <w:szCs w:val="22"/>
        </w:rPr>
        <w:t xml:space="preserve">Nachrichtenblatt des Deutschen Pflanzenschutzdienstes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 67-73.</w:t>
      </w:r>
    </w:p>
    <w:p>
      <w:pPr>
        <w:widowControl w:val="on"/>
        <w:pBdr/>
        <w:spacing w:before="220" w:after="220" w:line="240" w:lineRule="auto"/>
        <w:ind w:left="0" w:right="0"/>
        <w:jc w:val="left"/>
      </w:pPr>
      <w:r>
        <w:rPr>
          <w:rFonts w:ascii="Calibri" w:hAnsi="Calibri" w:eastAsia="Calibri" w:cs="Calibri"/>
          <w:color w:val="000000"/>
          <w:sz w:val="22"/>
          <w:szCs w:val="22"/>
        </w:rPr>
        <w:t xml:space="preserve">Freitas A de (1966) [The bio-ecological behaviour of the San José scale (</w:t>
      </w:r>
      <w:r>
        <w:rPr>
          <w:rFonts w:ascii="Calibri" w:hAnsi="Calibri" w:eastAsia="Calibri" w:cs="Calibri"/>
          <w:i/>
          <w:iCs/>
          <w:color w:val="000000"/>
          <w:sz w:val="22"/>
          <w:szCs w:val="22"/>
        </w:rPr>
        <w:t xml:space="preserve">Quadraspidiotus perniciosus</w:t>
      </w:r>
      <w:r>
        <w:rPr>
          <w:rFonts w:ascii="Calibri" w:hAnsi="Calibri" w:eastAsia="Calibri" w:cs="Calibri"/>
          <w:color w:val="000000"/>
          <w:sz w:val="22"/>
          <w:szCs w:val="22"/>
        </w:rPr>
        <w:t xml:space="preserve"> [Comst.]) in continental Portugal. I. Annual cycle on apple]. </w:t>
      </w:r>
      <w:r>
        <w:rPr>
          <w:rFonts w:ascii="Calibri" w:hAnsi="Calibri" w:eastAsia="Calibri" w:cs="Calibri"/>
          <w:i/>
          <w:iCs/>
          <w:color w:val="000000"/>
          <w:sz w:val="22"/>
          <w:szCs w:val="22"/>
        </w:rPr>
        <w:t xml:space="preserve">Agronomia Lusitanica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289-335.</w:t>
      </w:r>
    </w:p>
    <w:p>
      <w:pPr>
        <w:widowControl w:val="on"/>
        <w:pBdr/>
        <w:spacing w:before="220" w:after="220" w:line="240" w:lineRule="auto"/>
        <w:ind w:left="0" w:right="0"/>
        <w:jc w:val="left"/>
      </w:pPr>
      <w:r>
        <w:rPr>
          <w:rFonts w:ascii="Calibri" w:hAnsi="Calibri" w:eastAsia="Calibri" w:cs="Calibri"/>
          <w:color w:val="000000"/>
          <w:sz w:val="22"/>
          <w:szCs w:val="22"/>
        </w:rPr>
        <w:t xml:space="preserve">Freitas A de (1975) [The bio-ecological behaviour of the San José scale (</w:t>
      </w:r>
      <w:r>
        <w:rPr>
          <w:rFonts w:ascii="Calibri" w:hAnsi="Calibri" w:eastAsia="Calibri" w:cs="Calibri"/>
          <w:i/>
          <w:iCs/>
          <w:color w:val="000000"/>
          <w:sz w:val="22"/>
          <w:szCs w:val="22"/>
        </w:rPr>
        <w:t xml:space="preserve">Quadraspidiotus perniciosus</w:t>
      </w:r>
      <w:r>
        <w:rPr>
          <w:rFonts w:ascii="Calibri" w:hAnsi="Calibri" w:eastAsia="Calibri" w:cs="Calibri"/>
          <w:color w:val="000000"/>
          <w:sz w:val="22"/>
          <w:szCs w:val="22"/>
        </w:rPr>
        <w:t xml:space="preserve"> [Comst].) in continental Portugal. II. Natural mortality and parasitism on apple]. </w:t>
      </w:r>
      <w:r>
        <w:rPr>
          <w:rFonts w:ascii="Calibri" w:hAnsi="Calibri" w:eastAsia="Calibri" w:cs="Calibri"/>
          <w:i/>
          <w:iCs/>
          <w:color w:val="000000"/>
          <w:sz w:val="22"/>
          <w:szCs w:val="22"/>
        </w:rPr>
        <w:t xml:space="preserve">Agronomia Lusitanica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235-285.</w:t>
      </w:r>
    </w:p>
    <w:p>
      <w:pPr>
        <w:widowControl w:val="on"/>
        <w:pBdr/>
        <w:spacing w:before="220" w:after="220" w:line="240" w:lineRule="auto"/>
        <w:ind w:left="0" w:right="0"/>
        <w:jc w:val="left"/>
      </w:pPr>
      <w:r>
        <w:rPr>
          <w:rFonts w:ascii="Calibri" w:hAnsi="Calibri" w:eastAsia="Calibri" w:cs="Calibri"/>
          <w:color w:val="000000"/>
          <w:sz w:val="22"/>
          <w:szCs w:val="22"/>
        </w:rPr>
        <w:t xml:space="preserve">Gentile GA &amp; Summers FH (1958) The biology of San José scale on peaches with special reference to the behaviour of males and juveniles. </w:t>
      </w:r>
      <w:r>
        <w:rPr>
          <w:rFonts w:ascii="Calibri" w:hAnsi="Calibri" w:eastAsia="Calibri" w:cs="Calibri"/>
          <w:i/>
          <w:iCs/>
          <w:color w:val="000000"/>
          <w:sz w:val="22"/>
          <w:szCs w:val="22"/>
        </w:rPr>
        <w:t xml:space="preserve">Hilgardia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269-285.</w:t>
      </w:r>
    </w:p>
    <w:p>
      <w:pPr>
        <w:widowControl w:val="on"/>
        <w:pBdr/>
        <w:spacing w:before="220" w:after="220" w:line="240" w:lineRule="auto"/>
        <w:ind w:left="0" w:right="0"/>
        <w:jc w:val="left"/>
      </w:pPr>
      <w:r>
        <w:rPr>
          <w:rFonts w:ascii="Calibri" w:hAnsi="Calibri" w:eastAsia="Calibri" w:cs="Calibri"/>
          <w:color w:val="000000"/>
          <w:sz w:val="22"/>
          <w:szCs w:val="22"/>
        </w:rPr>
        <w:t xml:space="preserve">Geoffrion R (1976) La cochenille rouge du poirier. </w:t>
      </w:r>
      <w:r>
        <w:rPr>
          <w:rFonts w:ascii="Calibri" w:hAnsi="Calibri" w:eastAsia="Calibri" w:cs="Calibri"/>
          <w:i/>
          <w:iCs/>
          <w:color w:val="000000"/>
          <w:sz w:val="22"/>
          <w:szCs w:val="22"/>
        </w:rPr>
        <w:t xml:space="preserve">Arboriculture Fruitière</w:t>
      </w:r>
      <w:r>
        <w:rPr>
          <w:rFonts w:ascii="Calibri" w:hAnsi="Calibri" w:eastAsia="Calibri" w:cs="Calibri"/>
          <w:color w:val="000000"/>
          <w:sz w:val="22"/>
          <w:szCs w:val="22"/>
        </w:rPr>
        <w:t xml:space="preserve"> No. 265, pp. 23-31.</w:t>
      </w:r>
    </w:p>
    <w:p>
      <w:pPr>
        <w:widowControl w:val="on"/>
        <w:pBdr/>
        <w:spacing w:before="220" w:after="220" w:line="240" w:lineRule="auto"/>
        <w:ind w:left="0" w:right="0"/>
        <w:jc w:val="left"/>
      </w:pPr>
      <w:r>
        <w:rPr>
          <w:rFonts w:ascii="Calibri" w:hAnsi="Calibri" w:eastAsia="Calibri" w:cs="Calibri"/>
          <w:color w:val="000000"/>
          <w:sz w:val="22"/>
          <w:szCs w:val="22"/>
        </w:rPr>
        <w:t xml:space="preserve">Golan K (2020) Contributions to the knowledge of the San José scale (Hemiptera, Coccomorpha, Diaspididae) in Poland. </w:t>
      </w:r>
      <w:r>
        <w:rPr>
          <w:rFonts w:ascii="Calibri" w:hAnsi="Calibri" w:eastAsia="Calibri" w:cs="Calibri"/>
          <w:i/>
          <w:iCs/>
          <w:color w:val="000000"/>
          <w:sz w:val="22"/>
          <w:szCs w:val="22"/>
        </w:rPr>
        <w:t xml:space="preserve">Polish Journal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(1), 7-19. </w:t>
      </w:r>
      <w:hyperlink r:id="rId79406a65868b1e24f" w:history="1">
        <w:r>
          <w:rPr>
            <w:rFonts w:ascii="Calibri" w:hAnsi="Calibri" w:eastAsia="Calibri" w:cs="Calibri"/>
            <w:color w:val="0000CC"/>
            <w:sz w:val="22"/>
            <w:szCs w:val="22"/>
            <w:u w:val="single"/>
          </w:rPr>
          <w:t xml:space="preserve">https://doi.org/10.5604/01.3001.0014.0288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Golan K, Kot I, Kmieć K &amp; Górska-Drabik E (2023) Approaches to integrated pest management in orchards: </w:t>
      </w:r>
      <w:r>
        <w:rPr>
          <w:rFonts w:ascii="Calibri" w:hAnsi="Calibri" w:eastAsia="Calibri" w:cs="Calibri"/>
          <w:i/>
          <w:iCs/>
          <w:color w:val="000000"/>
          <w:sz w:val="22"/>
          <w:szCs w:val="22"/>
        </w:rPr>
        <w:t xml:space="preserve">Comstockaspis perniciosa </w:t>
      </w:r>
      <w:r>
        <w:rPr>
          <w:rFonts w:ascii="Calibri" w:hAnsi="Calibri" w:eastAsia="Calibri" w:cs="Calibri"/>
          <w:color w:val="000000"/>
          <w:sz w:val="22"/>
          <w:szCs w:val="22"/>
        </w:rPr>
        <w:t xml:space="preserve">(Comstock) case study. </w:t>
      </w:r>
      <w:r>
        <w:rPr>
          <w:rFonts w:ascii="Calibri" w:hAnsi="Calibri" w:eastAsia="Calibri" w:cs="Calibri"/>
          <w:i/>
          <w:iCs/>
          <w:color w:val="000000"/>
          <w:sz w:val="22"/>
          <w:szCs w:val="22"/>
        </w:rPr>
        <w:t xml:space="preserve">Agriculture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(1), 131. </w:t>
      </w:r>
      <w:hyperlink r:id="rId93536a65868b1e2e3" w:history="1">
        <w:r>
          <w:rPr>
            <w:rFonts w:ascii="Calibri" w:hAnsi="Calibri" w:eastAsia="Calibri" w:cs="Calibri"/>
            <w:color w:val="0000CC"/>
            <w:sz w:val="22"/>
            <w:szCs w:val="22"/>
            <w:u w:val="single"/>
          </w:rPr>
          <w:t xml:space="preserve">https://doi.org/10.3390/agriculture13010131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González RH (1989) [Management of kiwi fruit pests in Chile: 1. Degradation of residues of the insecticides chlorpyrifos and phosmet]. </w:t>
      </w:r>
      <w:r>
        <w:rPr>
          <w:rFonts w:ascii="Calibri" w:hAnsi="Calibri" w:eastAsia="Calibri" w:cs="Calibri"/>
          <w:i/>
          <w:iCs/>
          <w:color w:val="000000"/>
          <w:sz w:val="22"/>
          <w:szCs w:val="22"/>
        </w:rPr>
        <w:t xml:space="preserve">Revista Fruticola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(2), 35-43 (in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Huba A (1969) Remarks on the influence of climatic factors on the development possibilities of the San José scale. </w:t>
      </w:r>
      <w:r>
        <w:rPr>
          <w:rFonts w:ascii="Calibri" w:hAnsi="Calibri" w:eastAsia="Calibri" w:cs="Calibri"/>
          <w:i/>
          <w:iCs/>
          <w:color w:val="000000"/>
          <w:sz w:val="22"/>
          <w:szCs w:val="22"/>
        </w:rPr>
        <w:t xml:space="preserve">EPPO Publications, Series A</w:t>
      </w:r>
      <w:r>
        <w:rPr>
          <w:rFonts w:ascii="Calibri" w:hAnsi="Calibri" w:eastAsia="Calibri" w:cs="Calibri"/>
          <w:color w:val="000000"/>
          <w:sz w:val="22"/>
          <w:szCs w:val="22"/>
        </w:rPr>
        <w:t xml:space="preserve"> No. 48, pp. 69-72.</w:t>
      </w:r>
    </w:p>
    <w:p>
      <w:pPr>
        <w:widowControl w:val="on"/>
        <w:pBdr/>
        <w:spacing w:before="220" w:after="220" w:line="240" w:lineRule="auto"/>
        <w:ind w:left="0" w:right="0"/>
        <w:jc w:val="left"/>
      </w:pPr>
      <w:r>
        <w:rPr>
          <w:rFonts w:ascii="Calibri" w:hAnsi="Calibri" w:eastAsia="Calibri" w:cs="Calibri"/>
          <w:color w:val="000000"/>
          <w:sz w:val="22"/>
          <w:szCs w:val="22"/>
        </w:rPr>
        <w:t xml:space="preserve">Kosztarab M &amp; Kozár F (1988) Scale Insects of Central Europe. Akadémiai Kiadó, Budapest, pp. 375–377.</w:t>
      </w:r>
    </w:p>
    <w:p>
      <w:pPr>
        <w:widowControl w:val="on"/>
        <w:pBdr/>
        <w:spacing w:before="220" w:after="220" w:line="240" w:lineRule="auto"/>
        <w:ind w:left="0" w:right="0"/>
        <w:jc w:val="left"/>
      </w:pPr>
      <w:r>
        <w:rPr>
          <w:rFonts w:ascii="Calibri" w:hAnsi="Calibri" w:eastAsia="Calibri" w:cs="Calibri"/>
          <w:color w:val="000000"/>
          <w:sz w:val="22"/>
          <w:szCs w:val="22"/>
        </w:rPr>
        <w:t xml:space="preserve">Kosztarab M (1996) Scale Insects of Northeastern North America, Identification, Biology and Distribution. Virginia Museum of Natural History, Special Publication Number 3, Martinsville, 583 pp.</w:t>
      </w:r>
    </w:p>
    <w:p>
      <w:pPr>
        <w:widowControl w:val="on"/>
        <w:pBdr/>
        <w:spacing w:before="220" w:after="220" w:line="240" w:lineRule="auto"/>
        <w:ind w:left="0" w:right="0"/>
        <w:jc w:val="left"/>
      </w:pPr>
      <w:r>
        <w:rPr>
          <w:rFonts w:ascii="Calibri" w:hAnsi="Calibri" w:eastAsia="Calibri" w:cs="Calibri"/>
          <w:color w:val="000000"/>
          <w:sz w:val="22"/>
          <w:szCs w:val="22"/>
        </w:rPr>
        <w:t xml:space="preserve">Kozar F, Hippe C &amp; Mani E (1996) Morphometric analyses of the males of </w:t>
      </w:r>
      <w:r>
        <w:rPr>
          <w:rFonts w:ascii="Calibri" w:hAnsi="Calibri" w:eastAsia="Calibri" w:cs="Calibri"/>
          <w:i/>
          <w:iCs/>
          <w:color w:val="000000"/>
          <w:sz w:val="22"/>
          <w:szCs w:val="22"/>
        </w:rPr>
        <w:t xml:space="preserve">Quadraspidiotus</w:t>
      </w:r>
      <w:r>
        <w:rPr>
          <w:rFonts w:ascii="Calibri" w:hAnsi="Calibri" w:eastAsia="Calibri" w:cs="Calibri"/>
          <w:color w:val="000000"/>
          <w:sz w:val="22"/>
          <w:szCs w:val="22"/>
        </w:rPr>
        <w:t xml:space="preserve"> species (Hom., Diaspididae) found in European orchards or their vicinity. </w:t>
      </w:r>
      <w:r>
        <w:rPr>
          <w:rFonts w:ascii="Calibri" w:hAnsi="Calibri" w:eastAsia="Calibri" w:cs="Calibri"/>
          <w:i/>
          <w:iCs/>
          <w:color w:val="000000"/>
          <w:sz w:val="22"/>
          <w:szCs w:val="22"/>
        </w:rPr>
        <w:t xml:space="preserve">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120</w:t>
      </w:r>
      <w:r>
        <w:rPr>
          <w:rFonts w:ascii="Calibri" w:hAnsi="Calibri" w:eastAsia="Calibri" w:cs="Calibri"/>
          <w:color w:val="000000"/>
          <w:sz w:val="22"/>
          <w:szCs w:val="22"/>
        </w:rPr>
        <w:t xml:space="preserve">(7), 433-437.</w:t>
      </w:r>
    </w:p>
    <w:p>
      <w:pPr>
        <w:widowControl w:val="on"/>
        <w:pBdr/>
        <w:spacing w:before="220" w:after="220" w:line="240" w:lineRule="auto"/>
        <w:ind w:left="0" w:right="0"/>
        <w:jc w:val="left"/>
      </w:pPr>
      <w:r>
        <w:rPr>
          <w:rFonts w:ascii="Calibri" w:hAnsi="Calibri" w:eastAsia="Calibri" w:cs="Calibri"/>
          <w:color w:val="000000"/>
          <w:sz w:val="22"/>
          <w:szCs w:val="22"/>
        </w:rPr>
        <w:t xml:space="preserve">Mathys G &amp; Stahl J (1964) Ravageurs particulièrement dangereux subordonnés aux prescriptions phytosanitaires. </w:t>
      </w:r>
      <w:r>
        <w:rPr>
          <w:rFonts w:ascii="Calibri" w:hAnsi="Calibri" w:eastAsia="Calibri" w:cs="Calibri"/>
          <w:i/>
          <w:iCs/>
          <w:color w:val="000000"/>
          <w:sz w:val="22"/>
          <w:szCs w:val="22"/>
        </w:rPr>
        <w:t xml:space="preserve">Agriculture Romande, Series 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94-95.</w:t>
      </w:r>
    </w:p>
    <w:p>
      <w:pPr>
        <w:widowControl w:val="on"/>
        <w:pBdr/>
        <w:spacing w:before="220" w:after="220" w:line="240" w:lineRule="auto"/>
        <w:ind w:left="0" w:right="0"/>
        <w:jc w:val="left"/>
      </w:pPr>
      <w:r>
        <w:rPr>
          <w:rFonts w:ascii="Calibri" w:hAnsi="Calibri" w:eastAsia="Calibri" w:cs="Calibri"/>
          <w:color w:val="000000"/>
          <w:sz w:val="22"/>
          <w:szCs w:val="22"/>
        </w:rPr>
        <w:t xml:space="preserve">Normark BB, Morse GE, Krewinski A, Okusu A (2014) Armored scale insects (Hemiptera: Diaspididae) of San Lorenzo National Park, Panama, with descriptions of two new species.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107</w:t>
      </w:r>
      <w:r>
        <w:rPr>
          <w:rFonts w:ascii="Calibri" w:hAnsi="Calibri" w:eastAsia="Calibri" w:cs="Calibri"/>
          <w:color w:val="000000"/>
          <w:sz w:val="22"/>
          <w:szCs w:val="22"/>
        </w:rPr>
        <w:t xml:space="preserve">, 37-49.</w:t>
      </w:r>
    </w:p>
    <w:p>
      <w:pPr>
        <w:widowControl w:val="on"/>
        <w:pBdr/>
        <w:spacing w:before="220" w:after="220" w:line="240" w:lineRule="auto"/>
        <w:ind w:left="0" w:right="0"/>
        <w:jc w:val="left"/>
      </w:pPr>
      <w:r>
        <w:rPr>
          <w:rFonts w:ascii="Calibri" w:hAnsi="Calibri" w:eastAsia="Calibri" w:cs="Calibri"/>
          <w:color w:val="000000"/>
          <w:sz w:val="22"/>
          <w:szCs w:val="22"/>
        </w:rPr>
        <w:t xml:space="preserve">Rychla K (2014) Monitoring of San José Scale (</w:t>
      </w:r>
      <w:r>
        <w:rPr>
          <w:rFonts w:ascii="Calibri" w:hAnsi="Calibri" w:eastAsia="Calibri" w:cs="Calibri"/>
          <w:i/>
          <w:iCs/>
          <w:color w:val="000000"/>
          <w:sz w:val="22"/>
          <w:szCs w:val="22"/>
        </w:rPr>
        <w:t xml:space="preserve">Diaspidiotus perniciosus</w:t>
      </w:r>
      <w:r>
        <w:rPr>
          <w:rFonts w:ascii="Calibri" w:hAnsi="Calibri" w:eastAsia="Calibri" w:cs="Calibri"/>
          <w:color w:val="000000"/>
          <w:sz w:val="22"/>
          <w:szCs w:val="22"/>
        </w:rPr>
        <w:t xml:space="preserve">) occurrence and comparison of temperature models. </w:t>
      </w:r>
      <w:hyperlink r:id="rId23706a65868b1e58e" w:history="1">
        <w:r>
          <w:rPr>
            <w:rFonts w:ascii="Calibri" w:hAnsi="Calibri" w:eastAsia="Calibri" w:cs="Calibri"/>
            <w:color w:val="0000CC"/>
            <w:sz w:val="22"/>
            <w:szCs w:val="22"/>
            <w:u w:val="single"/>
          </w:rPr>
          <w:t xml:space="preserve">https://mnet.mendelu.cz/mendelnet2014/articles/50_rychla_1043.pdf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Stoetzel MB &amp; Davidson JA (1974) Sexual dimorphism in all stages of the Aspidiotini (Homoptera: Diaspididae).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(1), 138-140.</w:t>
      </w:r>
    </w:p>
    <w:p>
      <w:pPr>
        <w:widowControl w:val="on"/>
        <w:pBdr/>
        <w:spacing w:before="220" w:after="220" w:line="240" w:lineRule="auto"/>
        <w:ind w:left="0" w:right="0"/>
        <w:jc w:val="left"/>
      </w:pPr>
      <w:r>
        <w:rPr>
          <w:rFonts w:ascii="Calibri" w:hAnsi="Calibri" w:eastAsia="Calibri" w:cs="Calibri"/>
          <w:color w:val="000000"/>
          <w:sz w:val="22"/>
          <w:szCs w:val="22"/>
        </w:rPr>
        <w:t xml:space="preserve">Torres LM, Rodrigues AN &amp; Avilla J (2001) Chemical control of </w:t>
      </w:r>
      <w:r>
        <w:rPr>
          <w:rFonts w:ascii="Calibri" w:hAnsi="Calibri" w:eastAsia="Calibri" w:cs="Calibri"/>
          <w:i/>
          <w:iCs/>
          <w:color w:val="000000"/>
          <w:sz w:val="22"/>
          <w:szCs w:val="22"/>
        </w:rPr>
        <w:t xml:space="preserve">Quadraspidiotus perniciosus</w:t>
      </w:r>
      <w:r>
        <w:rPr>
          <w:rFonts w:ascii="Calibri" w:hAnsi="Calibri" w:eastAsia="Calibri" w:cs="Calibri"/>
          <w:color w:val="000000"/>
          <w:sz w:val="22"/>
          <w:szCs w:val="22"/>
        </w:rPr>
        <w:t xml:space="preserve"> (Comstock) (Homoptera: Diaspididae) in apples and side effects on phytoseiid mites (Acari: Phytoseiidae). </w:t>
      </w:r>
      <w:r>
        <w:rPr>
          <w:rFonts w:ascii="Calibri" w:hAnsi="Calibri" w:eastAsia="Calibri" w:cs="Calibri"/>
          <w:i/>
          <w:iCs/>
          <w:color w:val="000000"/>
          <w:sz w:val="22"/>
          <w:szCs w:val="22"/>
        </w:rPr>
        <w:t xml:space="preserve">Bulletin OILB/SROP</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(5), 207–212.</w:t>
      </w:r>
    </w:p>
    <w:p>
      <w:pPr>
        <w:widowControl w:val="on"/>
        <w:pBdr/>
        <w:spacing w:before="220" w:after="220" w:line="240" w:lineRule="auto"/>
        <w:ind w:left="0" w:right="0"/>
        <w:jc w:val="left"/>
      </w:pPr>
      <w:r>
        <w:rPr>
          <w:rFonts w:ascii="Calibri" w:hAnsi="Calibri" w:eastAsia="Calibri" w:cs="Calibri"/>
          <w:color w:val="000000"/>
          <w:sz w:val="22"/>
          <w:szCs w:val="22"/>
        </w:rPr>
        <w:t xml:space="preserve">Vasseur R &amp; Schvester D (1957) Biologie et écologie du Pou de San José (</w:t>
      </w:r>
      <w:r>
        <w:rPr>
          <w:rFonts w:ascii="Calibri" w:hAnsi="Calibri" w:eastAsia="Calibri" w:cs="Calibri"/>
          <w:i/>
          <w:iCs/>
          <w:color w:val="000000"/>
          <w:sz w:val="22"/>
          <w:szCs w:val="22"/>
        </w:rPr>
        <w:t xml:space="preserve">Quadraspidiotus perniciosus</w:t>
      </w:r>
      <w:r>
        <w:rPr>
          <w:rFonts w:ascii="Calibri" w:hAnsi="Calibri" w:eastAsia="Calibri" w:cs="Calibri"/>
          <w:color w:val="000000"/>
          <w:sz w:val="22"/>
          <w:szCs w:val="22"/>
        </w:rPr>
        <w:t xml:space="preserve"> Comst.) en France. </w:t>
      </w:r>
      <w:r>
        <w:rPr>
          <w:rFonts w:ascii="Calibri" w:hAnsi="Calibri" w:eastAsia="Calibri" w:cs="Calibri"/>
          <w:i/>
          <w:iCs/>
          <w:color w:val="000000"/>
          <w:sz w:val="22"/>
          <w:szCs w:val="22"/>
        </w:rPr>
        <w:t xml:space="preserve">Annales des Epiphyties (et de Phytogénétique)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5-66.</w:t>
      </w:r>
    </w:p>
    <w:p>
      <w:pPr>
        <w:widowControl w:val="on"/>
        <w:pBdr/>
        <w:spacing w:before="220" w:after="220" w:line="240" w:lineRule="auto"/>
        <w:ind w:left="0" w:right="0"/>
        <w:jc w:val="left"/>
      </w:pPr>
      <w:r>
        <w:rPr>
          <w:rFonts w:ascii="Calibri" w:hAnsi="Calibri" w:eastAsia="Calibri" w:cs="Calibri"/>
          <w:color w:val="000000"/>
          <w:sz w:val="22"/>
          <w:szCs w:val="22"/>
        </w:rPr>
        <w:t xml:space="preserve">Westigard PH &amp; Calvin LD (1977) Sampling San José scale in a pest management program on pear in southern Oregon.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70</w:t>
      </w:r>
      <w:r>
        <w:rPr>
          <w:rFonts w:ascii="Calibri" w:hAnsi="Calibri" w:eastAsia="Calibri" w:cs="Calibri"/>
          <w:color w:val="000000"/>
          <w:sz w:val="22"/>
          <w:szCs w:val="22"/>
        </w:rPr>
        <w:t xml:space="preserve">, 138-140.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2023 by Katarzyna Golan [University of Life Sciences in Lublin, Department of Plant Protection, Poland].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Comstockaspis perniciosa</w:t>
      </w:r>
      <w:r>
        <w:rPr>
          <w:rFonts w:ascii="Calibri" w:hAnsi="Calibri" w:eastAsia="Calibri" w:cs="Calibri"/>
          <w:color w:val="000000"/>
          <w:sz w:val="22"/>
          <w:szCs w:val="22"/>
        </w:rPr>
        <w:t xml:space="preserve">. EPPO datasheets on pests recommended for regulation. Available online. </w:t>
      </w:r>
      <w:hyperlink r:id="rId84466a65868b1e800"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in the EPPO Bulletin in 1981 and revised in the two editions of 'Quarantine Pests for Europe' in 1992 and 1997, as well as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(1981) Data sheets on quarantine organisms No. 117, </w:t>
      </w:r>
      <w:r>
        <w:rPr>
          <w:rFonts w:ascii="Calibri" w:hAnsi="Calibri" w:eastAsia="Calibri" w:cs="Calibri"/>
          <w:i/>
          <w:iCs/>
          <w:color w:val="000000"/>
          <w:sz w:val="22"/>
          <w:szCs w:val="22"/>
        </w:rPr>
        <w:t xml:space="preserve">Quadraspidiotus perniciosus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(1), 6 pp. </w:t>
      </w:r>
      <w:hyperlink r:id="rId39816a65868b1e981" w:history="1">
        <w:r>
          <w:rPr>
            <w:rFonts w:ascii="Calibri" w:hAnsi="Calibri" w:eastAsia="Calibri" w:cs="Calibri"/>
            <w:color w:val="0000CC"/>
            <w:sz w:val="22"/>
            <w:szCs w:val="22"/>
            <w:u w:val="single"/>
          </w:rPr>
          <w:t xml:space="preserve">https://onlinelibrary.wiley.com/doi/epdf/10.1111/j.1365-2338.1981.tb01749.x</w:t>
        </w:r>
      </w:hyperlink>
    </w:p>
    <w:p>
      <w:r>
        <w:drawing>
          <wp:inline distT="0" distB="0" distL="0" distR="0">
            <wp:extent cx="1800000" cy="604800"/>
            <wp:docPr id="13153008" name="name76746a65868b1ee25"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48256a65868b1ee23"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5447225">
    <w:multiLevelType w:val="hybridMultilevel"/>
    <w:lvl w:ilvl="0" w:tplc="64083589">
      <w:start w:val="1"/>
      <w:numFmt w:val="decimal"/>
      <w:lvlText w:val="%1."/>
      <w:lvlJc w:val="left"/>
      <w:pPr>
        <w:ind w:left="720" w:hanging="360"/>
      </w:pPr>
    </w:lvl>
    <w:lvl w:ilvl="1" w:tplc="64083589" w:tentative="1">
      <w:start w:val="1"/>
      <w:numFmt w:val="lowerLetter"/>
      <w:lvlText w:val="%2."/>
      <w:lvlJc w:val="left"/>
      <w:pPr>
        <w:ind w:left="1440" w:hanging="360"/>
      </w:pPr>
    </w:lvl>
    <w:lvl w:ilvl="2" w:tplc="64083589" w:tentative="1">
      <w:start w:val="1"/>
      <w:numFmt w:val="lowerRoman"/>
      <w:lvlText w:val="%3."/>
      <w:lvlJc w:val="right"/>
      <w:pPr>
        <w:ind w:left="2160" w:hanging="180"/>
      </w:pPr>
    </w:lvl>
    <w:lvl w:ilvl="3" w:tplc="64083589" w:tentative="1">
      <w:start w:val="1"/>
      <w:numFmt w:val="decimal"/>
      <w:lvlText w:val="%4."/>
      <w:lvlJc w:val="left"/>
      <w:pPr>
        <w:ind w:left="2880" w:hanging="360"/>
      </w:pPr>
    </w:lvl>
    <w:lvl w:ilvl="4" w:tplc="64083589" w:tentative="1">
      <w:start w:val="1"/>
      <w:numFmt w:val="lowerLetter"/>
      <w:lvlText w:val="%5."/>
      <w:lvlJc w:val="left"/>
      <w:pPr>
        <w:ind w:left="3600" w:hanging="360"/>
      </w:pPr>
    </w:lvl>
    <w:lvl w:ilvl="5" w:tplc="64083589" w:tentative="1">
      <w:start w:val="1"/>
      <w:numFmt w:val="lowerRoman"/>
      <w:lvlText w:val="%6."/>
      <w:lvlJc w:val="right"/>
      <w:pPr>
        <w:ind w:left="4320" w:hanging="180"/>
      </w:pPr>
    </w:lvl>
    <w:lvl w:ilvl="6" w:tplc="64083589" w:tentative="1">
      <w:start w:val="1"/>
      <w:numFmt w:val="decimal"/>
      <w:lvlText w:val="%7."/>
      <w:lvlJc w:val="left"/>
      <w:pPr>
        <w:ind w:left="5040" w:hanging="360"/>
      </w:pPr>
    </w:lvl>
    <w:lvl w:ilvl="7" w:tplc="64083589" w:tentative="1">
      <w:start w:val="1"/>
      <w:numFmt w:val="lowerLetter"/>
      <w:lvlText w:val="%8."/>
      <w:lvlJc w:val="left"/>
      <w:pPr>
        <w:ind w:left="5760" w:hanging="360"/>
      </w:pPr>
    </w:lvl>
    <w:lvl w:ilvl="8" w:tplc="64083589" w:tentative="1">
      <w:start w:val="1"/>
      <w:numFmt w:val="lowerRoman"/>
      <w:lvlText w:val="%9."/>
      <w:lvlJc w:val="right"/>
      <w:pPr>
        <w:ind w:left="6480" w:hanging="180"/>
      </w:pPr>
    </w:lvl>
  </w:abstractNum>
  <w:abstractNum w:abstractNumId="15447224">
    <w:multiLevelType w:val="hybridMultilevel"/>
    <w:lvl w:ilvl="0" w:tplc="2012850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5447224">
    <w:abstractNumId w:val="15447224"/>
  </w:num>
  <w:num w:numId="15447225">
    <w:abstractNumId w:val="15447225"/>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37221920" Type="http://schemas.microsoft.com/office/2011/relationships/commentsExtended" Target="commentsExtended.xml"/><Relationship Id="rId957773866" Type="http://schemas.microsoft.com/office/2011/relationships/people" Target="people.xml"/><Relationship Id="rId63146a65868b1a259" Type="http://schemas.openxmlformats.org/officeDocument/2006/relationships/hyperlink" Target="https://gd.eppo.int/taxon/QUADPE/" TargetMode="External"/><Relationship Id="rId54846a65868b1a2c7" Type="http://schemas.openxmlformats.org/officeDocument/2006/relationships/hyperlink" Target="https://gd.eppo.int/taxon/QUADPE/categorization" TargetMode="External"/><Relationship Id="rId30216a65868b1ac3d" Type="http://schemas.openxmlformats.org/officeDocument/2006/relationships/hyperlink" Target="https://gd.eppo.int/taxon/QUADPE/photos" TargetMode="External"/><Relationship Id="rId79406a65868b1e24f" Type="http://schemas.openxmlformats.org/officeDocument/2006/relationships/hyperlink" Target="https://doi.org/10.5604/01.3001.0014.0288" TargetMode="External"/><Relationship Id="rId93536a65868b1e2e3" Type="http://schemas.openxmlformats.org/officeDocument/2006/relationships/hyperlink" Target="https://doi.org/10.3390/agriculture13010131" TargetMode="External"/><Relationship Id="rId23706a65868b1e58e" Type="http://schemas.openxmlformats.org/officeDocument/2006/relationships/hyperlink" Target="https://mnet.mendelu.cz/mendelnet2014/articles/50_rychla_1043.pdf" TargetMode="External"/><Relationship Id="rId84466a65868b1e800" Type="http://schemas.openxmlformats.org/officeDocument/2006/relationships/hyperlink" Target="https://gd.eppo.int" TargetMode="External"/><Relationship Id="rId39816a65868b1e981" Type="http://schemas.openxmlformats.org/officeDocument/2006/relationships/hyperlink" Target="https://onlinelibrary.wiley.com/doi/epdf/10.1111/j.1365-2338.1981.tb01749.x" TargetMode="External"/><Relationship Id="rId29776a65868b1aae3" Type="http://schemas.openxmlformats.org/officeDocument/2006/relationships/image" Target="media/imgrId29776a65868b1aae3.jpg"/><Relationship Id="rId32906a65868b1d44f" Type="http://schemas.openxmlformats.org/officeDocument/2006/relationships/image" Target="media/imgrId32906a65868b1d44f.jpg"/><Relationship Id="rId48256a65868b1ee23" Type="http://schemas.openxmlformats.org/officeDocument/2006/relationships/image" Target="media/imgrId48256a65868b1ee23.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