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Puccinia horiana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2024-04-08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Puccinia horiana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Hennings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Pucciniaceae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white rust of chrysanthemum</w:t>
            </w:r>
            <w:hyperlink r:id="rId168866985574b637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289366985574b63e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PUCCHN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6713189" name="name866966985574b6c3e" descr="1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7.jpg"/>
                          <pic:cNvPicPr/>
                        </pic:nvPicPr>
                        <pic:blipFill>
                          <a:blip r:embed="rId160366985574b6c3c" cstate="print"/>
                          <a:stretch>
                            <a:fillRect/>
                          </a:stretch>
                        </pic:blipFill>
                        <pic:spPr>
                          <a:xfrm>
                            <a:off x="0" y="0"/>
                            <a:ext cx="2160000" cy="1281600"/>
                          </a:xfrm>
                          <a:prstGeom prst="rect">
                            <a:avLst/>
                          </a:prstGeom>
                          <a:ln w="0">
                            <a:noFill/>
                          </a:ln>
                        </pic:spPr>
                      </pic:pic>
                    </a:graphicData>
                  </a:graphic>
                </wp:inline>
              </w:drawing>
            </w:r>
            <w:hyperlink r:id="rId730466985574b6d7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Hennings is an autoecious microcyclic rust fungus (Pucciniales) that causes chrysanthemum white rust.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a pathogen of several chrysanthemum and daisy species. Its most important host plants include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morifolium</w:t>
      </w:r>
      <w:r>
        <w:rPr>
          <w:rFonts w:ascii="Calibri" w:hAnsi="Calibri" w:eastAsia="Calibri" w:cs="Calibri"/>
          <w:color w:val="000000"/>
          <w:sz w:val="22"/>
          <w:szCs w:val="22"/>
        </w:rPr>
        <w:t xml:space="preserve"> (commonly known as florist's chrysanthemum), </w:t>
      </w:r>
      <w:r>
        <w:rPr>
          <w:rFonts w:ascii="Calibri" w:hAnsi="Calibri" w:eastAsia="Calibri" w:cs="Calibri"/>
          <w:i/>
          <w:iCs/>
          <w:color w:val="000000"/>
          <w:sz w:val="22"/>
          <w:szCs w:val="22"/>
        </w:rPr>
        <w:t xml:space="preserve">C.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nipponicum</w:t>
      </w:r>
      <w:r>
        <w:rPr>
          <w:rFonts w:ascii="Calibri" w:hAnsi="Calibri" w:eastAsia="Calibri" w:cs="Calibri"/>
          <w:color w:val="000000"/>
          <w:sz w:val="22"/>
          <w:szCs w:val="22"/>
        </w:rPr>
        <w:t xml:space="preserve"> (nippon daisy), and </w:t>
      </w:r>
      <w:r>
        <w:rPr>
          <w:rFonts w:ascii="Calibri" w:hAnsi="Calibri" w:eastAsia="Calibri" w:cs="Calibri"/>
          <w:i/>
          <w:iCs/>
          <w:color w:val="000000"/>
          <w:sz w:val="22"/>
          <w:szCs w:val="22"/>
        </w:rPr>
        <w:t xml:space="preserve">Ajania pacifica</w:t>
      </w:r>
      <w:r>
        <w:rPr>
          <w:rFonts w:ascii="Calibri" w:hAnsi="Calibri" w:eastAsia="Calibri" w:cs="Calibri"/>
          <w:color w:val="000000"/>
          <w:sz w:val="22"/>
          <w:szCs w:val="22"/>
        </w:rPr>
        <w:t xml:space="preserve"> (gold and silver chrysanthemum) (Water, 1981; Alaei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EFSA, 2013). However, it is predominantly known as a pathogen of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morifolium</w:t>
      </w:r>
      <w:r>
        <w:rPr>
          <w:rFonts w:ascii="Calibri" w:hAnsi="Calibri" w:eastAsia="Calibri" w:cs="Calibri"/>
          <w:color w:val="000000"/>
          <w:sz w:val="22"/>
          <w:szCs w:val="22"/>
        </w:rPr>
        <w:t xml:space="preserve">, due to the economic importance of this hybrid in the cut flower and potted plant industry. The host range of the pest is currently limited to 12 chrysanthemum and daisy species belonging to 5 genera in the plant family Asteraceae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Nipponanthemum, Arctanthemum, Leucanthemella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Ajania</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Ajania pacifica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Ajania shiwogiku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japonense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lavandulifolium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makinoi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zawadskii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Leucanthemella serotina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indigenous to Japan, where it was first noted in 1895 (Hiratsuka, 1957). It remained confined to Japan until 1963, from where it spread to China and South Africa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Since 1963,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has spread rapidly on infected shipments of cut flowers and has become established in the Russian Far East, Europe, Africa, Australia, Oceania, North and South America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r>
        <w:drawing>
          <wp:inline distT="0" distB="0" distL="0" distR="0">
            <wp:extent cx="6120000" cy="3067200"/>
            <wp:docPr id="77394604" name="name878466985574b7d4e" descr="PUCCH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CCHN_distribution_map.jpg"/>
                    <pic:cNvPicPr/>
                  </pic:nvPicPr>
                  <pic:blipFill>
                    <a:blip r:embed="rId597166985574b7d4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Bulgaria, Croatia, Czech Republic, Denmark, France (mainland), Germany, Greece (Kriti), Guernsey, Hungary, Italy (mainland, Sicilia), Latvia, Netherlands, Poland, Portugal (mainland, Madeira), Romania, Russia (Far East), Serbia, Slovakia, Slovenia, Sweden, Switzerland, Tunisia, Türkiye, Ukraine, United Kingdom (England, Northern Ireland,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Brunei Darussalam, China (Fujian, Guangdong, Jiangsu, Xianggang (Hong Kong)), India (Tamil Nadu), Japan (Hokkaido, Honshu, Kyushu, Shikoku), Korea Dem. People's Republic, Korea, Republic, Malaysia (Sabah, West),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(Pennsylvania)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(Sao Paulo), Chile, Colombia,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an autoecious rust (Pucciniales) that causes chrysanthemum white rust. The bicellular teliospores are normally formed on the lower side of the host’s leaves. These teliospores germinate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to form a promycelium produced in the pustules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Promycelia bear a mean of two infective propagules, unicellular basidiospores that are released and carried to new hosts by wind over a distance of up to 700 m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No other spores are known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High humidity and a film of moisture appear to be necessary for germination of both teliospores and basidiospores. Teliospores are capable of germination as soon as they are mature; germination and discharge of basidiospores occurs at temperature between 4 and 23°C and the optimal conditions for development of the pathogen are high relative humidity and cool temperatures (17–20°C) (Whipps, 1993;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Basidiospores can germinate over a wide range of temperature and at 17–24°C either surface of the leaf may be penetrated within 2 h. Thus, 5 h of wetness is sufficient for a new infection to become established (Firman and Martin, 1968). Abundant, hyaline, intercellular hyphae are produced with intracellular haustoria. Under high humidity and mild temperature, symptoms appear 7–10 days post infection as chlorotic spots that develop teliospores within a pustule on the abaxial leaf surface within 14–18 days post infection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but short periods of high temperatures (over 30°C) can apparently prolong the incubation period to 8 weeks (Whipps, 1993). Leaf wetness and a high relative humidity are essential for basidiospore formation, survival, and infection. Light does not affect germination of teliospores or basidiospores (Firman and Martin, 1968). Successful aerial transport needs to occur under conditions of high relative humidity, as basidiospores lose their ability to germinate after 5 min at relative humidity of 80% and after 1 h at relative humidity of 90% (Firman and Martin, 1968).</w:t>
      </w:r>
    </w:p>
    <w:p>
      <w:pPr>
        <w:widowControl w:val="on"/>
        <w:pBdr/>
        <w:spacing w:before="220" w:after="220" w:line="240" w:lineRule="auto"/>
        <w:ind w:left="0" w:right="0"/>
        <w:jc w:val="both"/>
      </w:pPr>
      <w:r>
        <w:rPr>
          <w:rFonts w:ascii="Calibri" w:hAnsi="Calibri" w:eastAsia="Calibri" w:cs="Calibri"/>
          <w:color w:val="000000"/>
          <w:sz w:val="22"/>
          <w:szCs w:val="22"/>
        </w:rPr>
        <w:t xml:space="preserve">To establish successful infection, pathogens should gain access to the cells of the host plant. Young leaves are more susceptible than mature leaves. Studies have shown that species in family Asteraceae differed in resistance to the white rust of chrysanthemum due to leaf traits, such as trichomes and cuticular wax layer, acting as a protective barrier against pathogen’s attacks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Some chrysanthemum cultivars appear to be more resistant than others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Thus, </w:t>
      </w:r>
      <w:r>
        <w:rPr>
          <w:rFonts w:ascii="Calibri" w:hAnsi="Calibri" w:eastAsia="Calibri" w:cs="Calibri"/>
          <w:i/>
          <w:iCs/>
          <w:color w:val="000000"/>
          <w:sz w:val="22"/>
          <w:szCs w:val="22"/>
        </w:rPr>
        <w:t xml:space="preserve">C.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yoshinaganthum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makinoi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wakasaense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nankingense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vestitum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lavandulifolium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crassum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Ajania tripinnatisecta</w:t>
      </w:r>
      <w:r>
        <w:rPr>
          <w:rFonts w:ascii="Calibri" w:hAnsi="Calibri" w:eastAsia="Calibri" w:cs="Calibri"/>
          <w:color w:val="000000"/>
          <w:sz w:val="22"/>
          <w:szCs w:val="22"/>
        </w:rPr>
        <w:t xml:space="preserve"> were shown to be immune, and strong resistance was demonstrated in </w:t>
      </w:r>
      <w:r>
        <w:rPr>
          <w:rFonts w:ascii="Calibri" w:hAnsi="Calibri" w:eastAsia="Calibri" w:cs="Calibri"/>
          <w:i/>
          <w:iCs/>
          <w:color w:val="000000"/>
          <w:sz w:val="22"/>
          <w:szCs w:val="22"/>
        </w:rPr>
        <w:t xml:space="preserve">C. japonense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shimotomaii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przewalskii</w:t>
      </w:r>
      <w:r>
        <w:rPr>
          <w:rFonts w:ascii="Calibri" w:hAnsi="Calibri" w:eastAsia="Calibri" w:cs="Calibri"/>
          <w:color w:val="000000"/>
          <w:sz w:val="22"/>
          <w:szCs w:val="22"/>
        </w:rPr>
        <w:t xml:space="preserve"> as well as in White Dolly, White Andaman, IIHR6-32, IIHR9-3, IIHR6-41, and other cultivars of </w:t>
      </w:r>
      <w:r>
        <w:rPr>
          <w:rFonts w:ascii="Calibri" w:hAnsi="Calibri" w:eastAsia="Calibri" w:cs="Calibri"/>
          <w:i/>
          <w:iCs/>
          <w:color w:val="000000"/>
          <w:sz w:val="22"/>
          <w:szCs w:val="22"/>
        </w:rPr>
        <w:t xml:space="preserve">C.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morifolium</w:t>
      </w:r>
      <w:r>
        <w:rPr>
          <w:rFonts w:ascii="Calibri" w:hAnsi="Calibri" w:eastAsia="Calibri" w:cs="Calibri"/>
          <w:color w:val="000000"/>
          <w:sz w:val="22"/>
          <w:szCs w:val="22"/>
        </w:rPr>
        <w:t xml:space="preserve">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Because wide range of crosses are relatively easy to achieve in the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complex, these immune and highly resistant accessions could be promising for white rust resistance breeding.</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Water (1981) and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affects mainly leaves, but in the case of severe infestation, spread is seen onto the stems, bracts, and the flowers. Initial symptoms appear as numerous, pale green to yellow spots, up to 5 mm in diameter which develop on the upper surface of the infected leaves (Water, 1981; Mondal and Singh, 2019). Pinkish white coloured telia pustules develop mostly on the lower surface of the leaves and rarely on the upper surface (EPPO, 2020). Under a stereo microscope, telia pustules are tan coloured, covered with slimy layer at an early stage and becoming waxy at a later stage (Water, 1981; EFSA, 2013; Mondal and Singh, 2019). As the spots on the upper surface become sunken, so these pustules become quite prominent and turn whitish when basidiospores are produced. In some cases, a secondary ring of small pustules is formed around the initial pustules (EFSA, 2013). Heavily infected leaves wilt, curl and eventually become necrotic, but they remain attached to the plant and gradually dry up completely (Water, 1981; EFSA, 2013; Mondal and Singh, 2019).</w:t>
      </w:r>
    </w:p>
    <w:p>
      <w:pPr>
        <w:widowControl w:val="on"/>
        <w:pBdr/>
        <w:spacing w:before="220" w:after="220" w:line="240" w:lineRule="auto"/>
        <w:ind w:left="0" w:right="0"/>
        <w:jc w:val="both"/>
      </w:pPr>
      <w:r>
        <w:rPr>
          <w:rFonts w:ascii="Calibri" w:hAnsi="Calibri" w:eastAsia="Calibri" w:cs="Calibri"/>
          <w:color w:val="000000"/>
          <w:sz w:val="22"/>
          <w:szCs w:val="22"/>
        </w:rPr>
        <w:t xml:space="preserve">On bracts and stems, sori (complex aggregations of sporangia) sometimes develop when crops are heavily affected, while on flowers infection has been recorded as necrotic flecking with occasional pustules (Dickens, 1970).</w:t>
      </w:r>
    </w:p>
    <w:p>
      <w:pPr>
        <w:widowControl w:val="on"/>
        <w:pBdr/>
        <w:spacing w:before="220" w:after="220" w:line="240" w:lineRule="auto"/>
        <w:ind w:left="0" w:right="0"/>
        <w:jc w:val="both"/>
      </w:pPr>
      <w:r>
        <w:rPr>
          <w:rFonts w:ascii="Calibri" w:hAnsi="Calibri" w:eastAsia="Calibri" w:cs="Calibri"/>
          <w:color w:val="000000"/>
          <w:sz w:val="22"/>
          <w:szCs w:val="22"/>
        </w:rPr>
        <w:t xml:space="preserve">Teliospores germinate only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(on plants, but not on agar medium).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Pustules are 2–5 mm, tan to pink, later white, usually on the lower side of the leaves (hypophyllous), rarely on the upper side of the leaves (epiphyllous), stems, bracts or flowers. The teliospores are oblong to oblong-clavate, slightly constricted at the middle, thin walled, bicelled, pedicellate, pale yellow, 32–45 x 12–18 µm, 1–2 µm thick at sides, hyaline (Baker, 1967;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Mondal and Singh, 2019). The promycelia are tubular, mostly segmented, short, stout, 33 × 8 µm, 1-to-3-celled, the apical cell often with a lobed appearance, and sometimes branched. Usually two basidiospores are formed per promycelium and basidiospores are hyaline, slightly curved, broadly ellipsoid to fusiform, 7–14 × 5–9 µm, with apical scar (Baker, 1967; Kapooria and Zadoks, 1973;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EFSA, 2013; Mondal and Singh,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details, see Baker (1967) and Kapooria and Zadoks (1973).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can be detected following the EPPO diagnostic protocol PM 7/027 (2):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(EPPO, 2020). Detection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can be based on the presence of clearly visible symptoms on the leaves (and occasionally also on bracts, stems and flowers) and on morphological features of the teliospores following the EPPO diagnostic protocol (EPPO, 2020). If only chlorotic spots are visible, then detection is possible via incubation or real-time polymerase chain reaction (PCR). For asymptomatic plants, detection can also be done with real-time PCR. Numerous other rust fungi have been reported on chrysanthemums, but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easily distinguished from other species by its smooth, hyaline teliospores that always germinate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on the living leaf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and verification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based on microscopic verification of the morphological characteristics of the teliospores (EPPO, 1994, 2020) and/or on specific conventional or real-time PCR tests after DNA extraction of excised pustule material (Alaei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2020). The PCR tests are based on the ribosomal DNA internal transcribed spacer regions and allow detection of all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strains tested so far. The real-time PCR assays are very sensitive and the lowest proportion of infected plant material that can be detected is 0.001 % (Alaei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may be spread on infected cuttings and plants, including cut flowers, of glasshouse chrysanthemums. Host plants are widespread in the EPPO region and are susceptible to the pest during their whole growing cycle. Climatic conditions are suitable for infection and sporulation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over a wide area of the EPPO region. The basidiospores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are released and carried to new hosts by wind over a distance of up to 700 m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After establishment, aerial spread is assumed to be the cause of local infection. Owing to the absence of physical barriers, the probability of aerial spread is higher when chrysanthemum and daisy species are grown as multiflora plants (in a specific manner of propagation when several or many plants are grown from a single root). This is shown by a higher level of disease incidence in outdoor-grown crops (EFSA, 2013).</w:t>
      </w:r>
    </w:p>
    <w:p>
      <w:pPr>
        <w:widowControl w:val="on"/>
        <w:pBdr/>
        <w:spacing w:before="220" w:after="220" w:line="240" w:lineRule="auto"/>
        <w:ind w:left="0" w:right="0"/>
        <w:jc w:val="both"/>
      </w:pPr>
      <w:r>
        <w:rPr>
          <w:rFonts w:ascii="Calibri" w:hAnsi="Calibri" w:eastAsia="Calibri" w:cs="Calibri"/>
          <w:color w:val="000000"/>
          <w:sz w:val="22"/>
          <w:szCs w:val="22"/>
        </w:rPr>
        <w:t xml:space="preserve">No vectors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are known (EFSA,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a serious pest in nurseries, frequently causing complete loss of glasshouse chrysanthemum crops. The pest can infect 12 chrysanthemum and daisy species, but it is particularly known as a pathogen of the commercially important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morifolium</w:t>
      </w:r>
      <w:r>
        <w:rPr>
          <w:rFonts w:ascii="Calibri" w:hAnsi="Calibri" w:eastAsia="Calibri" w:cs="Calibri"/>
          <w:color w:val="000000"/>
          <w:sz w:val="22"/>
          <w:szCs w:val="22"/>
        </w:rPr>
        <w:t xml:space="preserve"> which is grown for the production of cut flowers, potted plants, and garden chrysanthemums. The turnover of chrysanthemum on the Dutch flower auctions was 332 million EUR for cut flowers and 30 million EUR for potted plants in 2008 alone, making it one of the most important floral species (Alaei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 important outbreak of white rust disease caused by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severely damaged the chrysanthemum crops in 12 different glasshouses in Türkiye in 2007, resulting in yield losses of up to 80% (Munilakshmi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India is the second largest world producer of flowers (after China) and this fungus was considered to be the most destructive and devastating pathogen, causing severe yield and quality loss in Himachal Pradesh state of the country (Mondal and Singh, 2019).</w:t>
      </w:r>
    </w:p>
    <w:p>
      <w:pPr>
        <w:widowControl w:val="on"/>
        <w:pBdr/>
        <w:spacing w:before="220" w:after="220" w:line="240" w:lineRule="auto"/>
        <w:ind w:left="0" w:right="0"/>
        <w:jc w:val="both"/>
      </w:pPr>
      <w:r>
        <w:rPr>
          <w:rFonts w:ascii="Calibri" w:hAnsi="Calibri" w:eastAsia="Calibri" w:cs="Calibri"/>
          <w:color w:val="000000"/>
          <w:sz w:val="22"/>
          <w:szCs w:val="22"/>
        </w:rPr>
        <w:t xml:space="preserve">Severe outbreaks also occurred in France, England, and Denmark and the pest has since spread rapidly throughout the countries causing extensive losses. At the present time, white rust is established in most western European countries in most chrysanthemum-growing areas (Whipps, 1993; Alaei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2013), where it can cause significant economic loss in the cut flower industry if not controlled properly.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Intensity of disease symptoms depends on susceptibility of cultivars, but temperature and air humidity are also very important factors (Firman and Martin, 1968). Overhead irrigation should be avoided because high humidity stimulates disease (EPPO, 1994). Among the available strategies to control this rust disease, fungicide treatments are a basic method, however, breeding for host-plant resistance is also an effective strategy (Sriram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Munilakshmi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Studies on the control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found high effectiveness of some fungicides (Wojdyła, 2004; Sriram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Munilakshmi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however, considering the rise of resistance to fungicides, there is a necessity of search for alternative management solutions such as biological control (EFSA, 2013; Munilakshmi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w:t>
      </w:r>
      <w:r>
        <w:rPr>
          <w:rFonts w:ascii="Calibri" w:hAnsi="Calibri" w:eastAsia="Calibri" w:cs="Calibri"/>
          <w:i/>
          <w:iCs/>
          <w:color w:val="000000"/>
          <w:sz w:val="22"/>
          <w:szCs w:val="22"/>
        </w:rPr>
        <w:t xml:space="preserve">Verticillium lecanii</w:t>
      </w:r>
      <w:r>
        <w:rPr>
          <w:rFonts w:ascii="Calibri" w:hAnsi="Calibri" w:eastAsia="Calibri" w:cs="Calibri"/>
          <w:color w:val="000000"/>
          <w:sz w:val="22"/>
          <w:szCs w:val="22"/>
        </w:rPr>
        <w:t xml:space="preserve"> (Ascomycota: Cordycipitaceae), a hyperparasite of rust fungi, was assessed as a potentially good agent for an integrated pest control program on all-year-round chrysanthemums, but its application is technologically complicated (Whipps, 1993). </w:t>
      </w:r>
      <w:r>
        <w:rPr>
          <w:rFonts w:ascii="Calibri" w:hAnsi="Calibri" w:eastAsia="Calibri" w:cs="Calibri"/>
          <w:i/>
          <w:iCs/>
          <w:color w:val="000000"/>
          <w:sz w:val="22"/>
          <w:szCs w:val="22"/>
        </w:rPr>
        <w:t xml:space="preserve">Cladosporium cladosporioides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pseudocladosporioides</w:t>
      </w:r>
      <w:r>
        <w:rPr>
          <w:rFonts w:ascii="Calibri" w:hAnsi="Calibri" w:eastAsia="Calibri" w:cs="Calibri"/>
          <w:color w:val="000000"/>
          <w:sz w:val="22"/>
          <w:szCs w:val="22"/>
        </w:rPr>
        <w:t xml:space="preserve"> (Ascomycota: Cladosporiaceae) were also assessed due to their antagonistic and hyperparasitic effects against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and the results suggested that these fungi have a high potential as biological control agents of chrysanthemum white rust (Torre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Some chrysanthemum cultivars, e.g. national varieties of chrysanthemum (Kusumaswasti, Marimar, and Yulimar) from Central Java and certain Chinese cultivars of </w:t>
      </w:r>
      <w:r>
        <w:rPr>
          <w:rFonts w:ascii="Calibri" w:hAnsi="Calibri" w:eastAsia="Calibri" w:cs="Calibri"/>
          <w:i/>
          <w:iCs/>
          <w:color w:val="000000"/>
          <w:sz w:val="22"/>
          <w:szCs w:val="22"/>
        </w:rPr>
        <w:t xml:space="preserve">C. indicum, C. yoshinaganthum, C. makinoi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wakasaense, C. nankingense, C. vestitum, C. lavandulifolium, C. crassum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Ajania tripinnatisecta</w:t>
      </w:r>
      <w:r>
        <w:rPr>
          <w:rFonts w:ascii="Calibri" w:hAnsi="Calibri" w:eastAsia="Calibri" w:cs="Calibri"/>
          <w:color w:val="000000"/>
          <w:sz w:val="22"/>
          <w:szCs w:val="22"/>
        </w:rPr>
        <w:t xml:space="preserve"> are resistant or less susceptible to the pest as shown by practical observation and resistance screening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Bety and Pangestuti, 2021) and at least seven genes are considered to be linked to resistance against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Resistance to white rust in chrysanthemum cultivars is primarily governed by monogenic control, with several species exhibiting resistance. Consequently, it is imperative to adopt sustainable strategies that leverage genetically determined resistance to identify potential sources of resistance. Wide range of crosses emerges as a promising approach for breeding white rust-resistant varieties, capitalizing on the genetic diversity available within different chrysanthemum species and cultivars.</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details, see also Grouet (1984), Wojdyła (2004), Sriram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Munilakshmi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included in the A1 List of quarantine pests of Comunidad Andina (CAN), the A2 List of pests recommended for regulation which are present in the EPPO region (EPPO, 2023), the A2 List of Eurasian Economic Union (EAEU, 2016), as well as quarantine lists of several individual countries of the world.</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main European chrysanthemums production areas, the incidence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infections in cut flowers and potted plants is considered low (EFSA, 2013). The incidence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infections in multiflora plants, which are usually grown outside, is considered higher owing to the exposure to outdoor weather conditions, but the incidence is still limited and with only local effects (EFSA, 2013).</w:t>
      </w:r>
    </w:p>
    <w:p>
      <w:pPr>
        <w:widowControl w:val="on"/>
        <w:pBdr/>
        <w:spacing w:before="220" w:after="220" w:line="240" w:lineRule="auto"/>
        <w:ind w:left="0" w:right="0"/>
        <w:jc w:val="both"/>
      </w:pPr>
      <w:r>
        <w:rPr>
          <w:rFonts w:ascii="Calibri" w:hAnsi="Calibri" w:eastAsia="Calibri" w:cs="Calibri"/>
          <w:color w:val="000000"/>
          <w:sz w:val="22"/>
          <w:szCs w:val="22"/>
        </w:rPr>
        <w:t xml:space="preserve">Plant material of chrysanthemum cultivars for propagation purposes originating from infested areas may carry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as teliospores in pustules or as mycelium, both of which are capable of surviving transport and storage conditions and pest management procedures. Moreover, in the main production areas in the EU it is considered that inoculum of the pathogen is generally present (EFSA, 2013) so the intensification of chrysanthemum production with high plant density in humid glasshouses provides an ideal environment for the fungus to develop. In countries in which the pathogen is not established and where no preventive action is taken, the damage could be particularly devastating if the pathogen is unexpectedly introduced and spread with plants for planting (EFSA,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When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not present in a country and where it is regulated as a quarantine pest, appropriate measures may consist of import of plants or cuttings which have come from premises which have been officially inspected at least monthly, during the 3 months prior to dispatch and on which no symptoms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have been known to have observed during that period, and in the immediate vicinity of which no symptoms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have been known to have occurred during the 3 months prior to export, or when plants or cuttings have undergone appropriate treatment against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(as it was suggested in the past by the EU Council Directive 2000/29/EC; EU, 2000).</w:t>
      </w:r>
    </w:p>
    <w:p>
      <w:pPr>
        <w:widowControl w:val="on"/>
        <w:pBdr/>
        <w:spacing w:before="220" w:after="220" w:line="240" w:lineRule="auto"/>
        <w:ind w:left="0" w:right="0"/>
        <w:jc w:val="both"/>
      </w:pPr>
      <w:r>
        <w:rPr>
          <w:rFonts w:ascii="Calibri" w:hAnsi="Calibri" w:eastAsia="Calibri" w:cs="Calibri"/>
          <w:color w:val="000000"/>
          <w:sz w:val="22"/>
          <w:szCs w:val="22"/>
        </w:rPr>
        <w:t xml:space="preserve">When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already present in a country and treated as a regulated non-quarantine pest (RNQP), then the following phytosanitary measures can be recommended: (a) plants intended for planting have been derived from mother plants which have been inspected at least monthly during the previous 3 months and no symptoms seen at the site of production; or (b) mother plants showing symptoms have been removed and destroyed, along with plants within a 1 m radius, and an appropriate physical or chemical treatment has been applied to the plants which have been inspected before dispatch and found free from symptoms (Picard, 2018; RNQP, 2018; EU,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Alaei H, De Backer M, Nuytinck J, Maes M, Höfte M &amp; Heungens K (2009) Phylogenetic relationships of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and other rust pathogens of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morifolium</w:t>
      </w:r>
      <w:r>
        <w:rPr>
          <w:rFonts w:ascii="Calibri" w:hAnsi="Calibri" w:eastAsia="Calibri" w:cs="Calibri"/>
          <w:color w:val="000000"/>
          <w:sz w:val="22"/>
          <w:szCs w:val="22"/>
        </w:rPr>
        <w:t xml:space="preserve"> based on rDNA ITS sequence analysis.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(6–7), 668–683. </w:t>
      </w:r>
      <w:hyperlink r:id="rId894766985574b8fba" w:history="1">
        <w:r>
          <w:rPr>
            <w:rFonts w:ascii="Calibri" w:hAnsi="Calibri" w:eastAsia="Calibri" w:cs="Calibri"/>
            <w:color w:val="0000CC"/>
            <w:sz w:val="22"/>
            <w:szCs w:val="22"/>
            <w:u w:val="single"/>
          </w:rPr>
          <w:t xml:space="preserve">https://doi.org/10.1016/j.mycres.2009.02.003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Baker JJ (1967) Chrysanthemum white rust in England and Wales 1963–66.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162–166. </w:t>
      </w:r>
      <w:hyperlink r:id="rId335166985574b9023" w:history="1">
        <w:r>
          <w:rPr>
            <w:rFonts w:ascii="Calibri" w:hAnsi="Calibri" w:eastAsia="Calibri" w:cs="Calibri"/>
            <w:color w:val="0000CC"/>
            <w:sz w:val="22"/>
            <w:szCs w:val="22"/>
            <w:u w:val="single"/>
          </w:rPr>
          <w:t xml:space="preserve">https://doi.org/10.1111/j.1365-3059.1967.tb00398.x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Bety YA &amp; Pangestuti R (2021) Resistance varieties and pattern of disease progress of rust (</w:t>
      </w:r>
      <w:r>
        <w:rPr>
          <w:rFonts w:ascii="Calibri" w:hAnsi="Calibri" w:eastAsia="Calibri" w:cs="Calibri"/>
          <w:i/>
          <w:iCs/>
          <w:color w:val="000000"/>
          <w:sz w:val="22"/>
          <w:szCs w:val="22"/>
        </w:rPr>
        <w:t xml:space="preserve">Pucciana horiana</w:t>
      </w:r>
      <w:r>
        <w:rPr>
          <w:rFonts w:ascii="Calibri" w:hAnsi="Calibri" w:eastAsia="Calibri" w:cs="Calibri"/>
          <w:color w:val="000000"/>
          <w:sz w:val="22"/>
          <w:szCs w:val="22"/>
        </w:rPr>
        <w:t xml:space="preserve"> P. Henn) in Chrysanthemum. </w:t>
      </w:r>
      <w:r>
        <w:rPr>
          <w:rFonts w:ascii="Calibri" w:hAnsi="Calibri" w:eastAsia="Calibri" w:cs="Calibri"/>
          <w:i/>
          <w:iCs/>
          <w:color w:val="000000"/>
          <w:sz w:val="22"/>
          <w:szCs w:val="22"/>
        </w:rPr>
        <w:t xml:space="preserve">IOP Conf. Series: Earth and Environmental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883</w:t>
      </w:r>
      <w:r>
        <w:rPr>
          <w:rFonts w:ascii="Calibri" w:hAnsi="Calibri" w:eastAsia="Calibri" w:cs="Calibri"/>
          <w:color w:val="000000"/>
          <w:sz w:val="22"/>
          <w:szCs w:val="22"/>
        </w:rPr>
        <w:t xml:space="preserve"> (1), 012023. </w:t>
      </w:r>
      <w:hyperlink r:id="rId165066985574b90b4" w:history="1">
        <w:r>
          <w:rPr>
            <w:rFonts w:ascii="Calibri" w:hAnsi="Calibri" w:eastAsia="Calibri" w:cs="Calibri"/>
            <w:color w:val="0000CC"/>
            <w:sz w:val="22"/>
            <w:szCs w:val="22"/>
            <w:u w:val="single"/>
          </w:rPr>
          <w:t xml:space="preserve">https://doi.org/10.1088/1755-1315/883/1/012023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Backer M, Alaei H, Van Bockstaele E, Roldan-Ruiz I, van der Lee T, Maes M &amp; Heungens K (2011) Identification and characterization of pathotypes in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a rust pathogen of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325–338. </w:t>
      </w:r>
      <w:hyperlink r:id="rId436766985574b9174" w:history="1">
        <w:r>
          <w:rPr>
            <w:rFonts w:ascii="Calibri" w:hAnsi="Calibri" w:eastAsia="Calibri" w:cs="Calibri"/>
            <w:color w:val="0000CC"/>
            <w:sz w:val="22"/>
            <w:szCs w:val="22"/>
            <w:u w:val="single"/>
          </w:rPr>
          <w:t xml:space="preserve">https://doi.org/10.1007/s10658-011-9756-8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EAEU (2016) Common List of Quarantine Pests of the Eurasian Economic Union approved by Decision No. 158 of the Eurasian Economic Commission of November 30, 2016. Available at: </w:t>
      </w:r>
      <w:hyperlink r:id="rId890166985574b91a8" w:history="1">
        <w:r>
          <w:rPr>
            <w:rFonts w:ascii="Calibri" w:hAnsi="Calibri" w:eastAsia="Calibri" w:cs="Calibri"/>
            <w:color w:val="0000CC"/>
            <w:sz w:val="22"/>
            <w:szCs w:val="22"/>
            <w:u w:val="single"/>
          </w:rPr>
          <w:t xml:space="preserve">https://www.consultant.ru/document/cons_doc_LAW_213644/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(2013) Scientific Opinion on the risk to plant health posed by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Hennings for the EU territory, with the identification and evaluation of risk reduction options.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3069. </w:t>
      </w:r>
      <w:hyperlink r:id="rId638066985574b922a" w:history="1">
        <w:r>
          <w:rPr>
            <w:rFonts w:ascii="Calibri" w:hAnsi="Calibri" w:eastAsia="Calibri" w:cs="Calibri"/>
            <w:color w:val="0000CC"/>
            <w:sz w:val="22"/>
            <w:szCs w:val="22"/>
            <w:u w:val="single"/>
          </w:rPr>
          <w:t xml:space="preserve">https://doi.org/10.2903/j.efsa.2013.3069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(1998) EPPO Standard PP 2/13(1) Guideline on good plant protection practice: Ornamental plants under protected cultivation.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363–385. </w:t>
      </w:r>
      <w:hyperlink r:id="rId811366985574b92a6" w:history="1">
        <w:r>
          <w:rPr>
            <w:rFonts w:ascii="Calibri" w:hAnsi="Calibri" w:eastAsia="Calibri" w:cs="Calibri"/>
            <w:color w:val="0000CC"/>
            <w:sz w:val="22"/>
            <w:szCs w:val="22"/>
            <w:u w:val="single"/>
          </w:rPr>
          <w:t xml:space="preserve">https://onlinelibrary.wiley.com/doi/epdf/10.1111/j.1365-2338.1998.tb00743.x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(2002) EPPO Standard PM 4/6(2) Certification scheme for chrysanthemum.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105–114. </w:t>
      </w:r>
      <w:hyperlink r:id="rId277966985574b9319" w:history="1">
        <w:r>
          <w:rPr>
            <w:rFonts w:ascii="Calibri" w:hAnsi="Calibri" w:eastAsia="Calibri" w:cs="Calibri"/>
            <w:color w:val="0000CC"/>
            <w:sz w:val="22"/>
            <w:szCs w:val="22"/>
            <w:u w:val="single"/>
          </w:rPr>
          <w:t xml:space="preserve">https://doi.org/10.1046/j.1365-2338.2002.d01-223.x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7/027 (2)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207–216. </w:t>
      </w:r>
      <w:hyperlink r:id="rId770866985574b93a7" w:history="1">
        <w:r>
          <w:rPr>
            <w:rFonts w:ascii="Calibri" w:hAnsi="Calibri" w:eastAsia="Calibri" w:cs="Calibri"/>
            <w:color w:val="0000CC"/>
            <w:sz w:val="22"/>
            <w:szCs w:val="22"/>
            <w:u w:val="single"/>
          </w:rPr>
          <w:t xml:space="preserve">https://doi.org/10.1111/epp.12658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Standard PM 1/2(32) A1 and A2 Lists of pests recommended for regulation as quarantine pests. </w:t>
      </w:r>
      <w:hyperlink r:id="rId600666985574b93da" w:history="1">
        <w:r>
          <w:rPr>
            <w:rFonts w:ascii="Calibri" w:hAnsi="Calibri" w:eastAsia="Calibri" w:cs="Calibri"/>
            <w:color w:val="0000CC"/>
            <w:sz w:val="22"/>
            <w:szCs w:val="22"/>
            <w:u w:val="single"/>
          </w:rPr>
          <w:t xml:space="preserve">https://gd.eppo.int/taxon/PUCCHN/documents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(2000) Council Directive 2000/29/EC of 8 May 2000 on protective measures against the introduction into the Community of organisms harmful to plants or plant products and against their spread within the Community.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169 (10.07.2000), p. 1–112. Available at: </w:t>
      </w:r>
      <w:hyperlink r:id="rId892466985574b942e" w:history="1">
        <w:r>
          <w:rPr>
            <w:rFonts w:ascii="Calibri" w:hAnsi="Calibri" w:eastAsia="Calibri" w:cs="Calibri"/>
            <w:color w:val="0000CC"/>
            <w:sz w:val="22"/>
            <w:szCs w:val="22"/>
            <w:u w:val="single"/>
          </w:rPr>
          <w:t xml:space="preserve">https://eur-lex.europa.eu/legal-content/EN/TXT/?uri=CELEX%3A32000L0029&amp;qid=1708597536729</w:t>
        </w:r>
      </w:hyperlink>
      <w:r>
        <w:rPr>
          <w:rFonts w:ascii="Calibri" w:hAnsi="Calibri" w:eastAsia="Calibri" w:cs="Calibri"/>
          <w:color w:val="000000"/>
          <w:sz w:val="22"/>
          <w:szCs w:val="22"/>
        </w:rPr>
        <w:t xml:space="preserve"> (Note: no longer in force).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319 (10.12.2019), 1–279. Available at: </w:t>
      </w:r>
      <w:hyperlink r:id="rId819766985574b9490" w:history="1">
        <w:r>
          <w:rPr>
            <w:rFonts w:ascii="Calibri" w:hAnsi="Calibri" w:eastAsia="Calibri" w:cs="Calibri"/>
            <w:color w:val="0000CC"/>
            <w:sz w:val="22"/>
            <w:szCs w:val="22"/>
            <w:u w:val="single"/>
          </w:rPr>
          <w:t xml:space="preserve">https://eur-lex.europa.eu/eli/reg_impl/2019/2072/oj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Hiratsuka N (1957) Three species of chrysanthemum rust in Japan and its neighboring districts. </w:t>
      </w:r>
      <w:r>
        <w:rPr>
          <w:rFonts w:ascii="Calibri" w:hAnsi="Calibri" w:eastAsia="Calibri" w:cs="Calibri"/>
          <w:i/>
          <w:iCs/>
          <w:color w:val="000000"/>
          <w:sz w:val="22"/>
          <w:szCs w:val="22"/>
        </w:rPr>
        <w:t xml:space="preserve">Sydowia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 34–44.</w:t>
      </w:r>
    </w:p>
    <w:p>
      <w:pPr>
        <w:widowControl w:val="on"/>
        <w:pBdr/>
        <w:spacing w:before="220" w:after="220" w:line="240" w:lineRule="auto"/>
        <w:ind w:left="0" w:right="0"/>
        <w:jc w:val="left"/>
      </w:pPr>
      <w:r>
        <w:rPr>
          <w:rFonts w:ascii="Calibri" w:hAnsi="Calibri" w:eastAsia="Calibri" w:cs="Calibri"/>
          <w:color w:val="000000"/>
          <w:sz w:val="22"/>
          <w:szCs w:val="22"/>
        </w:rPr>
        <w:t xml:space="preserve">Grouet D (1984) Mise au point sur les possibilités actuelles de lutte contre la rouille blanche du chrysanthème. </w:t>
      </w:r>
      <w:r>
        <w:rPr>
          <w:rFonts w:ascii="Calibri" w:hAnsi="Calibri" w:eastAsia="Calibri" w:cs="Calibri"/>
          <w:i/>
          <w:iCs/>
          <w:color w:val="000000"/>
          <w:sz w:val="22"/>
          <w:szCs w:val="22"/>
        </w:rPr>
        <w:t xml:space="preserve">Revue Horticole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251</w:t>
      </w:r>
      <w:r>
        <w:rPr>
          <w:rFonts w:ascii="Calibri" w:hAnsi="Calibri" w:eastAsia="Calibri" w:cs="Calibri"/>
          <w:color w:val="000000"/>
          <w:sz w:val="22"/>
          <w:szCs w:val="22"/>
        </w:rPr>
        <w:t xml:space="preserve">, 33–36.</w:t>
      </w:r>
    </w:p>
    <w:p>
      <w:pPr>
        <w:widowControl w:val="on"/>
        <w:pBdr/>
        <w:spacing w:before="220" w:after="220" w:line="240" w:lineRule="auto"/>
        <w:ind w:left="0" w:right="0"/>
        <w:jc w:val="left"/>
      </w:pPr>
      <w:r>
        <w:rPr>
          <w:rFonts w:ascii="Calibri" w:hAnsi="Calibri" w:eastAsia="Calibri" w:cs="Calibri"/>
          <w:color w:val="000000"/>
          <w:sz w:val="22"/>
          <w:szCs w:val="22"/>
        </w:rPr>
        <w:t xml:space="preserve">Firman ID &amp; Martin PH (1968) White rust of chrysanthemums.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429–442.</w:t>
      </w:r>
    </w:p>
    <w:p>
      <w:pPr>
        <w:widowControl w:val="on"/>
        <w:pBdr/>
        <w:spacing w:before="220" w:after="220" w:line="240" w:lineRule="auto"/>
        <w:ind w:left="0" w:right="0"/>
        <w:jc w:val="left"/>
      </w:pPr>
      <w:r>
        <w:rPr>
          <w:rFonts w:ascii="Calibri" w:hAnsi="Calibri" w:eastAsia="Calibri" w:cs="Calibri"/>
          <w:color w:val="000000"/>
          <w:sz w:val="22"/>
          <w:szCs w:val="22"/>
        </w:rPr>
        <w:t xml:space="preserve">Kapooria RG &amp; Zadoks JC (1973) Morphology and cytology of the promycelium and the basidiospore of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Netherlands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236–242. </w:t>
      </w:r>
      <w:hyperlink r:id="rId674866985574b9632" w:history="1">
        <w:r>
          <w:rPr>
            <w:rFonts w:ascii="Calibri" w:hAnsi="Calibri" w:eastAsia="Calibri" w:cs="Calibri"/>
            <w:color w:val="0000CC"/>
            <w:sz w:val="22"/>
            <w:szCs w:val="22"/>
            <w:u w:val="single"/>
          </w:rPr>
          <w:t xml:space="preserve">https://doi.org/10.1007/BF01976669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Kumar S, Kumar R, Sriram S, Aswath C, Rao TM &amp; Nair SA (2021) Screening of chrysanthemum (</w:t>
      </w:r>
      <w:r>
        <w:rPr>
          <w:rFonts w:ascii="Calibri" w:hAnsi="Calibri" w:eastAsia="Calibri" w:cs="Calibri"/>
          <w:i/>
          <w:iCs/>
          <w:color w:val="000000"/>
          <w:sz w:val="22"/>
          <w:szCs w:val="22"/>
        </w:rPr>
        <w:t xml:space="preserve">Dendranthema grandiflora</w:t>
      </w:r>
      <w:r>
        <w:rPr>
          <w:rFonts w:ascii="Calibri" w:hAnsi="Calibri" w:eastAsia="Calibri" w:cs="Calibri"/>
          <w:color w:val="000000"/>
          <w:sz w:val="22"/>
          <w:szCs w:val="22"/>
        </w:rPr>
        <w:t xml:space="preserve">) genotypes for resistance to white rust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 </w:t>
      </w:r>
      <w:r>
        <w:rPr>
          <w:rFonts w:ascii="Calibri" w:hAnsi="Calibri" w:eastAsia="Calibri" w:cs="Calibri"/>
          <w:i/>
          <w:iCs/>
          <w:color w:val="000000"/>
          <w:sz w:val="22"/>
          <w:szCs w:val="22"/>
        </w:rPr>
        <w:t xml:space="preserve">Journal of Pharmacognosy and Phytochemistry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293–297. </w:t>
      </w:r>
      <w:hyperlink r:id="rId963566985574b96d3" w:history="1">
        <w:r>
          <w:rPr>
            <w:rFonts w:ascii="Calibri" w:hAnsi="Calibri" w:eastAsia="Calibri" w:cs="Calibri"/>
            <w:color w:val="0000CC"/>
            <w:sz w:val="22"/>
            <w:szCs w:val="22"/>
            <w:u w:val="single"/>
          </w:rPr>
          <w:t xml:space="preserve">https://doi.org/10.22271/phyto.2021.v10.i2d.13820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Mondal G &amp; Singh S (2019) Morphology of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 the causal agent of chrysanthemum white rust occurred in West Bengal. </w:t>
      </w:r>
      <w:r>
        <w:rPr>
          <w:rFonts w:ascii="Calibri" w:hAnsi="Calibri" w:eastAsia="Calibri" w:cs="Calibri"/>
          <w:i/>
          <w:iCs/>
          <w:color w:val="000000"/>
          <w:sz w:val="22"/>
          <w:szCs w:val="22"/>
        </w:rPr>
        <w:t xml:space="preserve">Journal of Pharmacognosy and Phytochemistry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1995–1998. </w:t>
      </w:r>
      <w:hyperlink r:id="rId184066985574b9756" w:history="1">
        <w:r>
          <w:rPr>
            <w:rFonts w:ascii="Calibri" w:hAnsi="Calibri" w:eastAsia="Calibri" w:cs="Calibri"/>
            <w:color w:val="0000CC"/>
            <w:sz w:val="22"/>
            <w:szCs w:val="22"/>
            <w:u w:val="single"/>
          </w:rPr>
          <w:t xml:space="preserve">https://www.phytojournal.com/archives?year=2019&amp;vol=8&amp;issue=2&amp;ArticleId=7970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Munilakshmi R, Reddy BA, Hubballi M, Kumar R, Mahesha B &amp; Ugalat J (2023). Characterization of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causing Chrysanthemum rust disease and its management by altering planting date and foliar application of fungicide.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(2), 437–445. </w:t>
      </w:r>
      <w:hyperlink r:id="rId379766985574b97e4" w:history="1">
        <w:r>
          <w:rPr>
            <w:rFonts w:ascii="Calibri" w:hAnsi="Calibri" w:eastAsia="Calibri" w:cs="Calibri"/>
            <w:color w:val="0000CC"/>
            <w:sz w:val="22"/>
            <w:szCs w:val="22"/>
            <w:u w:val="single"/>
          </w:rPr>
          <w:t xml:space="preserve">https://doi.org/10.1007/s42360-022-00574-w</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Gaad DJ &amp; Ward M (2018) Recommended regulated non-quarantine pests (RNQPs), associated thresholds and risk management measures for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552–568. </w:t>
      </w:r>
      <w:hyperlink r:id="rId471466985574b9856" w:history="1">
        <w:r>
          <w:rPr>
            <w:rFonts w:ascii="Calibri" w:hAnsi="Calibri" w:eastAsia="Calibri" w:cs="Calibri"/>
            <w:color w:val="0000CC"/>
            <w:sz w:val="22"/>
            <w:szCs w:val="22"/>
            <w:u w:val="single"/>
          </w:rPr>
          <w:t xml:space="preserve">https://doi.org/10.1111/epp.12500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RNQP (2018) </w:t>
      </w:r>
      <w:r>
        <w:rPr>
          <w:rFonts w:ascii="Calibri" w:hAnsi="Calibri" w:eastAsia="Calibri" w:cs="Calibri"/>
          <w:i/>
          <w:iCs/>
          <w:color w:val="000000"/>
          <w:sz w:val="22"/>
          <w:szCs w:val="22"/>
        </w:rPr>
        <w:t xml:space="preserve">Puccinia horiana </w:t>
      </w:r>
      <w:r>
        <w:rPr>
          <w:rFonts w:ascii="Calibri" w:hAnsi="Calibri" w:eastAsia="Calibri" w:cs="Calibri"/>
          <w:color w:val="000000"/>
          <w:sz w:val="22"/>
          <w:szCs w:val="22"/>
        </w:rPr>
        <w:t xml:space="preserve">(PUCCHN) </w:t>
      </w:r>
      <w:hyperlink r:id="rId410666985574b98a6" w:history="1">
        <w:r>
          <w:rPr>
            <w:rFonts w:ascii="Calibri" w:hAnsi="Calibri" w:eastAsia="Calibri" w:cs="Calibri"/>
            <w:color w:val="0000CC"/>
            <w:sz w:val="22"/>
            <w:szCs w:val="22"/>
            <w:u w:val="single"/>
          </w:rPr>
          <w:t xml:space="preserve">https://rnqp.eppo.int/recommendations/summarysheet_pest?pest=PUCCHN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Sriram S, Kumar GM &amp; Kumawat MK (2020) Evaluation of fungicides for the management of chrysanthemum white rust caused by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 </w:t>
      </w:r>
      <w:r>
        <w:rPr>
          <w:rFonts w:ascii="Calibri" w:hAnsi="Calibri" w:eastAsia="Calibri" w:cs="Calibri"/>
          <w:i/>
          <w:iCs/>
          <w:color w:val="000000"/>
          <w:sz w:val="22"/>
          <w:szCs w:val="22"/>
        </w:rPr>
        <w:t xml:space="preserve">Pest Management in Horticultural Ecosystems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(1), 147–151. </w:t>
      </w:r>
      <w:hyperlink r:id="rId982066985574b9935" w:history="1">
        <w:r>
          <w:rPr>
            <w:rFonts w:ascii="Calibri" w:hAnsi="Calibri" w:eastAsia="Calibri" w:cs="Calibri"/>
            <w:color w:val="0000CC"/>
            <w:sz w:val="22"/>
            <w:szCs w:val="22"/>
            <w:u w:val="single"/>
          </w:rPr>
          <w:t xml:space="preserve">http://dx.doi.org/10.5958/0974-4541.2020.00023.5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Torres DE, Rojas-Martínez RI, Zavaleta-Mejía E, Guevara-Fefer P, Márquez-Guzmán GJ &amp; Pérez-Martínez C (2017) </w:t>
      </w:r>
      <w:r>
        <w:rPr>
          <w:rFonts w:ascii="Calibri" w:hAnsi="Calibri" w:eastAsia="Calibri" w:cs="Calibri"/>
          <w:i/>
          <w:iCs/>
          <w:color w:val="000000"/>
          <w:sz w:val="22"/>
          <w:szCs w:val="22"/>
        </w:rPr>
        <w:t xml:space="preserve">Cladosporium cladosporioides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Cladosporium pseudocladosporioides</w:t>
      </w:r>
      <w:r>
        <w:rPr>
          <w:rFonts w:ascii="Calibri" w:hAnsi="Calibri" w:eastAsia="Calibri" w:cs="Calibri"/>
          <w:color w:val="000000"/>
          <w:sz w:val="22"/>
          <w:szCs w:val="22"/>
        </w:rPr>
        <w:t xml:space="preserve"> as potential new fungal antagonists of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 the causal agent of chrysanthemum white rust.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e0170782. </w:t>
      </w:r>
      <w:hyperlink r:id="rId914566985574b99f6" w:history="1">
        <w:r>
          <w:rPr>
            <w:rFonts w:ascii="Calibri" w:hAnsi="Calibri" w:eastAsia="Calibri" w:cs="Calibri"/>
            <w:color w:val="0000CC"/>
            <w:sz w:val="22"/>
            <w:szCs w:val="22"/>
            <w:u w:val="single"/>
          </w:rPr>
          <w:t xml:space="preserve">https://doi.org/10.1371/journal.pone.0170782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USDA APHIS PPQ (2005) Chrysanthemum white rust (CWR) eradication protocol for nurseries containing plants infected with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 (</w:t>
      </w:r>
      <w:hyperlink r:id="rId584166985574b9a47" w:history="1">
        <w:r>
          <w:rPr>
            <w:rFonts w:ascii="Calibri" w:hAnsi="Calibri" w:eastAsia="Calibri" w:cs="Calibri"/>
            <w:color w:val="0000CC"/>
            <w:sz w:val="22"/>
            <w:szCs w:val="22"/>
            <w:u w:val="single"/>
          </w:rPr>
          <w:t xml:space="preserve">http://www.aphis.usda.gov/plant_health/plant_pest_info/cwr/downloads/cwrplan.pdf</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Wang Y, Zeng J, Xia X, Xu Y, Sun J, Gu J, Sun H, Lei H, Chen F, Jiang J &amp; Fang W (2020) Comparative analysis of leaf trichomes, epidermal wax and defense enzymes activities in response to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Ajania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Horticultural Plant Journal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(3), 191–198. </w:t>
      </w:r>
      <w:hyperlink r:id="rId626566985574b9b25" w:history="1">
        <w:r>
          <w:rPr>
            <w:rFonts w:ascii="Calibri" w:hAnsi="Calibri" w:eastAsia="Calibri" w:cs="Calibri"/>
            <w:color w:val="0000CC"/>
            <w:sz w:val="22"/>
            <w:szCs w:val="22"/>
            <w:u w:val="single"/>
          </w:rPr>
          <w:t xml:space="preserve">https://doi.org/10.1016/j.hpj.2020.03.006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Water JK (1981) Chrysanthemum white rust.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239–242. </w:t>
      </w:r>
      <w:hyperlink r:id="rId370466985574b9b98" w:history="1">
        <w:r>
          <w:rPr>
            <w:rFonts w:ascii="Calibri" w:hAnsi="Calibri" w:eastAsia="Calibri" w:cs="Calibri"/>
            <w:color w:val="0000CC"/>
            <w:sz w:val="22"/>
            <w:szCs w:val="22"/>
            <w:u w:val="single"/>
          </w:rPr>
          <w:t xml:space="preserve">https://doi.org/10.1111/j.1365-2338.1981.tb01930.x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Whipps JM (1993) A review of white rust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 disease on chrysanthemum and the potential for its biological control with </w:t>
      </w:r>
      <w:r>
        <w:rPr>
          <w:rFonts w:ascii="Calibri" w:hAnsi="Calibri" w:eastAsia="Calibri" w:cs="Calibri"/>
          <w:i/>
          <w:iCs/>
          <w:color w:val="000000"/>
          <w:sz w:val="22"/>
          <w:szCs w:val="22"/>
        </w:rPr>
        <w:t xml:space="preserve">Verticillium lecanii</w:t>
      </w:r>
      <w:r>
        <w:rPr>
          <w:rFonts w:ascii="Calibri" w:hAnsi="Calibri" w:eastAsia="Calibri" w:cs="Calibri"/>
          <w:color w:val="000000"/>
          <w:sz w:val="22"/>
          <w:szCs w:val="22"/>
        </w:rPr>
        <w:t xml:space="preserve"> (Zimm.) Viégas.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(1), 173–187. </w:t>
      </w:r>
      <w:hyperlink r:id="rId867966985574b9c46" w:history="1">
        <w:r>
          <w:rPr>
            <w:rFonts w:ascii="Calibri" w:hAnsi="Calibri" w:eastAsia="Calibri" w:cs="Calibri"/>
            <w:color w:val="0000CC"/>
            <w:sz w:val="22"/>
            <w:szCs w:val="22"/>
            <w:u w:val="single"/>
          </w:rPr>
          <w:t xml:space="preserve">https://doi.org/10.1111/j.1744-7348.1993.tb04025.x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Zeng J, Sun J, Xu Y, Chen F, Jiang J, Fang W &amp; Chen S (2013) Variation for resistance to white rust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among </w:t>
      </w:r>
      <w:r>
        <w:rPr>
          <w:rFonts w:ascii="Calibri" w:hAnsi="Calibri" w:eastAsia="Calibri" w:cs="Calibri"/>
          <w:i/>
          <w:iCs/>
          <w:color w:val="000000"/>
          <w:sz w:val="22"/>
          <w:szCs w:val="22"/>
        </w:rPr>
        <w:t xml:space="preserve">Ajania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(10), 1231–1234. </w:t>
      </w:r>
      <w:hyperlink r:id="rId829466985574b9d11" w:history="1">
        <w:r>
          <w:rPr>
            <w:rFonts w:ascii="Calibri" w:hAnsi="Calibri" w:eastAsia="Calibri" w:cs="Calibri"/>
            <w:color w:val="0000CC"/>
            <w:sz w:val="22"/>
            <w:szCs w:val="22"/>
            <w:u w:val="single"/>
          </w:rPr>
          <w:t xml:space="preserve">https://doi.org/10.21273/HORTSCI.48.10.1231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Wojdyla AT (2004) Development of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on chrysanthemum leaves in relation to chemical compounds and time of their application. </w:t>
      </w:r>
      <w:r>
        <w:rPr>
          <w:rFonts w:ascii="Calibri" w:hAnsi="Calibri" w:eastAsia="Calibri" w:cs="Calibri"/>
          <w:i/>
          <w:iCs/>
          <w:color w:val="000000"/>
          <w:sz w:val="22"/>
          <w:szCs w:val="22"/>
        </w:rPr>
        <w:t xml:space="preserve">Journal of Plant Protection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(2), 91–102. </w:t>
      </w:r>
      <w:hyperlink r:id="rId412166985574b9d9f" w:history="1">
        <w:r>
          <w:rPr>
            <w:rFonts w:ascii="Calibri" w:hAnsi="Calibri" w:eastAsia="Calibri" w:cs="Calibri"/>
            <w:color w:val="0000CC"/>
            <w:sz w:val="22"/>
            <w:szCs w:val="22"/>
            <w:u w:val="single"/>
          </w:rPr>
          <w:t xml:space="preserve">https://www.plantprotection.pl/Development-of-Puccinia-horiana-on-chrysanthemum-leaves-in-relation-to-chemical-compounds,89998,0,2.html</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Kateryna Davydenko, the Ukrainian Research Institute of Forestry and Forest Melioration and the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EPPO datasheets on pests recommended for regulation. Available online. </w:t>
      </w:r>
      <w:hyperlink r:id="rId415966985574b9e6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Puccinia horiana</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113-117. </w:t>
      </w:r>
      <w:hyperlink r:id="rId872166985574b9f9f" w:history="1">
        <w:r>
          <w:rPr>
            <w:rFonts w:ascii="Calibri" w:hAnsi="Calibri" w:eastAsia="Calibri" w:cs="Calibri"/>
            <w:color w:val="0000CC"/>
            <w:sz w:val="22"/>
            <w:szCs w:val="22"/>
            <w:u w:val="single"/>
          </w:rPr>
          <w:t xml:space="preserve">https://onlinelibrary.wiley.com/doi/epdf/10.1111/j.1365-2338.1982.tb01964.x</w:t>
        </w:r>
      </w:hyperlink>
    </w:p>
    <w:p>
      <w:r>
        <w:drawing>
          <wp:inline distT="0" distB="0" distL="0" distR="0">
            <wp:extent cx="1800000" cy="604800"/>
            <wp:docPr id="10746542" name="name573266985574b9ff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34966985574b9ff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812766">
    <w:multiLevelType w:val="hybridMultilevel"/>
    <w:lvl w:ilvl="0" w:tplc="98902550">
      <w:start w:val="1"/>
      <w:numFmt w:val="decimal"/>
      <w:lvlText w:val="%1."/>
      <w:lvlJc w:val="left"/>
      <w:pPr>
        <w:ind w:left="720" w:hanging="360"/>
      </w:pPr>
    </w:lvl>
    <w:lvl w:ilvl="1" w:tplc="98902550" w:tentative="1">
      <w:start w:val="1"/>
      <w:numFmt w:val="lowerLetter"/>
      <w:lvlText w:val="%2."/>
      <w:lvlJc w:val="left"/>
      <w:pPr>
        <w:ind w:left="1440" w:hanging="360"/>
      </w:pPr>
    </w:lvl>
    <w:lvl w:ilvl="2" w:tplc="98902550" w:tentative="1">
      <w:start w:val="1"/>
      <w:numFmt w:val="lowerRoman"/>
      <w:lvlText w:val="%3."/>
      <w:lvlJc w:val="right"/>
      <w:pPr>
        <w:ind w:left="2160" w:hanging="180"/>
      </w:pPr>
    </w:lvl>
    <w:lvl w:ilvl="3" w:tplc="98902550" w:tentative="1">
      <w:start w:val="1"/>
      <w:numFmt w:val="decimal"/>
      <w:lvlText w:val="%4."/>
      <w:lvlJc w:val="left"/>
      <w:pPr>
        <w:ind w:left="2880" w:hanging="360"/>
      </w:pPr>
    </w:lvl>
    <w:lvl w:ilvl="4" w:tplc="98902550" w:tentative="1">
      <w:start w:val="1"/>
      <w:numFmt w:val="lowerLetter"/>
      <w:lvlText w:val="%5."/>
      <w:lvlJc w:val="left"/>
      <w:pPr>
        <w:ind w:left="3600" w:hanging="360"/>
      </w:pPr>
    </w:lvl>
    <w:lvl w:ilvl="5" w:tplc="98902550" w:tentative="1">
      <w:start w:val="1"/>
      <w:numFmt w:val="lowerRoman"/>
      <w:lvlText w:val="%6."/>
      <w:lvlJc w:val="right"/>
      <w:pPr>
        <w:ind w:left="4320" w:hanging="180"/>
      </w:pPr>
    </w:lvl>
    <w:lvl w:ilvl="6" w:tplc="98902550" w:tentative="1">
      <w:start w:val="1"/>
      <w:numFmt w:val="decimal"/>
      <w:lvlText w:val="%7."/>
      <w:lvlJc w:val="left"/>
      <w:pPr>
        <w:ind w:left="5040" w:hanging="360"/>
      </w:pPr>
    </w:lvl>
    <w:lvl w:ilvl="7" w:tplc="98902550" w:tentative="1">
      <w:start w:val="1"/>
      <w:numFmt w:val="lowerLetter"/>
      <w:lvlText w:val="%8."/>
      <w:lvlJc w:val="left"/>
      <w:pPr>
        <w:ind w:left="5760" w:hanging="360"/>
      </w:pPr>
    </w:lvl>
    <w:lvl w:ilvl="8" w:tplc="98902550" w:tentative="1">
      <w:start w:val="1"/>
      <w:numFmt w:val="lowerRoman"/>
      <w:lvlText w:val="%9."/>
      <w:lvlJc w:val="right"/>
      <w:pPr>
        <w:ind w:left="6480" w:hanging="180"/>
      </w:pPr>
    </w:lvl>
  </w:abstractNum>
  <w:abstractNum w:abstractNumId="81812765">
    <w:multiLevelType w:val="hybridMultilevel"/>
    <w:lvl w:ilvl="0" w:tplc="493890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812765">
    <w:abstractNumId w:val="81812765"/>
  </w:num>
  <w:num w:numId="81812766">
    <w:abstractNumId w:val="8181276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96781355" Type="http://schemas.microsoft.com/office/2011/relationships/commentsExtended" Target="commentsExtended.xml"/><Relationship Id="rId532257439" Type="http://schemas.microsoft.com/office/2011/relationships/people" Target="people.xml"/><Relationship Id="rId168866985574b6376" Type="http://schemas.openxmlformats.org/officeDocument/2006/relationships/hyperlink" Target="https://gd.eppo.int/taxon/PUCCHN/" TargetMode="External"/><Relationship Id="rId289366985574b63e0" Type="http://schemas.openxmlformats.org/officeDocument/2006/relationships/hyperlink" Target="https://gd.eppo.int/taxon/PUCCHN/categorization" TargetMode="External"/><Relationship Id="rId730466985574b6d74" Type="http://schemas.openxmlformats.org/officeDocument/2006/relationships/hyperlink" Target="https://gd.eppo.int/taxon/PUCCHN/photos" TargetMode="External"/><Relationship Id="rId894766985574b8fba" Type="http://schemas.openxmlformats.org/officeDocument/2006/relationships/hyperlink" Target="https://doi.org/10.1016/j.mycres.2009.02.003" TargetMode="External"/><Relationship Id="rId335166985574b9023" Type="http://schemas.openxmlformats.org/officeDocument/2006/relationships/hyperlink" Target="https://doi.org/10.1111/j.1365-3059.1967.tb00398.x" TargetMode="External"/><Relationship Id="rId165066985574b90b4" Type="http://schemas.openxmlformats.org/officeDocument/2006/relationships/hyperlink" Target="https://doi.org/10.1088/1755-1315/883/1/012023" TargetMode="External"/><Relationship Id="rId436766985574b9174" Type="http://schemas.openxmlformats.org/officeDocument/2006/relationships/hyperlink" Target="https://doi.org/10.1007/s10658-011-9756-8" TargetMode="External"/><Relationship Id="rId890166985574b91a8" Type="http://schemas.openxmlformats.org/officeDocument/2006/relationships/hyperlink" Target="https://www.consultant.ru/document/cons_doc_LAW_213644/" TargetMode="External"/><Relationship Id="rId638066985574b922a" Type="http://schemas.openxmlformats.org/officeDocument/2006/relationships/hyperlink" Target="https://doi.org/10.2903/j.efsa.2013.3069" TargetMode="External"/><Relationship Id="rId811366985574b92a6" Type="http://schemas.openxmlformats.org/officeDocument/2006/relationships/hyperlink" Target="https://onlinelibrary.wiley.com/doi/epdf/10.1111/j.1365-2338.1998.tb00743.x" TargetMode="External"/><Relationship Id="rId277966985574b9319" Type="http://schemas.openxmlformats.org/officeDocument/2006/relationships/hyperlink" Target="https://doi.org/10.1046/j.1365-2338.2002.d01-223.x" TargetMode="External"/><Relationship Id="rId770866985574b93a7" Type="http://schemas.openxmlformats.org/officeDocument/2006/relationships/hyperlink" Target="https://doi.org/10.1111/epp.12658" TargetMode="External"/><Relationship Id="rId600666985574b93da" Type="http://schemas.openxmlformats.org/officeDocument/2006/relationships/hyperlink" Target="https://gd.eppo.int/taxon/PUCCHN/documents" TargetMode="External"/><Relationship Id="rId892466985574b942e" Type="http://schemas.openxmlformats.org/officeDocument/2006/relationships/hyperlink" Target="https://eur-lex.europa.eu/legal-content/EN/TXT/?uri=CELEX%3A32000L0029&amp;qid=1708597536729" TargetMode="External"/><Relationship Id="rId819766985574b9490" Type="http://schemas.openxmlformats.org/officeDocument/2006/relationships/hyperlink" Target="https://eur-lex.europa.eu/eli/reg_impl/2019/2072/oj" TargetMode="External"/><Relationship Id="rId674866985574b9632" Type="http://schemas.openxmlformats.org/officeDocument/2006/relationships/hyperlink" Target="https://doi.org/10.1007/BF01976669" TargetMode="External"/><Relationship Id="rId963566985574b96d3" Type="http://schemas.openxmlformats.org/officeDocument/2006/relationships/hyperlink" Target="https://doi.org/10.22271/phyto.2021.v10.i2d.13820" TargetMode="External"/><Relationship Id="rId184066985574b9756" Type="http://schemas.openxmlformats.org/officeDocument/2006/relationships/hyperlink" Target="https://www.phytojournal.com/archives?year=2019&amp;vol=8&amp;issue=2&amp;ArticleId=7970" TargetMode="External"/><Relationship Id="rId379766985574b97e4" Type="http://schemas.openxmlformats.org/officeDocument/2006/relationships/hyperlink" Target="https://doi.org/10.1007/s42360-022-00574-w" TargetMode="External"/><Relationship Id="rId471466985574b9856" Type="http://schemas.openxmlformats.org/officeDocument/2006/relationships/hyperlink" Target="https://doi.org/10.1111/epp.12500" TargetMode="External"/><Relationship Id="rId410666985574b98a6" Type="http://schemas.openxmlformats.org/officeDocument/2006/relationships/hyperlink" Target="https://rnqp.eppo.int/recommendations/summarysheet_pest?pest=PUCCHN" TargetMode="External"/><Relationship Id="rId982066985574b9935" Type="http://schemas.openxmlformats.org/officeDocument/2006/relationships/hyperlink" Target="http://dx.doi.org/10.5958/0974-4541.2020.00023.5" TargetMode="External"/><Relationship Id="rId914566985574b99f6" Type="http://schemas.openxmlformats.org/officeDocument/2006/relationships/hyperlink" Target="https://doi.org/10.1371/journal.pone.0170782" TargetMode="External"/><Relationship Id="rId584166985574b9a47" Type="http://schemas.openxmlformats.org/officeDocument/2006/relationships/hyperlink" Target="http://www.aphis.usda.gov/plant_health/plant_pest_info/cwr/downloads/cwrplan.pdf" TargetMode="External"/><Relationship Id="rId626566985574b9b25" Type="http://schemas.openxmlformats.org/officeDocument/2006/relationships/hyperlink" Target="https://doi.org/10.1016/j.hpj.2020.03.006" TargetMode="External"/><Relationship Id="rId370466985574b9b98" Type="http://schemas.openxmlformats.org/officeDocument/2006/relationships/hyperlink" Target="https://doi.org/10.1111/j.1365-2338.1981.tb01930.x" TargetMode="External"/><Relationship Id="rId867966985574b9c46" Type="http://schemas.openxmlformats.org/officeDocument/2006/relationships/hyperlink" Target="https://doi.org/10.1111/j.1744-7348.1993.tb04025.x" TargetMode="External"/><Relationship Id="rId829466985574b9d11" Type="http://schemas.openxmlformats.org/officeDocument/2006/relationships/hyperlink" Target="https://doi.org/10.21273/HORTSCI.48.10.1231" TargetMode="External"/><Relationship Id="rId412166985574b9d9f" Type="http://schemas.openxmlformats.org/officeDocument/2006/relationships/hyperlink" Target="https://www.plantprotection.pl/Development-of-Puccinia-horiana-on-chrysanthemum-leaves-in-relation-to-chemical-compounds,89998,0,2.html" TargetMode="External"/><Relationship Id="rId415966985574b9e63" Type="http://schemas.openxmlformats.org/officeDocument/2006/relationships/hyperlink" Target="https://gd.eppo.int" TargetMode="External"/><Relationship Id="rId872166985574b9f9f" Type="http://schemas.openxmlformats.org/officeDocument/2006/relationships/hyperlink" Target="https://onlinelibrary.wiley.com/doi/epdf/10.1111/j.1365-2338.1982.tb01964.x" TargetMode="External"/><Relationship Id="rId160366985574b6c3c" Type="http://schemas.openxmlformats.org/officeDocument/2006/relationships/image" Target="media/imgrId160366985574b6c3c.jpg"/><Relationship Id="rId597166985574b7d4b" Type="http://schemas.openxmlformats.org/officeDocument/2006/relationships/image" Target="media/imgrId597166985574b7d4b.jpg"/><Relationship Id="rId534966985574b9ff9" Type="http://schemas.openxmlformats.org/officeDocument/2006/relationships/image" Target="media/imgrId534966985574b9ff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