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horiana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horiana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rust of chrysanthemum</w:t>
            </w:r>
            <w:hyperlink r:id="rId3982664c1a7953e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639664c1a7953f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PUCCHN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119031" name="name8545664c1a7954812" descr="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jpg"/>
                          <pic:cNvPicPr/>
                        </pic:nvPicPr>
                        <pic:blipFill>
                          <a:blip r:embed="rId4246664c1a795480f" cstate="print"/>
                          <a:stretch>
                            <a:fillRect/>
                          </a:stretch>
                        </pic:blipFill>
                        <pic:spPr>
                          <a:xfrm>
                            <a:off x="0" y="0"/>
                            <a:ext cx="2160000" cy="1281600"/>
                          </a:xfrm>
                          <a:prstGeom prst="rect">
                            <a:avLst/>
                          </a:prstGeom>
                          <a:ln w="0">
                            <a:noFill/>
                          </a:ln>
                        </pic:spPr>
                      </pic:pic>
                    </a:graphicData>
                  </a:graphic>
                </wp:inline>
              </w:drawing>
            </w:r>
            <w:hyperlink r:id="rId7592664c1a795495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is an autoecious microcyclic rust fungus (Pucciniales) that causes chrysanthemum white rust.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pathogen of several chrysanthemum and daisy species. Its most important host plants include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(commonly known as florist's chrysanthemum),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nipponicum</w:t>
      </w:r>
      <w:r>
        <w:rPr>
          <w:rFonts w:ascii="Calibri" w:hAnsi="Calibri" w:eastAsia="Calibri" w:cs="Calibri"/>
          <w:color w:val="000000"/>
          <w:sz w:val="22"/>
          <w:szCs w:val="22"/>
        </w:rPr>
        <w:t xml:space="preserve"> (nippon daisy), and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(gold and silver chrysanthemum) (Water, 1981;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However, it is predominantly known as a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due to the economic importance of this hybrid in the cut flower and potted plant industry. The host range of the pest is currently limited to 12 chrysanthemum and daisy species belonging to 5 genera in the plant family Asteraceae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Nipponanthemum, Arctanthemum, Leucanthemella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shiwogiku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Leucanthemella serotina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indigenous to Japan, where it was first noted in 1895 (Hiratsuka, 1957). It remained confined to Japan until 1963, from where it spread to China and South Africa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1963,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has spread rapidly on infected shipments of cut flowers and has become established in the Russian Far East, Europe, Africa, Australia, Oceania, North and South America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91250751" name="name3581664c1a7955e55" descr="PUCCH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HN_distribution_map.jpg"/>
                    <pic:cNvPicPr/>
                  </pic:nvPicPr>
                  <pic:blipFill>
                    <a:blip r:embed="rId3789664c1a7955e4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(Kriti), Guernsey, Hungary, Italy (mainland, Sicilia), Latvia, Netherlands, Poland, Portugal (mainland, Madeira), Romania, Russia (Far East), Serbia, Slovakia, Slovenia,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Brunei Darussalam, China (Fujian, Guangdong, Jiangsu, Xianggang (Hong Kong)), India (Tamil Nadu), Japan (Hokkaido, Honshu, Kyushu, Shikoku), Korea Dem. People's Republic, Korea, Republic, Malaysia (Sabah, West),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(Pennsylvania)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(Sao Paulo), Chile,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an autoecious rust (Pucciniales) that causes chrysanthemum white rust. The bicellular teliospores are normally formed on the lower side of the host’s leaves. These teliospores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to form a promycelium produced in the pustules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Promycelia bear a mean of two infective propagules, unicellular basidiospores that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No other spores are known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 humidity and a film of moisture appear to be necessary for germination of both teliospores and basidiospores. Teliospores are capable of germination as soon as they are mature; germination and discharge of basidiospores occurs at temperature between 4 and 23°C and the optimal conditions for development of the pathogen are high relative humidity and cool temperatures (17–20°C) (Whipps, 1993;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Basidiospores can germinate over a wide range of temperature and at 17–24°C either surface of the leaf may be penetrated within 2 h. Thus, 5 h of wetness is sufficient for a new infection to become established (Firman and Martin, 1968). Abundant, hyaline, intercellular hyphae are produced with intracellular haustoria. Under high humidity and mild temperature, symptoms appear 7–10 days post infection as chlorotic spots that develop teliospores within a pustule on the abaxial leaf surface within 14–18 days post infection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short periods of high temperatures (over 30°C) can apparently prolong the incubation period to 8 weeks (Whipps, 1993). Leaf wetness and a high relative humidity are essential for basidiospore formation, survival, and infection. Light does not affect germination of teliospores or basidiospores (Firman and Martin, 1968). Successful aerial transport needs to occur under conditions of high relative humidity, as basidiospores lose their ability to germinate after 5 min at relative humidity of 80% and after 1 h at relative humidity of 90% (Firman and Martin, 1968).</w:t>
      </w:r>
    </w:p>
    <w:p>
      <w:pPr>
        <w:widowControl w:val="on"/>
        <w:pBdr/>
        <w:spacing w:before="220" w:after="220" w:line="240" w:lineRule="auto"/>
        <w:ind w:left="0" w:right="0"/>
        <w:jc w:val="both"/>
      </w:pPr>
      <w:r>
        <w:rPr>
          <w:rFonts w:ascii="Calibri" w:hAnsi="Calibri" w:eastAsia="Calibri" w:cs="Calibri"/>
          <w:color w:val="000000"/>
          <w:sz w:val="22"/>
          <w:szCs w:val="22"/>
        </w:rPr>
        <w:t xml:space="preserve">To establish successful infection, pathogens should gain access to the cells of the host plant. Young leaves are more susceptible than mature leaves. Studies have shown that species in family Asteraceae differed in resistance to the white rust of chrysanthemum due to leaf traits, such as trichomes and cuticular wax layer, acting as a protective barrier against pathogen’s attacks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chrysanthemum cultivars appear to be more resistant than others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Thus,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nankingense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vestitum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were shown to be immune, and strong resistance was demonstrated in </w:t>
      </w:r>
      <w:r>
        <w:rPr>
          <w:rFonts w:ascii="Calibri" w:hAnsi="Calibri" w:eastAsia="Calibri" w:cs="Calibri"/>
          <w:i/>
          <w:iCs/>
          <w:color w:val="000000"/>
          <w:sz w:val="22"/>
          <w:szCs w:val="22"/>
        </w:rPr>
        <w:t xml:space="preserve">C.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shimotomaii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przewalskii</w:t>
      </w:r>
      <w:r>
        <w:rPr>
          <w:rFonts w:ascii="Calibri" w:hAnsi="Calibri" w:eastAsia="Calibri" w:cs="Calibri"/>
          <w:color w:val="000000"/>
          <w:sz w:val="22"/>
          <w:szCs w:val="22"/>
        </w:rPr>
        <w:t xml:space="preserve"> as well as in White Dolly, White Andaman, IIHR6-32, IIHR9-3, IIHR6-41, and other cultivars of </w:t>
      </w:r>
      <w:r>
        <w:rPr>
          <w:rFonts w:ascii="Calibri" w:hAnsi="Calibri" w:eastAsia="Calibri" w:cs="Calibri"/>
          <w:i/>
          <w:iCs/>
          <w:color w:val="000000"/>
          <w:sz w:val="22"/>
          <w:szCs w:val="22"/>
        </w:rPr>
        <w:t xml:space="preserve">C.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Because wide range of crosses are relatively easy to achieve in the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complex, these immune and highly resistant accessions could be promising for white rust resistance breeding.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Water (1981) and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affects mainly leaves, but in the case of severe infestation, spread is seen onto the stems, bracts, and the flowers. Initial symptoms appear as numerous, pale green to yellow spots, up to 5 mm in diameter which develop on the upper surface of the infected leaves (Water, 1981; Mondal and Singh, 2019). Pinkish white coloured telia pustules develop mostly on the lower surface of the leaves and rarely on the upper surface (EPPO, 2020). Under a stereo microscope, telia pustules are tan coloured, covered with slimy layer at an early stage and becoming waxy at a later stage (Water, 1981; EFSA, 2013; Mondal and Singh, 2019). As the spots on the upper surface become sunken, so these pustules become quite prominent and turn whitish when basidiospores are produced. In some cases, a secondary ring of small pustules is formed around the initial pustules (EFSA, 2013). Heavily infected leaves wilt, curl and eventually become necrotic, but they remain attached to the plant and gradually dry up completely (Water, 1981;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bracts and stems, sori (complex aggregations of sporangia) sometimes develop when crops are heavily affected, while on flowers infection has been recorded as necrotic flecking with occasional pustules (Dickens, 1970).</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germinate only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plants, but not on agar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Pustules are 2–5 mm, tan to pink, later white, usually on the lower side of the leaves (hypophyllous), rarely on the upper side of the leaves (epiphyllous), stems, bracts or flowers. The teliospores are oblong to oblong-clavate, slightly constricted at the middle, thin walled, bicelled, pedicellate, pale yellow, 32–45 x 12–18 µm, 1–2 µm thick at sides, hyaline (Baker, 1967;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Mondal and Singh, 2019). The promycelia are tubular, mostly segmented, short, stout, 33 × 8 µm, 1-to-3-celled, the apical cell often with a lobed appearance, and sometimes branched. Usually two basidiospores are formed per promycelium and basidiospores are hyaline, slightly curved, broadly ellipsoid to fusiform, 7–14 × 5–9 µm, with apical scar (Baker, 1967; Kapooria and Zadoks, 1973;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Baker (1967) and Kapooria and Zadoks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detected following the EPPO diagnostic protocol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2020). Detection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based on the presence of clearly visible symptoms on the leaves (and occasionally also on bracts, stems and flowers) and on morphological features of the teliospores following the EPPO diagnostic protocol (EPPO, 2020). If only chlorotic spots are visible, then detection is possible via incubation or real-time polymerase chain reaction (PCR). For asymptomatic plants, detection can also be done with real-time PCR. Numerous other rust fungi have been reported on chrysanthemums, but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easily distinguished from other species by its smooth, hyaline teliospores that always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the living leaf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and verification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based on microscopic verification of the morphological characteristics of the teliospores (EPPO, 1994, 2020) and/or on specific conventional or real-time PCR tests after DNA extraction of excised pustule material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 The PCR tests are based on the ribosomal DNA internal transcribed spacer regions and allow detection of all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strains tested so far. The real-time PCR assays are very sensitive and the lowest proportion of infected plant material that can be detected is 0.001 %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spread on infected cuttings and plants, including cut flowers, of glasshouse chrysanthemums. Host plants are widespread in the EPPO region and are susceptible to the pest during their whole growing cycle. Climatic conditions are suitable for infection and sporulation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over a wide area of the EPPO region. The basidiospores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After establishment, aerial spread is assumed to be the cause of local infection. Owing to the absence of physical barriers, the probability of aerial spread is higher when chrysanthemum and daisy species are grown as multiflora plants (in a specific manner of propagation when several or many plants are grown from a single root). This is shown by a higher level of disease incidence in outdoor-grown crops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No vectors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known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serious pest in nurseries, frequently causing complete loss of glasshouse chrysanthemum crops. The pest can infect 12 chrysanthemum and daisy species, but it is particularly known as a pathogen of the commercially important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which is grown for the production of cut flowers, potted plants, and garden chrysanthemums. The turnover of chrysanthemum on the Dutch flower auctions was 332 million EUR for cut flowers and 30 million EUR for potted plants in 2008 alone, making it one of the most important floral species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important outbreak of white rust disease caused by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severely damaged the chrysanthemum crops in 12 different glasshouses in Türkiye in 2007, resulting in yield losses of up to 80%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India is the second largest world producer of flowers (after China) and this fungus was considered to be the most destructive and devastating pathogen, causing severe yield and quality loss in Himachal Pradesh state of the country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outbreaks also occurred in France, England, and Denmark and the pest has since spread rapidly throughout the countries causing extensive losses. At the present time, white rust is established in most western European countries in most chrysanthemum-growing areas (Whipps, 1993;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2013), where it can cause significant economic loss in the cut flower industry if not controlled properly.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Intensity of disease symptoms depends on susceptibility of cultivars, but temperature and air humidity are also very important factors (Firman and Martin, 1968). Overhead irrigation should be avoided because high humidity stimulates disease (EPPO, 1994). Among the available strategies to control this rust disease, fungicide treatments are a basic method, however, breeding for host-plant resistance is also an effective strategy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the control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found high effectiveness of some fungicides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considering the rise of resistance to fungicides, there is a necessity of search for alternative management solutions such as biological control (EFSA, 2013;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(Ascomycota: Cordycipitaceae), a hyperparasite of rust fungi, was assessed as a potentially good agent for an integrated pest control program on all-year-round chrysanthemums, but its application is technologically complicated (Whipps, 1993).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pseudocladosporioides</w:t>
      </w:r>
      <w:r>
        <w:rPr>
          <w:rFonts w:ascii="Calibri" w:hAnsi="Calibri" w:eastAsia="Calibri" w:cs="Calibri"/>
          <w:color w:val="000000"/>
          <w:sz w:val="22"/>
          <w:szCs w:val="22"/>
        </w:rPr>
        <w:t xml:space="preserve"> (Ascomycota: Cladosporiaceae) were also assessed due to their antagonistic and hyperparasitic effects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and the results suggested that these fungi have a high potential as biological control agents of chrysanthemum white rust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Some chrysanthemum cultivars, e.g. national varieties of chrysanthemum (Kusumaswasti, Marimar, and Yulimar) from Central Java and certain Chinese cultivars of </w:t>
      </w:r>
      <w:r>
        <w:rPr>
          <w:rFonts w:ascii="Calibri" w:hAnsi="Calibri" w:eastAsia="Calibri" w:cs="Calibri"/>
          <w:i/>
          <w:iCs/>
          <w:color w:val="000000"/>
          <w:sz w:val="22"/>
          <w:szCs w:val="22"/>
        </w:rPr>
        <w:t xml:space="preserve">C. indicum, C. yoshinaganthum, 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 C. nankingense, C. vestitum, C. lavandulifolium, C. crassum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are resistant or less susceptible to the pest as shown by practical observation and resistance screening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Bety and Pangestuti, 2021) and at least seven genes are considered to be linked to resistance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Resistance to white rust in chrysanthemum cultivars is primarily governed by monogenic control, with several species exhibiting resistance. Consequently, it is imperative to adopt sustainable strategies that leverage genetically determined resistance to identify potential sources of resistance. Wide range of crosses emerges as a promising approach for breeding white rust-resistant varieties, capitalizing on the genetic diversity available within different chrysanthemum species and cultivars.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also Grouet (1984),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included in the A1 List of quarantine pests of Comunidad Andina (CAN), the A2 List of pests recommended for regulation which are present in the EPPO region (EPPO, 2023), the A2 List of Eurasian Economic Union (EAEU, 2016), as well as quarantine lists of several individual countries of the world.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main European chrysanthemums production areas,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cut flowers and potted plants is considered low (EFSA, 2013).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multiflora plants, which are usually grown outside, is considered higher owing to the exposure to outdoor weather conditions, but the incidence is still limited and with only local effects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Plant material of chrysanthemum cultivars for propagation purposes originating from infested areas may carry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teliospores in pustules or as mycelium, both of which are capable of surviving transport and storage conditions and pest management procedures. Moreover, in the main production areas in the EU it is considered that inoculum of the pathogen is generally present (EFSA, 2013) so the intensification of chrysanthemum production with high plant density in humid glasshouses provides an ideal environment for the fungus to develop. In countries in which the pathogen is not established and where no preventive action is taken, the damage could be particularly devastating if the pathogen is unexpectedly introduced and spread with plants for planting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not present in a country and where it is regulated as a quarantine pest, appropriate measures may consist of import of plants or cuttings which have come from premises which have been officially inspected at least monthly, during the 3 months prior to dispatch and on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observed during that period, and in the immediate vicinity of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occurred during the 3 months prior to export, or when plants or cuttings have undergone appropriate treatment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already present in a country and treated as a regulated non-quarantine pest (RNQP), then the following phytosanitary measures can be recommended: (a) plants intended for planting have been derived from mother plants which have been inspected at least monthly during the previous 3 months and no symptoms seen at the site of production; or (b) mother plants showing symptoms have been removed and destroyed, along with plants within a 1 m radius, and an appropriate physical or chemical treatment has been applied to the plants which have been inspected before dispatch and found free from symptoms (Picard, 2018; RNQP,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H, De Backer M, Nuytinck J, Maes M, Höfte M &amp; Heungens K (2009) Phylogenetic relationships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and other rust pathogens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based on rDNA ITS sequence analysis.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(6–7), 668–683. </w:t>
      </w:r>
      <w:hyperlink r:id="rId3279664c1a7957e0d" w:history="1">
        <w:r>
          <w:rPr>
            <w:rFonts w:ascii="Calibri" w:hAnsi="Calibri" w:eastAsia="Calibri" w:cs="Calibri"/>
            <w:color w:val="0000CC"/>
            <w:sz w:val="22"/>
            <w:szCs w:val="22"/>
            <w:u w:val="single"/>
          </w:rPr>
          <w:t xml:space="preserve">https://doi.org/10.1016/j.mycres.2009.02.003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Baker JJ (1967) Chrysanthemum white rust in England and Wales 1963–66.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162–166. </w:t>
      </w:r>
      <w:hyperlink r:id="rId1056664c1a7957e82" w:history="1">
        <w:r>
          <w:rPr>
            <w:rFonts w:ascii="Calibri" w:hAnsi="Calibri" w:eastAsia="Calibri" w:cs="Calibri"/>
            <w:color w:val="0000CC"/>
            <w:sz w:val="22"/>
            <w:szCs w:val="22"/>
            <w:u w:val="single"/>
          </w:rPr>
          <w:t xml:space="preserve">https://doi.org/10.1111/j.1365-3059.1967.tb00398.x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Bety YA &amp; Pangestuti R (2021) Resistance varieties and pattern of disease progress of rust (</w:t>
      </w:r>
      <w:r>
        <w:rPr>
          <w:rFonts w:ascii="Calibri" w:hAnsi="Calibri" w:eastAsia="Calibri" w:cs="Calibri"/>
          <w:i/>
          <w:iCs/>
          <w:color w:val="000000"/>
          <w:sz w:val="22"/>
          <w:szCs w:val="22"/>
        </w:rPr>
        <w:t xml:space="preserve">Pucciana horiana</w:t>
      </w:r>
      <w:r>
        <w:rPr>
          <w:rFonts w:ascii="Calibri" w:hAnsi="Calibri" w:eastAsia="Calibri" w:cs="Calibri"/>
          <w:color w:val="000000"/>
          <w:sz w:val="22"/>
          <w:szCs w:val="22"/>
        </w:rPr>
        <w:t xml:space="preserve"> P. Henn) in Chrysanthemum. </w:t>
      </w:r>
      <w:r>
        <w:rPr>
          <w:rFonts w:ascii="Calibri" w:hAnsi="Calibri" w:eastAsia="Calibri" w:cs="Calibri"/>
          <w:i/>
          <w:iCs/>
          <w:color w:val="000000"/>
          <w:sz w:val="22"/>
          <w:szCs w:val="22"/>
        </w:rPr>
        <w:t xml:space="preserve">IOP Conf. Series: Earth and Environmental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883</w:t>
      </w:r>
      <w:r>
        <w:rPr>
          <w:rFonts w:ascii="Calibri" w:hAnsi="Calibri" w:eastAsia="Calibri" w:cs="Calibri"/>
          <w:color w:val="000000"/>
          <w:sz w:val="22"/>
          <w:szCs w:val="22"/>
        </w:rPr>
        <w:t xml:space="preserve"> (1), 012023. </w:t>
      </w:r>
      <w:hyperlink r:id="rId4056664c1a7957f49" w:history="1">
        <w:r>
          <w:rPr>
            <w:rFonts w:ascii="Calibri" w:hAnsi="Calibri" w:eastAsia="Calibri" w:cs="Calibri"/>
            <w:color w:val="0000CC"/>
            <w:sz w:val="22"/>
            <w:szCs w:val="22"/>
            <w:u w:val="single"/>
          </w:rPr>
          <w:t xml:space="preserve">https://doi.org/10.1088/1755-1315/883/1/012023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Backer M, Alaei H, Van Bockstaele E, Roldan-Ruiz I, van der Lee T, Maes M &amp; Heungens K (2011) Identification and characterization of pathotypes in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 rust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325–338. </w:t>
      </w:r>
      <w:hyperlink r:id="rId4628664c1a7958027" w:history="1">
        <w:r>
          <w:rPr>
            <w:rFonts w:ascii="Calibri" w:hAnsi="Calibri" w:eastAsia="Calibri" w:cs="Calibri"/>
            <w:color w:val="0000CC"/>
            <w:sz w:val="22"/>
            <w:szCs w:val="22"/>
            <w:u w:val="single"/>
          </w:rPr>
          <w:t xml:space="preserve">https://doi.org/10.1007/s10658-011-9756-8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EAEU (2016) Common List of Quarantine Pests of the Eurasian Economic Union approved by Decision No. 158 of the Eurasian Economic Commission of November 30, 2016. Available at: </w:t>
      </w:r>
      <w:hyperlink r:id="rId6682664c1a795807d" w:history="1">
        <w:r>
          <w:rPr>
            <w:rFonts w:ascii="Calibri" w:hAnsi="Calibri" w:eastAsia="Calibri" w:cs="Calibri"/>
            <w:color w:val="0000CC"/>
            <w:sz w:val="22"/>
            <w:szCs w:val="22"/>
            <w:u w:val="single"/>
          </w:rPr>
          <w:t xml:space="preserve">https://www.consultant.ru/document/cons_doc_LAW_213644/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for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3069. </w:t>
      </w:r>
      <w:hyperlink r:id="rId3728664c1a7958102" w:history="1">
        <w:r>
          <w:rPr>
            <w:rFonts w:ascii="Calibri" w:hAnsi="Calibri" w:eastAsia="Calibri" w:cs="Calibri"/>
            <w:color w:val="0000CC"/>
            <w:sz w:val="22"/>
            <w:szCs w:val="22"/>
            <w:u w:val="single"/>
          </w:rPr>
          <w:t xml:space="preserve">https://doi.org/10.2903/j.efsa.2013.3069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Standard PP 2/13(1) Guideline on good plant protection practice: Ornamental plants under protected cultivation.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363–385. </w:t>
      </w:r>
      <w:hyperlink r:id="rId8585664c1a7958171" w:history="1">
        <w:r>
          <w:rPr>
            <w:rFonts w:ascii="Calibri" w:hAnsi="Calibri" w:eastAsia="Calibri" w:cs="Calibri"/>
            <w:color w:val="0000CC"/>
            <w:sz w:val="22"/>
            <w:szCs w:val="22"/>
            <w:u w:val="single"/>
          </w:rPr>
          <w:t xml:space="preserve">https://onlinelibrary.wiley.com/doi/epdf/10.1111/j.1365-2338.1998.tb00743.x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4/6(2)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w:t>
      </w:r>
      <w:hyperlink r:id="rId8206664c1a79581e0" w:history="1">
        <w:r>
          <w:rPr>
            <w:rFonts w:ascii="Calibri" w:hAnsi="Calibri" w:eastAsia="Calibri" w:cs="Calibri"/>
            <w:color w:val="0000CC"/>
            <w:sz w:val="22"/>
            <w:szCs w:val="22"/>
            <w:u w:val="single"/>
          </w:rPr>
          <w:t xml:space="preserve">https://doi.org/10.1046/j.1365-2338.2002.d01-223.x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207–216. </w:t>
      </w:r>
      <w:hyperlink r:id="rId5436664c1a795826c" w:history="1">
        <w:r>
          <w:rPr>
            <w:rFonts w:ascii="Calibri" w:hAnsi="Calibri" w:eastAsia="Calibri" w:cs="Calibri"/>
            <w:color w:val="0000CC"/>
            <w:sz w:val="22"/>
            <w:szCs w:val="22"/>
            <w:u w:val="single"/>
          </w:rPr>
          <w:t xml:space="preserve">https://doi.org/10.1111/epp.12658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PM 1/2(32) A1 and A2 Lists of pests recommended for regulation as quarantine pests. </w:t>
      </w:r>
      <w:hyperlink r:id="rId9123664c1a795829d" w:history="1">
        <w:r>
          <w:rPr>
            <w:rFonts w:ascii="Calibri" w:hAnsi="Calibri" w:eastAsia="Calibri" w:cs="Calibri"/>
            <w:color w:val="0000CC"/>
            <w:sz w:val="22"/>
            <w:szCs w:val="22"/>
            <w:u w:val="single"/>
          </w:rPr>
          <w:t xml:space="preserve">https://gd.eppo.int/taxon/PUCCHN/documents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9324664c1a79582ef"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8135664c1a7958350"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(1957) Three species of chrysanthemum rust in Japan and its neighboring districts.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Grouet D (1984) Mise au point sur les possibilités actuelles de lutte contre la rouille blanche du chrysanthème. </w:t>
      </w:r>
      <w:r>
        <w:rPr>
          <w:rFonts w:ascii="Calibri" w:hAnsi="Calibri" w:eastAsia="Calibri" w:cs="Calibri"/>
          <w:i/>
          <w:iCs/>
          <w:color w:val="000000"/>
          <w:sz w:val="22"/>
          <w:szCs w:val="22"/>
        </w:rPr>
        <w:t xml:space="preserve">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33–36.</w:t>
      </w:r>
    </w:p>
    <w:p>
      <w:pPr>
        <w:widowControl w:val="on"/>
        <w:pBdr/>
        <w:spacing w:before="220" w:after="220" w:line="240" w:lineRule="auto"/>
        <w:ind w:left="0" w:right="0"/>
        <w:jc w:val="left"/>
      </w:pPr>
      <w:r>
        <w:rPr>
          <w:rFonts w:ascii="Calibri" w:hAnsi="Calibri" w:eastAsia="Calibri" w:cs="Calibri"/>
          <w:color w:val="000000"/>
          <w:sz w:val="22"/>
          <w:szCs w:val="22"/>
        </w:rPr>
        <w:t xml:space="preserve">Firman ID &amp; Martin PH (1968) White rust of chrysanthemums.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429–442.</w:t>
      </w:r>
    </w:p>
    <w:p>
      <w:pPr>
        <w:widowControl w:val="on"/>
        <w:pBdr/>
        <w:spacing w:before="220" w:after="220" w:line="240" w:lineRule="auto"/>
        <w:ind w:left="0" w:right="0"/>
        <w:jc w:val="left"/>
      </w:pPr>
      <w:r>
        <w:rPr>
          <w:rFonts w:ascii="Calibri" w:hAnsi="Calibri" w:eastAsia="Calibri" w:cs="Calibri"/>
          <w:color w:val="000000"/>
          <w:sz w:val="22"/>
          <w:szCs w:val="22"/>
        </w:rPr>
        <w:t xml:space="preserve">Kapooria RG &amp; Zadoks JC (1973) Morphology and cytology of the promycelium and the basidiospore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236–242. </w:t>
      </w:r>
      <w:hyperlink r:id="rId8966664c1a79584eb" w:history="1">
        <w:r>
          <w:rPr>
            <w:rFonts w:ascii="Calibri" w:hAnsi="Calibri" w:eastAsia="Calibri" w:cs="Calibri"/>
            <w:color w:val="0000CC"/>
            <w:sz w:val="22"/>
            <w:szCs w:val="22"/>
            <w:u w:val="single"/>
          </w:rPr>
          <w:t xml:space="preserve">https://doi.org/10.1007/BF01976669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S, Kumar R, Sriram S, Aswath C, Rao TM &amp; Nair SA (2021) Screening of chrysanthemum (</w:t>
      </w:r>
      <w:r>
        <w:rPr>
          <w:rFonts w:ascii="Calibri" w:hAnsi="Calibri" w:eastAsia="Calibri" w:cs="Calibri"/>
          <w:i/>
          <w:iCs/>
          <w:color w:val="000000"/>
          <w:sz w:val="22"/>
          <w:szCs w:val="22"/>
        </w:rPr>
        <w:t xml:space="preserve">Dendranthema grandiflora</w:t>
      </w:r>
      <w:r>
        <w:rPr>
          <w:rFonts w:ascii="Calibri" w:hAnsi="Calibri" w:eastAsia="Calibri" w:cs="Calibri"/>
          <w:color w:val="000000"/>
          <w:sz w:val="22"/>
          <w:szCs w:val="22"/>
        </w:rPr>
        <w:t xml:space="preserve">) genotypes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293–297. </w:t>
      </w:r>
      <w:hyperlink r:id="rId5795664c1a7958589" w:history="1">
        <w:r>
          <w:rPr>
            <w:rFonts w:ascii="Calibri" w:hAnsi="Calibri" w:eastAsia="Calibri" w:cs="Calibri"/>
            <w:color w:val="0000CC"/>
            <w:sz w:val="22"/>
            <w:szCs w:val="22"/>
            <w:u w:val="single"/>
          </w:rPr>
          <w:t xml:space="preserve">https://doi.org/10.22271/phyto.2021.v10.i2d.13820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G &amp; Singh S (2019) Morphology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occurred in West Bengal.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1995–1998. </w:t>
      </w:r>
      <w:hyperlink r:id="rId7818664c1a795860a" w:history="1">
        <w:r>
          <w:rPr>
            <w:rFonts w:ascii="Calibri" w:hAnsi="Calibri" w:eastAsia="Calibri" w:cs="Calibri"/>
            <w:color w:val="0000CC"/>
            <w:sz w:val="22"/>
            <w:szCs w:val="22"/>
            <w:u w:val="single"/>
          </w:rPr>
          <w:t xml:space="preserve">https://www.phytojournal.com/archives?year=2019&amp;vol=8&amp;issue=2&amp;ArticleId=7970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Munilakshmi R, Reddy BA, Hubballi M, Kumar R, Mahesha B &amp; Ugalat J (2023). Characterization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causing Chrysanthemum rust disease and its management by altering planting date and foliar application of fungicide.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437–445. </w:t>
      </w:r>
      <w:hyperlink r:id="rId9032664c1a7958697" w:history="1">
        <w:r>
          <w:rPr>
            <w:rFonts w:ascii="Calibri" w:hAnsi="Calibri" w:eastAsia="Calibri" w:cs="Calibri"/>
            <w:color w:val="0000CC"/>
            <w:sz w:val="22"/>
            <w:szCs w:val="22"/>
            <w:u w:val="single"/>
          </w:rPr>
          <w:t xml:space="preserve">https://doi.org/10.1007/s42360-022-00574-w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4400664c1a7958706"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Puccinia horiana </w:t>
      </w:r>
      <w:r>
        <w:rPr>
          <w:rFonts w:ascii="Calibri" w:hAnsi="Calibri" w:eastAsia="Calibri" w:cs="Calibri"/>
          <w:color w:val="000000"/>
          <w:sz w:val="22"/>
          <w:szCs w:val="22"/>
        </w:rPr>
        <w:t xml:space="preserve">(PUCCHN) </w:t>
      </w:r>
      <w:hyperlink r:id="rId6229664c1a7958754" w:history="1">
        <w:r>
          <w:rPr>
            <w:rFonts w:ascii="Calibri" w:hAnsi="Calibri" w:eastAsia="Calibri" w:cs="Calibri"/>
            <w:color w:val="0000CC"/>
            <w:sz w:val="22"/>
            <w:szCs w:val="22"/>
            <w:u w:val="single"/>
          </w:rPr>
          <w:t xml:space="preserve">https://rnqp.eppo.int/recommendations/summarysheet_pest?pest=PUCCHN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Sriram S, Kumar GM &amp; Kumawat MK (2020) Evaluation of fungicides for the management of chrysanthemum white rust caused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147–151. </w:t>
      </w:r>
      <w:hyperlink r:id="rId7722664c1a79587e0" w:history="1">
        <w:r>
          <w:rPr>
            <w:rFonts w:ascii="Calibri" w:hAnsi="Calibri" w:eastAsia="Calibri" w:cs="Calibri"/>
            <w:color w:val="0000CC"/>
            <w:sz w:val="22"/>
            <w:szCs w:val="22"/>
            <w:u w:val="single"/>
          </w:rPr>
          <w:t xml:space="preserve">http://dx.doi.org/10.5958/0974-4541.2020.00023.5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Torres DE, Rojas-Martínez RI, Zavaleta-Mejía E, Guevara-Fefer P, Márquez-Guzmán GJ &amp; Pérez-Martínez C (2017)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Cladosporium pseudocladosporioides</w:t>
      </w:r>
      <w:r>
        <w:rPr>
          <w:rFonts w:ascii="Calibri" w:hAnsi="Calibri" w:eastAsia="Calibri" w:cs="Calibri"/>
          <w:color w:val="000000"/>
          <w:sz w:val="22"/>
          <w:szCs w:val="22"/>
        </w:rPr>
        <w:t xml:space="preserve"> as potential new fungal antagonists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e0170782. </w:t>
      </w:r>
      <w:hyperlink r:id="rId3065664c1a79588c2" w:history="1">
        <w:r>
          <w:rPr>
            <w:rFonts w:ascii="Calibri" w:hAnsi="Calibri" w:eastAsia="Calibri" w:cs="Calibri"/>
            <w:color w:val="0000CC"/>
            <w:sz w:val="22"/>
            <w:szCs w:val="22"/>
            <w:u w:val="single"/>
          </w:rPr>
          <w:t xml:space="preserve">https://doi.org/10.1371/journal.pone.0170782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APHIS PPQ (2005) Chrysanthemum white rust (CWR) eradication protocol for nurseries containing plants infected with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hyperlink r:id="rId8393664c1a7958913" w:history="1">
        <w:r>
          <w:rPr>
            <w:rFonts w:ascii="Calibri" w:hAnsi="Calibri" w:eastAsia="Calibri" w:cs="Calibri"/>
            <w:color w:val="0000CC"/>
            <w:sz w:val="22"/>
            <w:szCs w:val="22"/>
            <w:u w:val="single"/>
          </w:rPr>
          <w:t xml:space="preserve">http://www.aphis.usda.gov/plant_health/plant_pest_info/cwr/downloads/cwrplan.pdf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Wang Y, Zeng J, Xia X, Xu Y, Sun J, Gu J, Sun H, Lei H, Chen F, Jiang J &amp; Fang W (2020) Comparative analysis of leaf trichomes, epidermal wax and defense enzymes activities in response to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Horticultural Plant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191–198. </w:t>
      </w:r>
      <w:hyperlink r:id="rId9260664c1a79589eb" w:history="1">
        <w:r>
          <w:rPr>
            <w:rFonts w:ascii="Calibri" w:hAnsi="Calibri" w:eastAsia="Calibri" w:cs="Calibri"/>
            <w:color w:val="0000CC"/>
            <w:sz w:val="22"/>
            <w:szCs w:val="22"/>
            <w:u w:val="single"/>
          </w:rPr>
          <w:t xml:space="preserve">https://doi.org/10.1016/j.hpj.2020.03.006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 JK (1981) Chrysanthemum white rust.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239–242. </w:t>
      </w:r>
      <w:hyperlink r:id="rId2685664c1a7958a7a" w:history="1">
        <w:r>
          <w:rPr>
            <w:rFonts w:ascii="Calibri" w:hAnsi="Calibri" w:eastAsia="Calibri" w:cs="Calibri"/>
            <w:color w:val="0000CC"/>
            <w:sz w:val="22"/>
            <w:szCs w:val="22"/>
            <w:u w:val="single"/>
          </w:rPr>
          <w:t xml:space="preserve">https://doi.org/10.1111/j.1365-2338.1981.tb01930.x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Whipps JM (1993) A review of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disease on chrysanthemum and the potential for its biological control with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(Zimm.) Viégas.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(1), 173–187. </w:t>
      </w:r>
      <w:hyperlink r:id="rId3972664c1a7958b25" w:history="1">
        <w:r>
          <w:rPr>
            <w:rFonts w:ascii="Calibri" w:hAnsi="Calibri" w:eastAsia="Calibri" w:cs="Calibri"/>
            <w:color w:val="0000CC"/>
            <w:sz w:val="22"/>
            <w:szCs w:val="22"/>
            <w:u w:val="single"/>
          </w:rPr>
          <w:t xml:space="preserve">https://doi.org/10.1111/j.1744-7348.1993.tb04025.x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J, Sun J, Xu Y, Chen F, Jiang J, Fang W &amp; Chen S (2013) Variation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among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(10), 1231–1234. </w:t>
      </w:r>
      <w:hyperlink r:id="rId5848664c1a7958bed" w:history="1">
        <w:r>
          <w:rPr>
            <w:rFonts w:ascii="Calibri" w:hAnsi="Calibri" w:eastAsia="Calibri" w:cs="Calibri"/>
            <w:color w:val="0000CC"/>
            <w:sz w:val="22"/>
            <w:szCs w:val="22"/>
            <w:u w:val="single"/>
          </w:rPr>
          <w:t xml:space="preserve">https://doi.org/10.21273/HORTSCI.48.10.1231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Wojdyla AT (2004) Development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on chrysanthemum leaves in relation to chemical compounds and time of their application.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91–102. </w:t>
      </w:r>
      <w:hyperlink r:id="rId5550664c1a7958c90" w:history="1">
        <w:r>
          <w:rPr>
            <w:rFonts w:ascii="Calibri" w:hAnsi="Calibri" w:eastAsia="Calibri" w:cs="Calibri"/>
            <w:color w:val="0000CC"/>
            <w:sz w:val="22"/>
            <w:szCs w:val="22"/>
            <w:u w:val="single"/>
          </w:rPr>
          <w:t xml:space="preserve">https://www.plantprotection.pl/Development-of-Puccinia-horiana-on-chrysanthemum-leaves-in-relation-to-chemical-compounds,89998,0,2.html</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datasheets on pests recommended for regulation. Available online. </w:t>
      </w:r>
      <w:hyperlink r:id="rId2179664c1a7958d4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Puccinia horiana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113-117. </w:t>
      </w:r>
      <w:hyperlink r:id="rId3538664c1a7958f03" w:history="1">
        <w:r>
          <w:rPr>
            <w:rFonts w:ascii="Calibri" w:hAnsi="Calibri" w:eastAsia="Calibri" w:cs="Calibri"/>
            <w:color w:val="0000CC"/>
            <w:sz w:val="22"/>
            <w:szCs w:val="22"/>
            <w:u w:val="single"/>
          </w:rPr>
          <w:t xml:space="preserve">https://onlinelibrary.wiley.com/doi/epdf/10.1111/j.1365-2338.1982.tb01964.x</w:t>
        </w:r>
      </w:hyperlink>
    </w:p>
    <w:p>
      <w:r>
        <w:drawing>
          <wp:inline distT="0" distB="0" distL="0" distR="0">
            <wp:extent cx="1800000" cy="604800"/>
            <wp:docPr id="86502189" name="name1518664c1a7958f8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43664c1a7958f8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27219">
    <w:multiLevelType w:val="hybridMultilevel"/>
    <w:lvl w:ilvl="0" w:tplc="25816179">
      <w:start w:val="1"/>
      <w:numFmt w:val="decimal"/>
      <w:lvlText w:val="%1."/>
      <w:lvlJc w:val="left"/>
      <w:pPr>
        <w:ind w:left="720" w:hanging="360"/>
      </w:pPr>
    </w:lvl>
    <w:lvl w:ilvl="1" w:tplc="25816179" w:tentative="1">
      <w:start w:val="1"/>
      <w:numFmt w:val="lowerLetter"/>
      <w:lvlText w:val="%2."/>
      <w:lvlJc w:val="left"/>
      <w:pPr>
        <w:ind w:left="1440" w:hanging="360"/>
      </w:pPr>
    </w:lvl>
    <w:lvl w:ilvl="2" w:tplc="25816179" w:tentative="1">
      <w:start w:val="1"/>
      <w:numFmt w:val="lowerRoman"/>
      <w:lvlText w:val="%3."/>
      <w:lvlJc w:val="right"/>
      <w:pPr>
        <w:ind w:left="2160" w:hanging="180"/>
      </w:pPr>
    </w:lvl>
    <w:lvl w:ilvl="3" w:tplc="25816179" w:tentative="1">
      <w:start w:val="1"/>
      <w:numFmt w:val="decimal"/>
      <w:lvlText w:val="%4."/>
      <w:lvlJc w:val="left"/>
      <w:pPr>
        <w:ind w:left="2880" w:hanging="360"/>
      </w:pPr>
    </w:lvl>
    <w:lvl w:ilvl="4" w:tplc="25816179" w:tentative="1">
      <w:start w:val="1"/>
      <w:numFmt w:val="lowerLetter"/>
      <w:lvlText w:val="%5."/>
      <w:lvlJc w:val="left"/>
      <w:pPr>
        <w:ind w:left="3600" w:hanging="360"/>
      </w:pPr>
    </w:lvl>
    <w:lvl w:ilvl="5" w:tplc="25816179" w:tentative="1">
      <w:start w:val="1"/>
      <w:numFmt w:val="lowerRoman"/>
      <w:lvlText w:val="%6."/>
      <w:lvlJc w:val="right"/>
      <w:pPr>
        <w:ind w:left="4320" w:hanging="180"/>
      </w:pPr>
    </w:lvl>
    <w:lvl w:ilvl="6" w:tplc="25816179" w:tentative="1">
      <w:start w:val="1"/>
      <w:numFmt w:val="decimal"/>
      <w:lvlText w:val="%7."/>
      <w:lvlJc w:val="left"/>
      <w:pPr>
        <w:ind w:left="5040" w:hanging="360"/>
      </w:pPr>
    </w:lvl>
    <w:lvl w:ilvl="7" w:tplc="25816179" w:tentative="1">
      <w:start w:val="1"/>
      <w:numFmt w:val="lowerLetter"/>
      <w:lvlText w:val="%8."/>
      <w:lvlJc w:val="left"/>
      <w:pPr>
        <w:ind w:left="5760" w:hanging="360"/>
      </w:pPr>
    </w:lvl>
    <w:lvl w:ilvl="8" w:tplc="25816179" w:tentative="1">
      <w:start w:val="1"/>
      <w:numFmt w:val="lowerRoman"/>
      <w:lvlText w:val="%9."/>
      <w:lvlJc w:val="right"/>
      <w:pPr>
        <w:ind w:left="6480" w:hanging="180"/>
      </w:pPr>
    </w:lvl>
  </w:abstractNum>
  <w:abstractNum w:abstractNumId="47527218">
    <w:multiLevelType w:val="hybridMultilevel"/>
    <w:lvl w:ilvl="0" w:tplc="82195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27218">
    <w:abstractNumId w:val="47527218"/>
  </w:num>
  <w:num w:numId="47527219">
    <w:abstractNumId w:val="475272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5336097" Type="http://schemas.microsoft.com/office/2011/relationships/commentsExtended" Target="commentsExtended.xml"/><Relationship Id="rId700150667" Type="http://schemas.microsoft.com/office/2011/relationships/people" Target="people.xml"/><Relationship Id="rId3982664c1a7953ee0" Type="http://schemas.openxmlformats.org/officeDocument/2006/relationships/hyperlink" Target="https://gd.eppo.int/taxon/PUCCHN/" TargetMode="External"/><Relationship Id="rId6639664c1a7953f4a" Type="http://schemas.openxmlformats.org/officeDocument/2006/relationships/hyperlink" Target="https://gd.eppo.int/taxon/PUCCHN/categorization" TargetMode="External"/><Relationship Id="rId7592664c1a795495f" Type="http://schemas.openxmlformats.org/officeDocument/2006/relationships/hyperlink" Target="https://gd.eppo.int/taxon/PUCCHN/photos" TargetMode="External"/><Relationship Id="rId3279664c1a7957e0d" Type="http://schemas.openxmlformats.org/officeDocument/2006/relationships/hyperlink" Target="https://doi.org/10.1016/j.mycres.2009.02.003" TargetMode="External"/><Relationship Id="rId1056664c1a7957e82" Type="http://schemas.openxmlformats.org/officeDocument/2006/relationships/hyperlink" Target="https://doi.org/10.1111/j.1365-3059.1967.tb00398.x" TargetMode="External"/><Relationship Id="rId4056664c1a7957f49" Type="http://schemas.openxmlformats.org/officeDocument/2006/relationships/hyperlink" Target="https://doi.org/10.1088/1755-1315/883/1/012023" TargetMode="External"/><Relationship Id="rId4628664c1a7958027" Type="http://schemas.openxmlformats.org/officeDocument/2006/relationships/hyperlink" Target="https://doi.org/10.1007/s10658-011-9756-8" TargetMode="External"/><Relationship Id="rId6682664c1a795807d" Type="http://schemas.openxmlformats.org/officeDocument/2006/relationships/hyperlink" Target="https://www.consultant.ru/document/cons_doc_LAW_213644/" TargetMode="External"/><Relationship Id="rId3728664c1a7958102" Type="http://schemas.openxmlformats.org/officeDocument/2006/relationships/hyperlink" Target="https://doi.org/10.2903/j.efsa.2013.3069" TargetMode="External"/><Relationship Id="rId8585664c1a7958171" Type="http://schemas.openxmlformats.org/officeDocument/2006/relationships/hyperlink" Target="https://onlinelibrary.wiley.com/doi/epdf/10.1111/j.1365-2338.1998.tb00743.x" TargetMode="External"/><Relationship Id="rId8206664c1a79581e0" Type="http://schemas.openxmlformats.org/officeDocument/2006/relationships/hyperlink" Target="https://doi.org/10.1046/j.1365-2338.2002.d01-223.x" TargetMode="External"/><Relationship Id="rId5436664c1a795826c" Type="http://schemas.openxmlformats.org/officeDocument/2006/relationships/hyperlink" Target="https://doi.org/10.1111/epp.12658" TargetMode="External"/><Relationship Id="rId9123664c1a795829d" Type="http://schemas.openxmlformats.org/officeDocument/2006/relationships/hyperlink" Target="https://gd.eppo.int/taxon/PUCCHN/documents" TargetMode="External"/><Relationship Id="rId9324664c1a79582ef" Type="http://schemas.openxmlformats.org/officeDocument/2006/relationships/hyperlink" Target="https://eur-lex.europa.eu/legal-content/EN/TXT/?uri=CELEX%3A32000L0029&amp;qid=1708597536729" TargetMode="External"/><Relationship Id="rId8135664c1a7958350" Type="http://schemas.openxmlformats.org/officeDocument/2006/relationships/hyperlink" Target="https://eur-lex.europa.eu/eli/reg_impl/2019/2072/oj" TargetMode="External"/><Relationship Id="rId8966664c1a79584eb" Type="http://schemas.openxmlformats.org/officeDocument/2006/relationships/hyperlink" Target="https://doi.org/10.1007/BF01976669" TargetMode="External"/><Relationship Id="rId5795664c1a7958589" Type="http://schemas.openxmlformats.org/officeDocument/2006/relationships/hyperlink" Target="https://doi.org/10.22271/phyto.2021.v10.i2d.13820" TargetMode="External"/><Relationship Id="rId7818664c1a795860a" Type="http://schemas.openxmlformats.org/officeDocument/2006/relationships/hyperlink" Target="https://www.phytojournal.com/archives?year=2019&amp;vol=8&amp;issue=2&amp;ArticleId=7970" TargetMode="External"/><Relationship Id="rId9032664c1a7958697" Type="http://schemas.openxmlformats.org/officeDocument/2006/relationships/hyperlink" Target="https://doi.org/10.1007/s42360-022-00574-w" TargetMode="External"/><Relationship Id="rId4400664c1a7958706" Type="http://schemas.openxmlformats.org/officeDocument/2006/relationships/hyperlink" Target="https://doi.org/10.1111/epp.12500" TargetMode="External"/><Relationship Id="rId6229664c1a7958754" Type="http://schemas.openxmlformats.org/officeDocument/2006/relationships/hyperlink" Target="https://rnqp.eppo.int/recommendations/summarysheet_pest?pest=PUCCHN" TargetMode="External"/><Relationship Id="rId7722664c1a79587e0" Type="http://schemas.openxmlformats.org/officeDocument/2006/relationships/hyperlink" Target="http://dx.doi.org/10.5958/0974-4541.2020.00023.5" TargetMode="External"/><Relationship Id="rId3065664c1a79588c2" Type="http://schemas.openxmlformats.org/officeDocument/2006/relationships/hyperlink" Target="https://doi.org/10.1371/journal.pone.0170782" TargetMode="External"/><Relationship Id="rId8393664c1a7958913" Type="http://schemas.openxmlformats.org/officeDocument/2006/relationships/hyperlink" Target="http://www.aphis.usda.gov/plant_health/plant_pest_info/cwr/downloads/cwrplan.pdf" TargetMode="External"/><Relationship Id="rId9260664c1a79589eb" Type="http://schemas.openxmlformats.org/officeDocument/2006/relationships/hyperlink" Target="https://doi.org/10.1016/j.hpj.2020.03.006" TargetMode="External"/><Relationship Id="rId2685664c1a7958a7a" Type="http://schemas.openxmlformats.org/officeDocument/2006/relationships/hyperlink" Target="https://doi.org/10.1111/j.1365-2338.1981.tb01930.x" TargetMode="External"/><Relationship Id="rId3972664c1a7958b25" Type="http://schemas.openxmlformats.org/officeDocument/2006/relationships/hyperlink" Target="https://doi.org/10.1111/j.1744-7348.1993.tb04025.x" TargetMode="External"/><Relationship Id="rId5848664c1a7958bed" Type="http://schemas.openxmlformats.org/officeDocument/2006/relationships/hyperlink" Target="https://doi.org/10.21273/HORTSCI.48.10.1231" TargetMode="External"/><Relationship Id="rId5550664c1a7958c90" Type="http://schemas.openxmlformats.org/officeDocument/2006/relationships/hyperlink" Target="https://www.plantprotection.pl/Development-of-Puccinia-horiana-on-chrysanthemum-leaves-in-relation-to-chemical-compounds,89998,0,2.html" TargetMode="External"/><Relationship Id="rId2179664c1a7958d49" Type="http://schemas.openxmlformats.org/officeDocument/2006/relationships/hyperlink" Target="https://gd.eppo.int" TargetMode="External"/><Relationship Id="rId3538664c1a7958f03" Type="http://schemas.openxmlformats.org/officeDocument/2006/relationships/hyperlink" Target="https://onlinelibrary.wiley.com/doi/epdf/10.1111/j.1365-2338.1982.tb01964.x" TargetMode="External"/><Relationship Id="rId4246664c1a795480f" Type="http://schemas.openxmlformats.org/officeDocument/2006/relationships/image" Target="media/imgrId4246664c1a795480f.jpg"/><Relationship Id="rId3789664c1a7955e4c" Type="http://schemas.openxmlformats.org/officeDocument/2006/relationships/image" Target="media/imgrId3789664c1a7955e4c.jpg"/><Relationship Id="rId7943664c1a7958f8b" Type="http://schemas.openxmlformats.org/officeDocument/2006/relationships/image" Target="media/imgrId7943664c1a7958f8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