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pruinosus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pruinosus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Pityophthorus pruinosus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Pityophthorus querciperda</w:t>
            </w:r>
            <w:r>
              <w:rPr>
                <w:rFonts w:ascii="Calibri" w:hAnsi="Calibri" w:eastAsia="Calibri" w:cs="Calibri"/>
                <w:color w:val="000000"/>
                <w:position w:val="-3"/>
                <w:sz w:val="22"/>
                <w:szCs w:val="22"/>
              </w:rPr>
              <w:t xml:space="preserve"> Schwarz, </w:t>
            </w:r>
            <w:r>
              <w:rPr>
                <w:rFonts w:ascii="Calibri" w:hAnsi="Calibri" w:eastAsia="Calibri" w:cs="Calibri"/>
                <w:i/>
                <w:iCs/>
                <w:color w:val="000000"/>
                <w:position w:val="-3"/>
                <w:sz w:val="22"/>
                <w:szCs w:val="22"/>
              </w:rPr>
              <w:t xml:space="preserve">Pityophthorus tomentosus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Pseudopityophthorus convexus</w:t>
            </w:r>
            <w:r>
              <w:rPr>
                <w:rFonts w:ascii="Calibri" w:hAnsi="Calibri" w:eastAsia="Calibri" w:cs="Calibri"/>
                <w:color w:val="000000"/>
                <w:position w:val="-3"/>
                <w:sz w:val="22"/>
                <w:szCs w:val="22"/>
              </w:rPr>
              <w:t xml:space="preserve"> Bright, </w:t>
            </w:r>
            <w:r>
              <w:rPr>
                <w:rFonts w:ascii="Calibri" w:hAnsi="Calibri" w:eastAsia="Calibri" w:cs="Calibri"/>
                <w:i/>
                <w:iCs/>
                <w:color w:val="000000"/>
                <w:position w:val="-3"/>
                <w:sz w:val="22"/>
                <w:szCs w:val="22"/>
              </w:rPr>
              <w:t xml:space="preserve">Pseudopityophthorus pulvereus</w:t>
            </w:r>
            <w:r>
              <w:rPr>
                <w:rFonts w:ascii="Calibri" w:hAnsi="Calibri" w:eastAsia="Calibri" w:cs="Calibri"/>
                <w:color w:val="000000"/>
                <w:position w:val="-3"/>
                <w:sz w:val="22"/>
                <w:szCs w:val="22"/>
              </w:rPr>
              <w:t xml:space="preserve"> Blackman, </w:t>
            </w:r>
            <w:r>
              <w:rPr>
                <w:rFonts w:ascii="Calibri" w:hAnsi="Calibri" w:eastAsia="Calibri" w:cs="Calibri"/>
                <w:i/>
                <w:iCs/>
                <w:color w:val="000000"/>
                <w:position w:val="-3"/>
                <w:sz w:val="22"/>
                <w:szCs w:val="22"/>
              </w:rPr>
              <w:t xml:space="preserve">Pseudopityophthorus tropicalis</w:t>
            </w:r>
            <w:r>
              <w:rPr>
                <w:rFonts w:ascii="Calibri" w:hAnsi="Calibri" w:eastAsia="Calibri" w:cs="Calibri"/>
                <w:color w:val="000000"/>
                <w:position w:val="-3"/>
                <w:sz w:val="22"/>
                <w:szCs w:val="22"/>
              </w:rPr>
              <w:t xml:space="preserve"> Wood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81426697ef303f5f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6046697ef303f66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PSDPPR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such as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Q. hondurensis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w:t>
      </w:r>
      <w:r>
        <w:rPr>
          <w:rFonts w:ascii="Calibri" w:hAnsi="Calibri" w:eastAsia="Calibri" w:cs="Calibri"/>
          <w:i/>
          <w:iCs/>
          <w:color w:val="000000"/>
          <w:sz w:val="22"/>
          <w:szCs w:val="22"/>
        </w:rPr>
        <w:t xml:space="preserve">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sapotifolia</w:t>
      </w:r>
      <w:r>
        <w:rPr>
          <w:rFonts w:ascii="Calibri" w:hAnsi="Calibri" w:eastAsia="Calibri" w:cs="Calibri"/>
          <w:color w:val="000000"/>
          <w:sz w:val="22"/>
          <w:szCs w:val="22"/>
        </w:rPr>
        <w:t xml:space="preserve"> (Wood, 1982; Wood and Bright, 1992). Atkinson (2018) also reports </w:t>
      </w:r>
      <w:r>
        <w:rPr>
          <w:rFonts w:ascii="Calibri" w:hAnsi="Calibri" w:eastAsia="Calibri" w:cs="Calibri"/>
          <w:i/>
          <w:iCs/>
          <w:color w:val="000000"/>
          <w:sz w:val="22"/>
          <w:szCs w:val="22"/>
        </w:rPr>
        <w:t xml:space="preserve">Q.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virginiana </w:t>
      </w:r>
      <w:r>
        <w:rPr>
          <w:rFonts w:ascii="Calibri" w:hAnsi="Calibri" w:eastAsia="Calibri" w:cs="Calibri"/>
          <w:color w:val="000000"/>
          <w:sz w:val="22"/>
          <w:szCs w:val="22"/>
        </w:rPr>
        <w:t xml:space="preserve">as hosts. White and red oaks (respectively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are also considered potential hosts (EFSA, 2019). Finally, rare, and apparently non persistent infestations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were found also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(Atkinson, 2018; EFSA,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sapotifolia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pruinosus </w:t>
      </w:r>
      <w:r>
        <w:rPr>
          <w:rFonts w:ascii="Calibri" w:hAnsi="Calibri" w:eastAsia="Calibri" w:cs="Calibri"/>
          <w:color w:val="000000"/>
          <w:sz w:val="22"/>
          <w:szCs w:val="22"/>
        </w:rPr>
        <w:t xml:space="preserve">is native to and widely spread in Central America, including Mexico, Guatemala, Honduras, Nicaragua and in the USA (Wood, 1982; Wood and Bright, 1992; Bright, 2021).</w:t>
      </w:r>
    </w:p>
    <w:p>
      <w:r>
        <w:drawing>
          <wp:inline distT="0" distB="0" distL="0" distR="0">
            <wp:extent cx="6120000" cy="0"/>
            <wp:docPr id="51091864" name="name51066697ef3040b9a" descr="PSDP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PR_distribution_map.jpg"/>
                    <pic:cNvPicPr/>
                  </pic:nvPicPr>
                  <pic:blipFill>
                    <a:blip r:embed="rId56906697ef3040b96"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District of Columbia, Florida, Georgia, Indiana, Louisiana, Maryland, Michigan, Mississippi, Missouri, New Jersey, New York, North Carolina,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Honduras,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is similar in all species of the genus. Overwintering adults emerge from the middle of April to the end of May. Before mating, young adult beetles need to carry out maturation feeding which usually occurs on different parts of healthy and vigorous oaks, such as twig crotches, leaf petioles, bud axils, and immature acorns. After maturation feeding, which takes a few days, adults attack the branches or trunks of dead or weakened oaks; cut or broken branches, limbs and boles are also selected for attack (EFSA, 2019). Adults are very commonly found in cut and broken limbs and branches (Wood, 1982).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average number of eggs per gallery is 41 (Rexrode, 1969). The larvae bores galleries entirely in the phloem, although they usually can be seen on the inner surface of peeled bark. Over half of the parent adults re-emerged after egg gallery construction and oviposition. The re-emerging parent adults can attack, lay eggs, and re-emerge three times (Rexrode, 1969). After five larval instars, pupation occurs in the phloem and cambium. In most of the species’ range, there are two generations per year. Usually, all life stages of the second generation (i.e. eggs, larvae and adults) successfully overwinter, except the pupal stage which is highly vulnerable to low winter temperatures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is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is the occurrence of a large number of small circular entrance holes, which are often hidden in the cracks of the bark, making early detection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1.5-2.4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larger elytral punctures, the stouter, almost scale-like elytral setae of uniform length, a row of declivital scales on interstriae 1 and 3 sometimes being erect and very slightly longer, and by the male frons being plano-convex, with the vestiture usually slightly longer and more abundant (Wood,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2.8 times as long as wide. Frons weakly convex except distinctly, transversely impressed; finely punctured on marginal areas; margins ornamented by a dense brush of long, yellow hair, longest setae arising on vertex exceeding margins. Pronotum with posterior areas smooth, shiny, not at all reticulate, impressed points rather abundant, conspicuous, punctures small, slightly larger than in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a species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Elytra as in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except declivity more broadly convex, slightly flattened, discal punctures coarser, closer, interstriae a little wider than punctures, setae very slightly longer, much stouter, laterally compressed; punctures on declivity smaller and setae stouter than on disc, some individuals with setae on interstriae 1 and 3 slightly longer and erect. Females are similar to males except for frons with vestiture rather sparse, much shorter, confined to a smaller area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may be carried out in EPPO countries through a specific and intensive survey programme, which should be set up especially in those countries which import large quantities of oak wood from North and Central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not yet available. However, as is the case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traps for interception and 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adults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w:t>
      </w:r>
      <w:r>
        <w:rPr>
          <w:rFonts w:ascii="Calibri" w:hAnsi="Calibri" w:eastAsia="Calibri" w:cs="Calibri"/>
          <w:color w:val="000000"/>
          <w:sz w:val="22"/>
          <w:szCs w:val="22"/>
        </w:rPr>
        <w:t xml:space="preserve">may also be trapped using window traps placed in the canopies of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a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 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is often reported to be found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are able to fly actively,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2019; 2021;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 (EPPO, 2021). Nevertheless, through most of their range, neither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nor oak wilt disease are a serious problem for the local forest economy. These woods or forests are of little importance as sources of logs and sawn wood but have high amenity value, especially near bigger towns and cities.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 and because both beetle and the pathogen are favoured by tree pruning, control measures rely principally on the avoidance of pruning during spring, the period of peak susceptibility to the insect and the pathogen. Moreover, chemical and mechanical means focus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for</w:t>
      </w:r>
      <w:r>
        <w:rPr>
          <w:rFonts w:ascii="Calibri" w:hAnsi="Calibri" w:eastAsia="Calibri" w:cs="Calibri"/>
          <w:i/>
          <w:iCs/>
          <w:color w:val="000000"/>
          <w:sz w:val="22"/>
          <w:szCs w:val="22"/>
        </w:rPr>
        <w:t xml:space="preserve"> P. minutissimus</w:t>
      </w:r>
      <w:r>
        <w:rPr>
          <w:rFonts w:ascii="Calibri" w:hAnsi="Calibri" w:eastAsia="Calibri" w:cs="Calibri"/>
          <w:color w:val="000000"/>
          <w:sz w:val="22"/>
          <w:szCs w:val="22"/>
        </w:rPr>
        <w:t xml:space="preserve">, a species ecologically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the major impact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related to its possible role as a vector of the oak wilt disease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reproduces in diseased trees, adults emerge to feed on twigs of healthy trees infecting them, and then breed again in another diseased or dying tree (EFSA 2019). Fresh wounds produced by maturation feeding of callow adults can be found from early spring onwards. Although not available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data concerning the percentage of young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carrying the fungus is very variable. As many as 30% of beetles emerging from trees infected with oak wilt may carry the fungus, especially in spring, but the percentage is more commonly between 0.4 and 2.5%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data recorded for the similar species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support the hypothesis that the relative importance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in the overland transmission of the pathogen in oak species may be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and Central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and Central America, the import into European Union Member States is allowed only following the application of ISPM 15 (IPPC, 2018) protocols which includes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44776697ef306c5e8"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28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(2018)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57156697ef306c6f0"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(2019)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84136697ef306c7dd"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89396697ef306c8d8"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15 Regulation of wood packaging material in international trade. Rome, FAO,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host-derived volatiles as attractants to beetles that bore into hardwoods.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Rexrode, CO (1969) Seasonal development and habits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spp. (Coleoptera: Scolytidae) in southern Ohio.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306-313.</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pruinosus</w:t>
      </w:r>
      <w:r>
        <w:rPr>
          <w:rFonts w:ascii="Calibri" w:hAnsi="Calibri" w:eastAsia="Calibri" w:cs="Calibri"/>
          <w:color w:val="000000"/>
          <w:sz w:val="22"/>
          <w:szCs w:val="22"/>
        </w:rPr>
        <w:t xml:space="preserve">. EPPO datasheets on pests recommended for regulation. Available online. </w:t>
      </w:r>
      <w:hyperlink r:id="rId82156697ef306cf2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47289036" name="name84876697ef306d4f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396697ef306d4f1"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73307">
    <w:multiLevelType w:val="hybridMultilevel"/>
    <w:lvl w:ilvl="0" w:tplc="69656507">
      <w:start w:val="1"/>
      <w:numFmt w:val="decimal"/>
      <w:lvlText w:val="%1."/>
      <w:lvlJc w:val="left"/>
      <w:pPr>
        <w:ind w:left="720" w:hanging="360"/>
      </w:pPr>
    </w:lvl>
    <w:lvl w:ilvl="1" w:tplc="69656507" w:tentative="1">
      <w:start w:val="1"/>
      <w:numFmt w:val="lowerLetter"/>
      <w:lvlText w:val="%2."/>
      <w:lvlJc w:val="left"/>
      <w:pPr>
        <w:ind w:left="1440" w:hanging="360"/>
      </w:pPr>
    </w:lvl>
    <w:lvl w:ilvl="2" w:tplc="69656507" w:tentative="1">
      <w:start w:val="1"/>
      <w:numFmt w:val="lowerRoman"/>
      <w:lvlText w:val="%3."/>
      <w:lvlJc w:val="right"/>
      <w:pPr>
        <w:ind w:left="2160" w:hanging="180"/>
      </w:pPr>
    </w:lvl>
    <w:lvl w:ilvl="3" w:tplc="69656507" w:tentative="1">
      <w:start w:val="1"/>
      <w:numFmt w:val="decimal"/>
      <w:lvlText w:val="%4."/>
      <w:lvlJc w:val="left"/>
      <w:pPr>
        <w:ind w:left="2880" w:hanging="360"/>
      </w:pPr>
    </w:lvl>
    <w:lvl w:ilvl="4" w:tplc="69656507" w:tentative="1">
      <w:start w:val="1"/>
      <w:numFmt w:val="lowerLetter"/>
      <w:lvlText w:val="%5."/>
      <w:lvlJc w:val="left"/>
      <w:pPr>
        <w:ind w:left="3600" w:hanging="360"/>
      </w:pPr>
    </w:lvl>
    <w:lvl w:ilvl="5" w:tplc="69656507" w:tentative="1">
      <w:start w:val="1"/>
      <w:numFmt w:val="lowerRoman"/>
      <w:lvlText w:val="%6."/>
      <w:lvlJc w:val="right"/>
      <w:pPr>
        <w:ind w:left="4320" w:hanging="180"/>
      </w:pPr>
    </w:lvl>
    <w:lvl w:ilvl="6" w:tplc="69656507" w:tentative="1">
      <w:start w:val="1"/>
      <w:numFmt w:val="decimal"/>
      <w:lvlText w:val="%7."/>
      <w:lvlJc w:val="left"/>
      <w:pPr>
        <w:ind w:left="5040" w:hanging="360"/>
      </w:pPr>
    </w:lvl>
    <w:lvl w:ilvl="7" w:tplc="69656507" w:tentative="1">
      <w:start w:val="1"/>
      <w:numFmt w:val="lowerLetter"/>
      <w:lvlText w:val="%8."/>
      <w:lvlJc w:val="left"/>
      <w:pPr>
        <w:ind w:left="5760" w:hanging="360"/>
      </w:pPr>
    </w:lvl>
    <w:lvl w:ilvl="8" w:tplc="69656507" w:tentative="1">
      <w:start w:val="1"/>
      <w:numFmt w:val="lowerRoman"/>
      <w:lvlText w:val="%9."/>
      <w:lvlJc w:val="right"/>
      <w:pPr>
        <w:ind w:left="6480" w:hanging="180"/>
      </w:pPr>
    </w:lvl>
  </w:abstractNum>
  <w:abstractNum w:abstractNumId="37973306">
    <w:multiLevelType w:val="hybridMultilevel"/>
    <w:lvl w:ilvl="0" w:tplc="41123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73306">
    <w:abstractNumId w:val="37973306"/>
  </w:num>
  <w:num w:numId="37973307">
    <w:abstractNumId w:val="379733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6032891" Type="http://schemas.microsoft.com/office/2011/relationships/commentsExtended" Target="commentsExtended.xml"/><Relationship Id="rId566378337" Type="http://schemas.microsoft.com/office/2011/relationships/people" Target="people.xml"/><Relationship Id="rId81426697ef303f5f9" Type="http://schemas.openxmlformats.org/officeDocument/2006/relationships/hyperlink" Target="https://gd.eppo.int/taxon/PSDPPR/" TargetMode="External"/><Relationship Id="rId86046697ef303f663" Type="http://schemas.openxmlformats.org/officeDocument/2006/relationships/hyperlink" Target="https://gd.eppo.int/taxon/PSDPPR/categorization" TargetMode="External"/><Relationship Id="rId44776697ef306c5e8" Type="http://schemas.openxmlformats.org/officeDocument/2006/relationships/hyperlink" Target="http://www.barkbeetles.info/index.php" TargetMode="External"/><Relationship Id="rId57156697ef306c6f0" Type="http://schemas.openxmlformats.org/officeDocument/2006/relationships/hyperlink" Target="https://doi.org/10.2903/j.efsa.2018.5185" TargetMode="External"/><Relationship Id="rId84136697ef306c7dd" Type="http://schemas.openxmlformats.org/officeDocument/2006/relationships/hyperlink" Target="https://doi.org/10.2903/j.efsa.2019.5513" TargetMode="External"/><Relationship Id="rId89396697ef306c8d8" Type="http://schemas.openxmlformats.org/officeDocument/2006/relationships/hyperlink" Target="https://gd.eppo.int/taxon/CERAFA/datasheet" TargetMode="External"/><Relationship Id="rId82156697ef306cf2d" Type="http://schemas.openxmlformats.org/officeDocument/2006/relationships/hyperlink" Target="https://gd.eppo.int" TargetMode="External"/><Relationship Id="rId56906697ef3040b96" Type="http://schemas.openxmlformats.org/officeDocument/2006/relationships/image" Target="media/imgrId56906697ef3040b96.jpg"/><Relationship Id="rId69396697ef306d4f1" Type="http://schemas.openxmlformats.org/officeDocument/2006/relationships/image" Target="media/imgrId69396697ef306d4f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