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litura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litura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Prodenia litura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cluster caterpillar, cotton leafworm, cotton worm, rice cutworm, tobacco caterpillar, tobacco cutworm, tobacco leaf caterpillar, tropical armyworm</w:t>
            </w:r>
            <w:hyperlink r:id="rId75596a5694cfb60e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1546a5694cfb615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PRODLI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166308" name="name58716a5694cfb6825" descr="1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6.jpg"/>
                          <pic:cNvPicPr/>
                        </pic:nvPicPr>
                        <pic:blipFill>
                          <a:blip r:embed="rId70866a5694cfb6824" cstate="print"/>
                          <a:stretch>
                            <a:fillRect/>
                          </a:stretch>
                        </pic:blipFill>
                        <pic:spPr>
                          <a:xfrm>
                            <a:off x="0" y="0"/>
                            <a:ext cx="2160000" cy="1281600"/>
                          </a:xfrm>
                          <a:prstGeom prst="rect">
                            <a:avLst/>
                          </a:prstGeom>
                          <a:ln w="0">
                            <a:noFill/>
                          </a:ln>
                        </pic:spPr>
                      </pic:pic>
                    </a:graphicData>
                  </a:graphic>
                </wp:inline>
              </w:drawing>
            </w:r>
            <w:hyperlink r:id="rId93676a5694cfb691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were regarded as the same species when Aurivillius synonymized </w:t>
      </w:r>
      <w:r>
        <w:rPr>
          <w:rFonts w:ascii="Calibri" w:hAnsi="Calibri" w:eastAsia="Calibri" w:cs="Calibri"/>
          <w:i/>
          <w:iCs/>
          <w:color w:val="000000"/>
          <w:sz w:val="22"/>
          <w:szCs w:val="22"/>
        </w:rPr>
        <w:t xml:space="preserve">Noctua litura</w:t>
      </w:r>
      <w:r>
        <w:rPr>
          <w:rFonts w:ascii="Calibri" w:hAnsi="Calibri" w:eastAsia="Calibri" w:cs="Calibri"/>
          <w:color w:val="000000"/>
          <w:sz w:val="22"/>
          <w:szCs w:val="22"/>
        </w:rPr>
        <w:t xml:space="preserve"> (Fabricius, 1775) and </w:t>
      </w:r>
      <w:r>
        <w:rPr>
          <w:rFonts w:ascii="Calibri" w:hAnsi="Calibri" w:eastAsia="Calibri" w:cs="Calibri"/>
          <w:i/>
          <w:iCs/>
          <w:color w:val="000000"/>
          <w:sz w:val="22"/>
          <w:szCs w:val="22"/>
        </w:rPr>
        <w:t xml:space="preserve">Prodenia littoralis</w:t>
      </w:r>
      <w:r>
        <w:rPr>
          <w:rFonts w:ascii="Calibri" w:hAnsi="Calibri" w:eastAsia="Calibri" w:cs="Calibri"/>
          <w:color w:val="000000"/>
          <w:sz w:val="22"/>
          <w:szCs w:val="22"/>
        </w:rPr>
        <w:t xml:space="preserve"> (Boisduval, 1833) under the name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Fabricius in 1897. Viette (1963) reviewed the species and suggested that there are two distinct species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highly polyphagous (Brown &amp; Dewhurst, 1975, Holloway, 1989). Its host range covers over 40 plant families and at least 120 plant species. Some of the main crop species attacked by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are taro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cotton, flax, groundnut, jute, lucerne, maize, potato, sweet potato, rice, soybean, tea, tobacco. Vegetables and fruits, including several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species, bell pepper, cucurbitaceous vegetables, eggplant,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citrus,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etc.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aromatic and medicinal plants (such as sage, rosemary, mint, marjoram and coriander (Meena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are also important crops attacked by this pest. Other hosts include ornamentals and wild plants. In most of the EPPO region, outdoor crops are not likely to be attacked and most of the potential hosts are ornamentals and vegetables under protected cultivation. In the south of the region, cotton, lucerne, soybean,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several vegetables are potential hosts for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Plectranthus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sesban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currently occurs throughout most of South and East Asia, Oceania, some African islands and Hawaii. It is considered native to South-East Asia and has been introduced into Western Asia, Australia, New-Zealand and most of the Pacific islands.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survive freezing temperatures and it is considered unlikely that the few occurrences reported from Russia are related to establishment outdoors.</w:t>
      </w:r>
    </w:p>
    <w:p>
      <w:r>
        <w:drawing>
          <wp:inline distT="0" distB="0" distL="0" distR="0">
            <wp:extent cx="6120000" cy="3067200"/>
            <wp:docPr id="88464958" name="name70996a5694cfb8bdc" descr="PRODL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LI_distribution_map.jpg"/>
                    <pic:cNvPicPr/>
                  </pic:nvPicPr>
                  <pic:blipFill>
                    <a:blip r:embed="rId15166a5694cfb8b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Reunion, Saint Helena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Brunei Darussalam, Cambodia, China (Anhui, Aomen (Macau), Fujian, Guangdong, Guangxi, Guizhou, Hainan, Henan, Hubei, Hunan, Jiangsu, Jiangxi, Jilin, Shandong, Shanghai, Sichuan, Xianggang (Hong Kong), Yunnan, Zhejiang), Christmas Island, Cocos Islands, India (Andaman and Nicobar Islands, Andhra Pradesh, Assam, Bihar, Chhattisgarh, Delhi, Gujarat, Haryana, Himachal Pradesh, Jammu &amp; Kashmir, Jharkand, Karnataka, Kerala, Madhya Pradesh, Maharashtra, Manipur, Meghalaya, Mizoram, Nagaland, Odisha, Punjab, Rajasthan, Sikkim, Tamil Nadu, Telangana, Uttarakhand, Uttar Pradesh, West Bengal), Indonesia (Irian Jaya, Java, Kalimantan, Maluku, Sulawesi, Sumatra), Iran, Islamic Republic of, Iraq, Japan (Hokkaido, Honshu, Kyushu, Ryukyu Archipelago, Shikoku), Korea, Democratic People's Republic of, Korea, Republic of, Lao People's Democratic Republic, Malaysia (Sabah, Sarawak, West), Maldives, Myanmar, Nepal, Oman, Pakistan, Philippines, Singapore, Sri Lanka, Taiwan, Thailand,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Western Australia), Cook Islands, Fiji, French Polynesia, Guam, Kiribati, Marshall Islands, Micronesia, Federated States of, New Caledonia, New Zealand, Niue, Norfolk Island, Northern Mariana Islands, Palau, Papua New Guinea, Samoa, Solomon Islands, Tonga, Tuvalu, Vanuatu,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2 and 5 days after emergence, females lay between 200 and 4000 eggs, depending on host plant, temperature and relative humidity. The eggs are laid on the underside of the leaves of the host plant in egg masses covered by bristles (scales) from the end of the mother's abdomen. Eggs cannot develop at temperatures below 8°C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larvae require a minimum of 0.9 degree-days to properly develop and daily minimum temperatures below -5°C are lethal (Matsuura &amp; Naito, 1997). Development speed and fecundity increases towards higher temperatures and higher humidity up to a maximum of 35°C (at 75% RH) when oviposition stops (Garad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Hardik &amp; Dolly,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within ca. 4 days under warm conditions (around 25°C), or up to 11-12 days at 15°C. The larvae pass through six instars in 16 days at 30°C. At lower temperatures maturation may take up to 3 months. The young larvae (first to third instar) feed in groups, leaving the epidermis on the other side of the leaf intact. Later, the (4th to 6th instar) larvae disperse and spend the day among leaf litter or in the ground under the host plant, feeding at night and early in the morning.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stage is spent in earthen cells in the soil and lasts about 8 days at 30°C. Longevity of female adults is about 4-10 days with males living up to 16 days (Etman &amp; Hooper, 1980). Adult longevity reduces at higher temperature and lower humidity. Under optimal conditions, the life cycle can be completed in about four weeks. In Japan (Nakasiju &amp; Matsuzaki, 1977), four generations develop between May and October, while in the humid tropics there may be eight to twelve annual generations (Fand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seasonal tropics, several generations develop during the rainy season, while the dry season is spent in the pupal stage.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Etman and Hooper (1980), Garad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Hardik and Dolly (2020), Miyahara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crops, damage arises from extensive feeding by larvae, leading to complete stripping of the plants. Some examples of symptoms include: on cotton, leaves are heavily attacked, and cotton bolls have large holes in them from which yellowish-green to dark-green larval excrement protrudes; on tobacco, leaves develop irregular, brownish-red patches and the stem base may be gnawed off; on maize, larvae damage whorl leaves, bracts and young kernels.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Spherical, somewhat flattened, 0.6 mm in diameter, laid in tight batches and usually covered with hair-like scales from the tip of the abdomen of the female. These typical noctuid eggs contain many ribs (35-65) as goes for all taxa within this genus. The micropylar rosette is flat. Eggs are white at first and usually change colour to pale orange-brown or pink with a pearly shimmer.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larvae are 1–2.5 mm long, the final instar larvae may attain 40–45 mm in length. Larvae are variable in overall colour (blackish-grey to dark-green, becoming reddish-brown or whitish-yellow) and markings. Typically, older larvae have a Y-shaped-marking across the head capsule and thorax shield. Late instars often have dark and light longitudinal bands and two dark semilunar spots dorsolaterally on each abdominal segment, of which the spots on the first and eighth abdominal segments are larger than the others. The spot on the first abdominal segment often interrupts the lateral line running across the spiracula.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have a small yellow dot at the base of the black patch dorsolaterally on the second and third thoracic segment, which distinguishes them from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15-20 mm long, red-brown; cremaster with two small spines. This trait is shared with at least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 eridania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has an extra pair of smaller spines anterodorsally of the cremaster. The spines that make up the cremaster are variable in size, fragile and prone to breakage.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grey-brown body, 15–20 mm long; wingspan 30–38 mm. The forewings are grey to reddish-brown with a strongly variegated pattern and paler lines along the veins. Males usually have an ochreous patch on the forewing and more bluish areas at the wing base and tip. The hindwings are greyish-white with grey margins, often with contrasting dark veins (unlike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which usually has lighter veins). The variability and similarity of the two species often makes it difficult to distinguish them visually and a genital dissection is needed. Females are characterized by a completely sclerotized and elongate ductus bursae (length more than three times the width). The juxta in males is triangular with a narrow base and a pointed process, the ampulla is slightly curved.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discrimination between the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 species and a detailed description of the different stages, see the EPPO Standard PM 7/124 (EPPO, 2015). (Pogue, 2002) reviews the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be used to detect the presence of adults and are the primary method for detecting Lepidoptera. Adults are nocturnal and therefore difficult to detect during the day. Eggs and larval stages can be found on a host plant or commodity, as well as feeding damage to the leaves. Older larvae tend to feed at night and rest on or in the soil at the base of the plant during the day. Pupae cannot be detected on the plant since pupation takes place in the soil. Methods to identify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exist, see EPPO Standard PM 7/124 and references therein (EPPO, 2015). However, reliable morphological identification of immature stages either requires additional information (e.g. origin and host plant) or molecular analysis (van de Vossenberg &amp; van der Straten,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colder climates,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migrates to avoid the cold season. Adults can fly over 30 km over 12 h (in laboratory conditions; 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facilitating dispersion. In international trade, eggs or larvae may be present on planting material, cut flowers or vegetables. Recent findings of the species in the EPPO region originated from glasshouses stocked with plants introduced from South-East Asia.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an extremely harmful pest, the larvae of which defoliates many economically important crops in Southern Asia and the Pacific. In controlled experiments on soybeans in India, crops chemically protected from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other pests yielded over 42% more than crops which were not sprayed (Srivastava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On tobacco, it was estimated that two, four and eight larvae per plant reduced yield by 23-24, 44.2 and 50.4%, respectively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5, 10, 20 and 40 larvae per 100 Chinese cabbage plants resulted in yield losses of 7.6, 16.4, 36.2 and 66.3% respectively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On taro, an average of 4.8 4th-instar larvae per plant reduced yield by 10%, while an average of 2.3 and 1.5 larvae per plant reduced yield of aubergines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in glasshouses also by 10% (Nakasiju &amp; Matsuzaki,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has been reported in relation to various crops in India. Numerous organophosphorus, synthetic pyrethroid and other insecticides have been used, followed by the occurrence of multiple resistance in the target pest (Armes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Ramakrishnan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Zaka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 continued search for other chemical control methods including other insecticides (Ahmad &amp; Gull, 2017) and insect and plant growth regulators (Khatun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Singh, 2001). There is an interest, especially in India, in various antifeedant compounds or extracts (such as azadirachtin) and endophytic fungi.</w:t>
      </w:r>
    </w:p>
    <w:p>
      <w:pPr>
        <w:widowControl w:val="on"/>
        <w:pBdr/>
        <w:spacing w:before="220" w:after="220" w:line="240" w:lineRule="auto"/>
        <w:ind w:left="0" w:right="0"/>
        <w:jc w:val="both"/>
      </w:pPr>
      <w:r>
        <w:rPr>
          <w:rFonts w:ascii="Calibri" w:hAnsi="Calibri" w:eastAsia="Calibri" w:cs="Calibri"/>
          <w:color w:val="000000"/>
          <w:sz w:val="22"/>
          <w:szCs w:val="22"/>
        </w:rPr>
        <w:t xml:space="preserve">Numerous studies have been carried out on possible biological control methods. Natural enemies (parasitoids, predators and diseases) have been extensively documented (e.g. see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nucleopolyhedrosis virus (NPV) has been evaluated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(Bhutia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certain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isolates are effective as a microbial pesticide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fungi and microsporidia have been recorded as parasites (e.g. see Anand &amp; Tiwary, 2009), and entomopathogenic nematodes have been evaluated (Acharya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NPV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commercially available. The same goes for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and several nematode species (such as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which is effective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However, it is unclear whether these biocontrol agents have been implemented as control measures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practice.</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management techniques are gradually being adopted in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control. In these, a combination of the abovementioned chemical and biological control agents are used alongside pheromone lures and traps to catch adults and monitor the population. Additional measures include clean cultivation to expose pupae to natural enemies and the planting of trap crops such as sunflower and taro to attract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(Zhou, 2009). Thakur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found that a combination of entomopathogens (fungi, bacteria and nematodes) can have a synergistic effect on the mortality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Das and Roy (1985) reviewed the use of pheromones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Irradiation has also been proposed as a control measure. Irradiated, sterile adult males are added to a population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could be a viable component in integrated pest management (Seth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this technique does not appear to have been implemented in practice so far.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has been introduced into several countries outside its native range where it has become a major pest to many economically important crops. For example, in northern parts of New Zealand it causes damage to pastures, and it is also known to be a pest in protected cultivation in colder areas of China, India and Japan where it could potentially sustain a viable population for most of the year (Hardik &amp; Dolly, 2020,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Vashisth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survive cold (freezing) winters and requires high humidity to successfully complete its life cycle, limiting the potential of establishment in the EPPO region to a few areas in the Mediterranean. Establishment in the EPPO region under glass may be possible. The species could also exploit outdoor food plants during warmer months and re-enter greenhouses where to avoid adverse conditions during colder periods. It has strong dispersal capabilities, increasing the possibility of (re)introduction into colder areas in summer and potentially rapidly expanding its range with increased temperatures due to climate change. More details on the risk of introduction can be found in the EFSA Pest Categorization (EFSA,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which is similar to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terms of biology and host plant range, is already fairly widespread in Mediterranean countries and has not spread further north (outside of greenhouses). If introduced,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would likely have a similar distribution range in the Mediterranean, where it would be in direct competition with already established populations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This could imply that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easily establish itself outdoors in the presence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though further research would be needed to confirm this. Therefore the main phytosanitary risk for the EPPO region from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its possible introduction into glasshouses, which could occur in most parts of Europe, where it may damage many ornamental and vegetable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the EPPO region is to be avoided regardless of the host plant concerned. Although control with insecticides is possible, there have been many cases of resistance. Biological control alternatives are available and are increasingly being included and tested in integrated pest management plans e.g. see Thakur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Several additional control measures associated to unregulated hosts and pathways could be implemented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This includes growing potential hostplants in isolation from areas with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for at least three months prior to international transportation and temperature treatment of host plants. An existing cold-storage treatment of cut flowers (10 days at &lt; 1.7°C) could be extended to other host plants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Acharya R, Yu Y-S, Shim J-K &amp; Lee K-Y (2020) Virulence of four entomopathogenic nematodes against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104348.</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Ghaffar A &amp; Rafiq M (2013) Host plants of leaf worm, Spodoptera litura (Fabricius)(Lepidoptera: Noctuidae) in Pakistan. </w:t>
      </w:r>
      <w:r>
        <w:rPr>
          <w:rFonts w:ascii="Calibri" w:hAnsi="Calibri" w:eastAsia="Calibri" w:cs="Calibri"/>
          <w:i/>
          <w:iCs/>
          <w:color w:val="000000"/>
          <w:sz w:val="22"/>
          <w:szCs w:val="22"/>
        </w:rPr>
        <w:t xml:space="preserve">Asian Journal of Agriculture and Biology</w:t>
      </w:r>
      <w:r>
        <w:rPr>
          <w:rFonts w:ascii="Calibri" w:hAnsi="Calibri" w:eastAsia="Calibri" w:cs="Calibri"/>
          <w:b/>
          <w:bCs/>
          <w:color w:val="000000"/>
          <w:sz w:val="22"/>
          <w:szCs w:val="22"/>
        </w:rPr>
        <w:t xml:space="preserve"> 1</w:t>
      </w:r>
      <w:r>
        <w:rPr>
          <w:rFonts w:ascii="Calibri" w:hAnsi="Calibri" w:eastAsia="Calibri" w:cs="Calibri"/>
          <w:color w:val="000000"/>
          <w:sz w:val="22"/>
          <w:szCs w:val="22"/>
        </w:rPr>
        <w:t xml:space="preserve">(1), 23-28.</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Gull S (2017) Susceptibility of armyworm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to novel insecticides in Pakistan.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649-661.</w:t>
      </w:r>
    </w:p>
    <w:p>
      <w:pPr>
        <w:widowControl w:val="on"/>
        <w:pBdr/>
        <w:spacing w:before="220" w:after="220" w:line="240" w:lineRule="auto"/>
        <w:ind w:left="0" w:right="0"/>
        <w:jc w:val="left"/>
      </w:pPr>
      <w:r>
        <w:rPr>
          <w:rFonts w:ascii="Calibri" w:hAnsi="Calibri" w:eastAsia="Calibri" w:cs="Calibri"/>
          <w:color w:val="000000"/>
          <w:sz w:val="22"/>
          <w:szCs w:val="22"/>
        </w:rPr>
        <w:t xml:space="preserve">Anand R &amp; Tiwary BN (2009) Pathogenicity of entomopathogenic fungi to eggs and larvae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the common cutworm.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919-929.</w:t>
      </w:r>
    </w:p>
    <w:p>
      <w:pPr>
        <w:widowControl w:val="on"/>
        <w:pBdr/>
        <w:spacing w:before="220" w:after="220" w:line="240" w:lineRule="auto"/>
        <w:ind w:left="0" w:right="0"/>
        <w:jc w:val="left"/>
      </w:pPr>
      <w:r>
        <w:rPr>
          <w:rFonts w:ascii="Calibri" w:hAnsi="Calibri" w:eastAsia="Calibri" w:cs="Calibri"/>
          <w:color w:val="000000"/>
          <w:sz w:val="22"/>
          <w:szCs w:val="22"/>
        </w:rPr>
        <w:t xml:space="preserve">Armes NJ, Wightman JA, Jadhav DR &amp; Ranga Rao GV (1997) Status of insecticide resistance in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in Andhra Pradesh, India. </w:t>
      </w:r>
      <w:r>
        <w:rPr>
          <w:rFonts w:ascii="Calibri" w:hAnsi="Calibri" w:eastAsia="Calibri" w:cs="Calibri"/>
          <w:i/>
          <w:iCs/>
          <w:color w:val="000000"/>
          <w:sz w:val="22"/>
          <w:szCs w:val="22"/>
        </w:rPr>
        <w:t xml:space="preserve">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240-248.</w:t>
      </w:r>
    </w:p>
    <w:p>
      <w:pPr>
        <w:widowControl w:val="on"/>
        <w:pBdr/>
        <w:spacing w:before="220" w:after="220" w:line="240" w:lineRule="auto"/>
        <w:ind w:left="0" w:right="0"/>
        <w:jc w:val="left"/>
      </w:pPr>
      <w:r>
        <w:rPr>
          <w:rFonts w:ascii="Calibri" w:hAnsi="Calibri" w:eastAsia="Calibri" w:cs="Calibri"/>
          <w:color w:val="000000"/>
          <w:sz w:val="22"/>
          <w:szCs w:val="22"/>
        </w:rPr>
        <w:t xml:space="preserve">Bhutia KC, Chakravarthy AK, Doddabasappa B, Narabenchi GB &amp; Lingaraj VK (2012) Evaluation and production of improved formulation of nucleopolyhedrosis virus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 &amp; Dewhurst C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Choi D-S, Kim D-I, Kim S-G, Ko S-J, Kang B-R &amp; Kim S-S (2011) Control thresholds for managing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(Fabricius)(Lepidoptera: Noctuidae) on Chinese Cabbage.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215-220 (in Korean,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Das B &amp; Roy P (1985) Sex pheromone of the tobacco caterpillar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(F.)(Lepidoptera: Noctuidae) and its use in integrated pest management. </w:t>
      </w:r>
      <w:r>
        <w:rPr>
          <w:rFonts w:ascii="Calibri" w:hAnsi="Calibri" w:eastAsia="Calibri" w:cs="Calibri"/>
          <w:i/>
          <w:iCs/>
          <w:color w:val="000000"/>
          <w:sz w:val="22"/>
          <w:szCs w:val="22"/>
        </w:rPr>
        <w:t xml:space="preserve">Journal of Bengal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Malumphy C, Czwienczek E &amp; MacLeod A (2019) Pest categorisation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PM 7/124 (1) Diagnostics.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Etman AA &amp; Hooper G (1980) Developmental and reproductive biology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(F.)(Lepidoptera: Noctuidae).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Fand BB, Sul NT, Bal SK &amp; Minhas PS (2015) Temperature impacts the development and survival of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simulation and visualization of potential population growth in India under warmer temperatures through life cycle modelling and spatial mapping.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e0124682. </w:t>
      </w:r>
      <w:hyperlink r:id="rId98706a5694cfba5be" w:history="1">
        <w:r>
          <w:rPr>
            <w:rFonts w:ascii="Calibri" w:hAnsi="Calibri" w:eastAsia="Calibri" w:cs="Calibri"/>
            <w:color w:val="0000CC"/>
            <w:sz w:val="22"/>
            <w:szCs w:val="22"/>
            <w:u w:val="single"/>
          </w:rPr>
          <w:t xml:space="preserve">https://doi.org/10.1371/journal.pone.0124682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Garad G, Shivpuje P &amp; Bilapate G (1984) Life fecundity tables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on different hosts. </w:t>
      </w:r>
      <w:r>
        <w:rPr>
          <w:rFonts w:ascii="Calibri" w:hAnsi="Calibri" w:eastAsia="Calibri" w:cs="Calibri"/>
          <w:i/>
          <w:iCs/>
          <w:color w:val="000000"/>
          <w:sz w:val="22"/>
          <w:szCs w:val="22"/>
        </w:rPr>
        <w:t xml:space="preserve">Proceedings: Animal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Hardik P &amp; Dolly K (2020) Effect of abiotic factors on the life cycle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1775 (Lepidoptera: Noctuidae). </w:t>
      </w:r>
      <w:r>
        <w:rPr>
          <w:rFonts w:ascii="Calibri" w:hAnsi="Calibri" w:eastAsia="Calibri" w:cs="Calibri"/>
          <w:i/>
          <w:iCs/>
          <w:color w:val="000000"/>
          <w:sz w:val="22"/>
          <w:szCs w:val="22"/>
        </w:rPr>
        <w:t xml:space="preserve">Applied Ecology and Environmental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Holloway JD (1989) The moths of Borneo: family Noctuidae, trifine subfamilies: Noctuinae, Heliothinae, Hadeninae, Acronictinae, Amphipyrinae, Agaristinae. </w:t>
      </w:r>
      <w:r>
        <w:rPr>
          <w:rFonts w:ascii="Calibri" w:hAnsi="Calibri" w:eastAsia="Calibri" w:cs="Calibri"/>
          <w:i/>
          <w:iCs/>
          <w:color w:val="000000"/>
          <w:sz w:val="22"/>
          <w:szCs w:val="22"/>
        </w:rPr>
        <w:t xml:space="preserve">Malayan Nature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57-228.</w:t>
      </w:r>
    </w:p>
    <w:p>
      <w:pPr>
        <w:widowControl w:val="on"/>
        <w:pBdr/>
        <w:spacing w:before="220" w:after="220" w:line="240" w:lineRule="auto"/>
        <w:ind w:left="0" w:right="0"/>
        <w:jc w:val="left"/>
      </w:pPr>
      <w:r>
        <w:rPr>
          <w:rFonts w:ascii="Calibri" w:hAnsi="Calibri" w:eastAsia="Calibri" w:cs="Calibri"/>
          <w:color w:val="000000"/>
          <w:sz w:val="22"/>
          <w:szCs w:val="22"/>
        </w:rPr>
        <w:t xml:space="preserve">Khatun MR, Das G &amp; Ahmed KS (2017) Potentiality of buprofezin, an insect growth regulator on the mortality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736-740.</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H &amp; Naito A (1997) Studies on the cold-hardiness and overwintering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 VI. Possible overwintering areas predicted from meteorological data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H, Naito A, Kikuchi A &amp; Uematsu S (1992) Studies on the cold-hardiness and overwintering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V. Possibility of larval and pupal overwintering at the Southern extremity of the Boso Peninsula.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37-43 (in Japanese,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Meena N, Lal G, Meena R, Harisha C &amp; Meena S (2017) Pest scenario of coriander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L.) and population dynamics in semi-arid region of Rajasthan. </w:t>
      </w:r>
      <w:r>
        <w:rPr>
          <w:rFonts w:ascii="Calibri" w:hAnsi="Calibri" w:eastAsia="Calibri" w:cs="Calibri"/>
          <w:i/>
          <w:iCs/>
          <w:color w:val="000000"/>
          <w:sz w:val="22"/>
          <w:szCs w:val="22"/>
        </w:rPr>
        <w:t xml:space="preserve">International Journal of 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779-783.</w:t>
      </w:r>
    </w:p>
    <w:p>
      <w:pPr>
        <w:widowControl w:val="on"/>
        <w:pBdr/>
        <w:spacing w:before="220" w:after="220" w:line="240" w:lineRule="auto"/>
        <w:ind w:left="0" w:right="0"/>
        <w:jc w:val="left"/>
      </w:pPr>
      <w:r>
        <w:rPr>
          <w:rFonts w:ascii="Calibri" w:hAnsi="Calibri" w:eastAsia="Calibri" w:cs="Calibri"/>
          <w:color w:val="000000"/>
          <w:sz w:val="22"/>
          <w:szCs w:val="22"/>
        </w:rPr>
        <w:t xml:space="preserve">Miyahara Y, Wakikado T &amp; Tanaka A (1971) Seasonal changes in the number and size of the egg masses of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139-143 (in Japanese,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Nakasiju F &amp; Matsuzaki T (1977) The control threshold density of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on eggplants and sweet peppers in vinyl-houses.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184-189.</w:t>
      </w:r>
    </w:p>
    <w:p>
      <w:pPr>
        <w:widowControl w:val="on"/>
        <w:pBdr/>
        <w:spacing w:before="220" w:after="220" w:line="240" w:lineRule="auto"/>
        <w:ind w:left="0" w:right="0"/>
        <w:jc w:val="left"/>
      </w:pPr>
      <w:r>
        <w:rPr>
          <w:rFonts w:ascii="Calibri" w:hAnsi="Calibri" w:eastAsia="Calibri" w:cs="Calibri"/>
          <w:color w:val="000000"/>
          <w:sz w:val="22"/>
          <w:szCs w:val="22"/>
        </w:rPr>
        <w:t xml:space="preserve">Patel AS, Shelat HN &amp; Patel HK (2018) Isolation and insecticidal potential of native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1330-1339.</w:t>
      </w:r>
    </w:p>
    <w:p>
      <w:pPr>
        <w:widowControl w:val="on"/>
        <w:pBdr/>
        <w:spacing w:before="220" w:after="220" w:line="240" w:lineRule="auto"/>
        <w:ind w:left="0" w:right="0"/>
        <w:jc w:val="left"/>
      </w:pPr>
      <w:r>
        <w:rPr>
          <w:rFonts w:ascii="Calibri" w:hAnsi="Calibri" w:eastAsia="Calibri" w:cs="Calibri"/>
          <w:color w:val="000000"/>
          <w:sz w:val="22"/>
          <w:szCs w:val="22"/>
        </w:rPr>
        <w:t xml:space="preserve">Patel H, Patel N &amp; Patel V (1971) Quantitative estimation of damage to tobacco caused by the leaf eating caterpillar,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PANS Pest Articles &amp; News Summaries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202-205.</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w:t>
      </w:r>
      <w:r>
        <w:rPr>
          <w:rFonts w:ascii="Calibri" w:hAnsi="Calibri" w:eastAsia="Calibri" w:cs="Calibri"/>
          <w:i/>
          <w:iCs/>
          <w:color w:val="000000"/>
          <w:sz w:val="22"/>
          <w:szCs w:val="22"/>
        </w:rPr>
        <w:t xml:space="preserve">A world revision of the genus Spodoptera Guenée:(Lepidoptera: Noctuidae)</w:t>
      </w:r>
      <w:r>
        <w:rPr>
          <w:rFonts w:ascii="Calibri" w:hAnsi="Calibri" w:eastAsia="Calibri" w:cs="Calibri"/>
          <w:color w:val="000000"/>
          <w:sz w:val="22"/>
          <w:szCs w:val="22"/>
        </w:rPr>
        <w:t xml:space="preserve">. American Entomological Society Philadelphia.</w:t>
      </w:r>
    </w:p>
    <w:p>
      <w:pPr>
        <w:widowControl w:val="on"/>
        <w:pBdr/>
        <w:spacing w:before="220" w:after="220" w:line="240" w:lineRule="auto"/>
        <w:ind w:left="0" w:right="0"/>
        <w:jc w:val="left"/>
      </w:pPr>
      <w:r>
        <w:rPr>
          <w:rFonts w:ascii="Calibri" w:hAnsi="Calibri" w:eastAsia="Calibri" w:cs="Calibri"/>
          <w:color w:val="000000"/>
          <w:sz w:val="22"/>
          <w:szCs w:val="22"/>
        </w:rPr>
        <w:t xml:space="preserve">Ramakrishnan N, Saxena V &amp; Dhingra S (1984) Insecticide-resistance in the population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in Andhra Pradesh.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23-27.</w:t>
      </w:r>
    </w:p>
    <w:p>
      <w:pPr>
        <w:widowControl w:val="on"/>
        <w:pBdr/>
        <w:spacing w:before="220" w:after="220" w:line="240" w:lineRule="auto"/>
        <w:ind w:left="0" w:right="0"/>
        <w:jc w:val="left"/>
      </w:pPr>
      <w:r>
        <w:rPr>
          <w:rFonts w:ascii="Calibri" w:hAnsi="Calibri" w:eastAsia="Calibri" w:cs="Calibri"/>
          <w:color w:val="000000"/>
          <w:sz w:val="22"/>
          <w:szCs w:val="22"/>
        </w:rPr>
        <w:t xml:space="preserve">Rao GVR, Wightman JA &amp; Rao DVR (1989) Threshold temperatures and thermal requirements for the development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548-551.</w:t>
      </w:r>
    </w:p>
    <w:p>
      <w:pPr>
        <w:widowControl w:val="on"/>
        <w:pBdr/>
        <w:spacing w:before="220" w:after="220" w:line="240" w:lineRule="auto"/>
        <w:ind w:left="0" w:right="0"/>
        <w:jc w:val="left"/>
      </w:pPr>
      <w:r>
        <w:rPr>
          <w:rFonts w:ascii="Calibri" w:hAnsi="Calibri" w:eastAsia="Calibri" w:cs="Calibri"/>
          <w:color w:val="000000"/>
          <w:sz w:val="22"/>
          <w:szCs w:val="22"/>
        </w:rPr>
        <w:t xml:space="preserve">Rao GVR, Wightman JA &amp; Rao DVR (1993) World review of the natural enemies and diseases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w:t>
      </w:r>
      <w:r>
        <w:rPr>
          <w:rFonts w:ascii="Calibri" w:hAnsi="Calibri" w:eastAsia="Calibri" w:cs="Calibri"/>
          <w:i/>
          <w:iCs/>
          <w:color w:val="000000"/>
          <w:sz w:val="22"/>
          <w:szCs w:val="22"/>
        </w:rPr>
        <w:t xml:space="preserve">Insect Science and Its Application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273-284.</w:t>
      </w:r>
    </w:p>
    <w:p>
      <w:pPr>
        <w:widowControl w:val="on"/>
        <w:pBdr/>
        <w:spacing w:before="220" w:after="220" w:line="240" w:lineRule="auto"/>
        <w:ind w:left="0" w:right="0"/>
        <w:jc w:val="left"/>
      </w:pPr>
      <w:r>
        <w:rPr>
          <w:rFonts w:ascii="Calibri" w:hAnsi="Calibri" w:eastAsia="Calibri" w:cs="Calibri"/>
          <w:color w:val="000000"/>
          <w:sz w:val="22"/>
          <w:szCs w:val="22"/>
        </w:rPr>
        <w:t xml:space="preserve">Ray DP, Dutta D, Srivastava S, Kumar B &amp; Saha S (2013) Insect growth regulatory activity of </w:t>
      </w:r>
      <w:r>
        <w:rPr>
          <w:rFonts w:ascii="Calibri" w:hAnsi="Calibri" w:eastAsia="Calibri" w:cs="Calibri"/>
          <w:i/>
          <w:iCs/>
          <w:color w:val="000000"/>
          <w:sz w:val="22"/>
          <w:szCs w:val="22"/>
        </w:rPr>
        <w:t xml:space="preserve">Thevetia nerifolia</w:t>
      </w:r>
      <w:r>
        <w:rPr>
          <w:rFonts w:ascii="Calibri" w:hAnsi="Calibri" w:eastAsia="Calibri" w:cs="Calibri"/>
          <w:color w:val="000000"/>
          <w:sz w:val="22"/>
          <w:szCs w:val="22"/>
        </w:rPr>
        <w:t xml:space="preserve"> Juss. against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 </w:t>
      </w:r>
      <w:r>
        <w:rPr>
          <w:rFonts w:ascii="Calibri" w:hAnsi="Calibri" w:eastAsia="Calibri" w:cs="Calibri"/>
          <w:i/>
          <w:iCs/>
          <w:color w:val="000000"/>
          <w:sz w:val="22"/>
          <w:szCs w:val="22"/>
        </w:rPr>
        <w:t xml:space="preserve">Journal of Applied Botany and Food Quality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212.</w:t>
      </w:r>
    </w:p>
    <w:p>
      <w:pPr>
        <w:widowControl w:val="on"/>
        <w:pBdr/>
        <w:spacing w:before="220" w:after="220" w:line="240" w:lineRule="auto"/>
        <w:ind w:left="0" w:right="0"/>
        <w:jc w:val="left"/>
      </w:pPr>
      <w:r>
        <w:rPr>
          <w:rFonts w:ascii="Calibri" w:hAnsi="Calibri" w:eastAsia="Calibri" w:cs="Calibri"/>
          <w:color w:val="000000"/>
          <w:sz w:val="22"/>
          <w:szCs w:val="22"/>
        </w:rPr>
        <w:t xml:space="preserve">Seth RK, Khan Z, Rao DK &amp; Zarin M (2016) Flight activity and mating behavior of irradiated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males and their F1 progeny for use of inherited sterility in pest management approaches.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119-130, 112.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H (2001) Role of plant growth regulators on the developmental profile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Effect of plant growth stimulants.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329-339.</w:t>
      </w:r>
    </w:p>
    <w:p>
      <w:pPr>
        <w:widowControl w:val="on"/>
        <w:pBdr/>
        <w:spacing w:before="220" w:after="220" w:line="240" w:lineRule="auto"/>
        <w:ind w:left="0" w:right="0"/>
        <w:jc w:val="left"/>
      </w:pPr>
      <w:r>
        <w:rPr>
          <w:rFonts w:ascii="Calibri" w:hAnsi="Calibri" w:eastAsia="Calibri" w:cs="Calibri"/>
          <w:color w:val="000000"/>
          <w:sz w:val="22"/>
          <w:szCs w:val="22"/>
        </w:rPr>
        <w:t xml:space="preserve">Srivastava O, Malik D &amp; Thakur R (1971) Estimation of losses in yield due to the attack of arthropod pests in soybean. </w:t>
      </w:r>
      <w:r>
        <w:rPr>
          <w:rFonts w:ascii="Calibri" w:hAnsi="Calibri" w:eastAsia="Calibri" w:cs="Calibri"/>
          <w:i/>
          <w:iCs/>
          <w:color w:val="000000"/>
          <w:sz w:val="22"/>
          <w:szCs w:val="22"/>
        </w:rPr>
        <w:t xml:space="preserve">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224-225.</w:t>
      </w:r>
    </w:p>
    <w:p>
      <w:pPr>
        <w:widowControl w:val="on"/>
        <w:pBdr/>
        <w:spacing w:before="220" w:after="220" w:line="240" w:lineRule="auto"/>
        <w:ind w:left="0" w:right="0"/>
        <w:jc w:val="left"/>
      </w:pPr>
      <w:r>
        <w:rPr>
          <w:rFonts w:ascii="Calibri" w:hAnsi="Calibri" w:eastAsia="Calibri" w:cs="Calibri"/>
          <w:color w:val="000000"/>
          <w:sz w:val="22"/>
          <w:szCs w:val="22"/>
        </w:rPr>
        <w:t xml:space="preserve">Thakur N, Tomar P, Sharma S, Kaur S, Sharma S, Yadav AN &amp; Hesham AE-L (2022) Synergistic effect of entomopathogens against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under laboratory and greenhouse conditions. </w:t>
      </w:r>
      <w:r>
        <w:rPr>
          <w:rFonts w:ascii="Calibri" w:hAnsi="Calibri" w:eastAsia="Calibri" w:cs="Calibri"/>
          <w:i/>
          <w:iCs/>
          <w:color w:val="000000"/>
          <w:sz w:val="22"/>
          <w:szCs w:val="22"/>
        </w:rPr>
        <w:t xml:space="preserve">Egyptian Journal of Biological Pest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Tu YG, Wu KM, Xue FS &amp; Lu YH (2010) Laboratory evaluation of flight activity of the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53-59.</w:t>
      </w:r>
    </w:p>
    <w:p>
      <w:pPr>
        <w:widowControl w:val="on"/>
        <w:pBdr/>
        <w:spacing w:before="220" w:after="220" w:line="240" w:lineRule="auto"/>
        <w:ind w:left="0" w:right="0"/>
        <w:jc w:val="left"/>
      </w:pPr>
      <w:r>
        <w:rPr>
          <w:rFonts w:ascii="Calibri" w:hAnsi="Calibri" w:eastAsia="Calibri" w:cs="Calibri"/>
          <w:color w:val="000000"/>
          <w:sz w:val="22"/>
          <w:szCs w:val="22"/>
        </w:rPr>
        <w:t xml:space="preserve">Ullah MI, Arshad M, Afzal M, Khalid S, Saleem M, Mustafa I, Iftikhar Y, Molina-Ochoa J &amp; Foster JE (2016) Incidence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and its feeding potential on various citrus (Sapindales: Rutaceae) cultivars in the Sargodha Region of Pakistan.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(2), 192-195.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 &amp; van der Straten MJ (2014) Development and validation of real-time PCR tests for the identification of four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1643-1654.</w:t>
      </w:r>
    </w:p>
    <w:p>
      <w:pPr>
        <w:widowControl w:val="on"/>
        <w:pBdr/>
        <w:spacing w:before="220" w:after="220" w:line="240" w:lineRule="auto"/>
        <w:ind w:left="0" w:right="0"/>
        <w:jc w:val="left"/>
      </w:pPr>
      <w:r>
        <w:rPr>
          <w:rFonts w:ascii="Calibri" w:hAnsi="Calibri" w:eastAsia="Calibri" w:cs="Calibri"/>
          <w:color w:val="000000"/>
          <w:sz w:val="22"/>
          <w:szCs w:val="22"/>
        </w:rPr>
        <w:t xml:space="preserve">Vashisth S, Chandel Y &amp; Kumar S (2012) Biology and damage potential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on some important greenhouse crops.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150-154.</w:t>
      </w:r>
    </w:p>
    <w:p>
      <w:pPr>
        <w:widowControl w:val="on"/>
        <w:pBdr/>
        <w:spacing w:before="220" w:after="220" w:line="240" w:lineRule="auto"/>
        <w:ind w:left="0" w:right="0"/>
        <w:jc w:val="left"/>
      </w:pPr>
      <w:r>
        <w:rPr>
          <w:rFonts w:ascii="Calibri" w:hAnsi="Calibri" w:eastAsia="Calibri" w:cs="Calibri"/>
          <w:color w:val="000000"/>
          <w:sz w:val="22"/>
          <w:szCs w:val="22"/>
        </w:rPr>
        <w:t xml:space="preserve">Viette P (1963) Le complexe de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(Fabricius) dans la région malgache (Lép. Noctuidae). </w:t>
      </w:r>
      <w:r>
        <w:rPr>
          <w:rFonts w:ascii="Calibri" w:hAnsi="Calibri" w:eastAsia="Calibri" w:cs="Calibri"/>
          <w:i/>
          <w:iCs/>
          <w:color w:val="000000"/>
          <w:sz w:val="22"/>
          <w:szCs w:val="22"/>
        </w:rPr>
        <w:t xml:space="preserve">Publications de la Société Linnéenne de Lyon</w:t>
      </w:r>
      <w:r>
        <w:rPr>
          <w:rFonts w:ascii="Calibri" w:hAnsi="Calibri" w:eastAsia="Calibri" w:cs="Calibri"/>
          <w:color w:val="000000"/>
          <w:sz w:val="22"/>
          <w:szCs w:val="22"/>
        </w:rPr>
        <w:t xml:space="preserve">, 145-148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Wen H, Hao H, Lu F &amp; Liou T (2007) Survey of insect pests on herbs in southern Taiwan.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X, Shahid Arain M, Lin Y, Gu X, Zhang L, Li J &amp; Han R (2020) Efficacy of entomopathogenic nematodes against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64-72.</w:t>
      </w:r>
    </w:p>
    <w:p>
      <w:pPr>
        <w:widowControl w:val="on"/>
        <w:pBdr/>
        <w:spacing w:before="220" w:after="220" w:line="240" w:lineRule="auto"/>
        <w:ind w:left="0" w:right="0"/>
        <w:jc w:val="left"/>
      </w:pPr>
      <w:r>
        <w:rPr>
          <w:rFonts w:ascii="Calibri" w:hAnsi="Calibri" w:eastAsia="Calibri" w:cs="Calibri"/>
          <w:color w:val="000000"/>
          <w:sz w:val="22"/>
          <w:szCs w:val="22"/>
        </w:rPr>
        <w:t xml:space="preserve">Zaka SM, Abbas N, Shad SA &amp; Shah RM (2014) Effect of emamectin benzoate on life history traits and relative fitness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493-501.</w:t>
      </w:r>
    </w:p>
    <w:p>
      <w:pPr>
        <w:widowControl w:val="on"/>
        <w:pBdr/>
        <w:spacing w:before="220" w:after="220" w:line="240" w:lineRule="auto"/>
        <w:ind w:left="0" w:right="0"/>
        <w:jc w:val="left"/>
      </w:pPr>
      <w:r>
        <w:rPr>
          <w:rFonts w:ascii="Calibri" w:hAnsi="Calibri" w:eastAsia="Calibri" w:cs="Calibri"/>
          <w:color w:val="000000"/>
          <w:sz w:val="22"/>
          <w:szCs w:val="22"/>
        </w:rPr>
        <w:t xml:space="preserve">Zhou Z (2009) A review on control of tobacco caterpillar,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Chinese Bulletin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354-361 (in Chinese, English abstract).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hyperlink r:id="rId73536a5694cfbb53e" w:history="1">
        <w:r>
          <w:rPr>
            <w:rFonts w:ascii="Calibri" w:hAnsi="Calibri" w:eastAsia="Calibri" w:cs="Calibri"/>
            <w:color w:val="0000CC"/>
            <w:sz w:val="22"/>
            <w:szCs w:val="22"/>
            <w:u w:val="single"/>
          </w:rPr>
          <w:t xml:space="preserve">https://www.cabi.org/isc/datasheet/44520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hyperlink r:id="rId50966a5694cfbb5b2" w:history="1">
        <w:r>
          <w:rPr>
            <w:rFonts w:ascii="Calibri" w:hAnsi="Calibri" w:eastAsia="Calibri" w:cs="Calibri"/>
            <w:color w:val="0000CC"/>
            <w:sz w:val="22"/>
            <w:szCs w:val="22"/>
            <w:u w:val="single"/>
          </w:rPr>
          <w:t xml:space="preserve">https://efsa.onlinelibrary.wiley.com/doi/10.2903/j.efsa.2019.5765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Jan E.J. Mertens and Tom H. van Noort of the NPPO of the Netherlands,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EPPO datasheets on pests recommended for regulation. Available online. </w:t>
      </w:r>
      <w:hyperlink r:id="rId38286a5694cfbb67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42: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142-146. </w:t>
      </w:r>
      <w:hyperlink r:id="rId20136a5694cfbb9f8" w:history="1">
        <w:r>
          <w:rPr>
            <w:rFonts w:ascii="Calibri" w:hAnsi="Calibri" w:eastAsia="Calibri" w:cs="Calibri"/>
            <w:color w:val="0000CC"/>
            <w:sz w:val="22"/>
            <w:szCs w:val="22"/>
            <w:u w:val="single"/>
          </w:rPr>
          <w:t xml:space="preserve">https://doi.org/10.1111/j.1365-2338.1979.tb02463.x</w:t>
        </w:r>
      </w:hyperlink>
      <w:r>
        <w:rPr>
          <w:rFonts w:ascii="Calibri" w:hAnsi="Calibri" w:eastAsia="Calibri" w:cs="Calibri"/>
          <w:color w:val="000000"/>
          <w:sz w:val="22"/>
          <w:szCs w:val="22"/>
        </w:rPr>
        <w:t xml:space="preserve"> </w:t>
      </w:r>
    </w:p>
    <w:p>
      <w:r>
        <w:drawing>
          <wp:inline distT="0" distB="0" distL="0" distR="0">
            <wp:extent cx="1800000" cy="604800"/>
            <wp:docPr id="81048179" name="name81876a5694cfbbbc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946a5694cfbbbc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567795">
    <w:multiLevelType w:val="hybridMultilevel"/>
    <w:lvl w:ilvl="0" w:tplc="97976353">
      <w:start w:val="1"/>
      <w:numFmt w:val="decimal"/>
      <w:lvlText w:val="%1."/>
      <w:lvlJc w:val="left"/>
      <w:pPr>
        <w:ind w:left="720" w:hanging="360"/>
      </w:pPr>
    </w:lvl>
    <w:lvl w:ilvl="1" w:tplc="97976353" w:tentative="1">
      <w:start w:val="1"/>
      <w:numFmt w:val="lowerLetter"/>
      <w:lvlText w:val="%2."/>
      <w:lvlJc w:val="left"/>
      <w:pPr>
        <w:ind w:left="1440" w:hanging="360"/>
      </w:pPr>
    </w:lvl>
    <w:lvl w:ilvl="2" w:tplc="97976353" w:tentative="1">
      <w:start w:val="1"/>
      <w:numFmt w:val="lowerRoman"/>
      <w:lvlText w:val="%3."/>
      <w:lvlJc w:val="right"/>
      <w:pPr>
        <w:ind w:left="2160" w:hanging="180"/>
      </w:pPr>
    </w:lvl>
    <w:lvl w:ilvl="3" w:tplc="97976353" w:tentative="1">
      <w:start w:val="1"/>
      <w:numFmt w:val="decimal"/>
      <w:lvlText w:val="%4."/>
      <w:lvlJc w:val="left"/>
      <w:pPr>
        <w:ind w:left="2880" w:hanging="360"/>
      </w:pPr>
    </w:lvl>
    <w:lvl w:ilvl="4" w:tplc="97976353" w:tentative="1">
      <w:start w:val="1"/>
      <w:numFmt w:val="lowerLetter"/>
      <w:lvlText w:val="%5."/>
      <w:lvlJc w:val="left"/>
      <w:pPr>
        <w:ind w:left="3600" w:hanging="360"/>
      </w:pPr>
    </w:lvl>
    <w:lvl w:ilvl="5" w:tplc="97976353" w:tentative="1">
      <w:start w:val="1"/>
      <w:numFmt w:val="lowerRoman"/>
      <w:lvlText w:val="%6."/>
      <w:lvlJc w:val="right"/>
      <w:pPr>
        <w:ind w:left="4320" w:hanging="180"/>
      </w:pPr>
    </w:lvl>
    <w:lvl w:ilvl="6" w:tplc="97976353" w:tentative="1">
      <w:start w:val="1"/>
      <w:numFmt w:val="decimal"/>
      <w:lvlText w:val="%7."/>
      <w:lvlJc w:val="left"/>
      <w:pPr>
        <w:ind w:left="5040" w:hanging="360"/>
      </w:pPr>
    </w:lvl>
    <w:lvl w:ilvl="7" w:tplc="97976353" w:tentative="1">
      <w:start w:val="1"/>
      <w:numFmt w:val="lowerLetter"/>
      <w:lvlText w:val="%8."/>
      <w:lvlJc w:val="left"/>
      <w:pPr>
        <w:ind w:left="5760" w:hanging="360"/>
      </w:pPr>
    </w:lvl>
    <w:lvl w:ilvl="8" w:tplc="97976353" w:tentative="1">
      <w:start w:val="1"/>
      <w:numFmt w:val="lowerRoman"/>
      <w:lvlText w:val="%9."/>
      <w:lvlJc w:val="right"/>
      <w:pPr>
        <w:ind w:left="6480" w:hanging="180"/>
      </w:pPr>
    </w:lvl>
  </w:abstractNum>
  <w:abstractNum w:abstractNumId="38567794">
    <w:multiLevelType w:val="hybridMultilevel"/>
    <w:lvl w:ilvl="0" w:tplc="915859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567794">
    <w:abstractNumId w:val="38567794"/>
  </w:num>
  <w:num w:numId="38567795">
    <w:abstractNumId w:val="385677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0246305" Type="http://schemas.microsoft.com/office/2011/relationships/commentsExtended" Target="commentsExtended.xml"/><Relationship Id="rId903732169" Type="http://schemas.microsoft.com/office/2011/relationships/people" Target="people.xml"/><Relationship Id="rId75596a5694cfb60e6" Type="http://schemas.openxmlformats.org/officeDocument/2006/relationships/hyperlink" Target="https://gd.eppo.int/taxon/PRODLI/" TargetMode="External"/><Relationship Id="rId61546a5694cfb6150" Type="http://schemas.openxmlformats.org/officeDocument/2006/relationships/hyperlink" Target="https://gd.eppo.int/taxon/PRODLI/categorization" TargetMode="External"/><Relationship Id="rId93676a5694cfb6915" Type="http://schemas.openxmlformats.org/officeDocument/2006/relationships/hyperlink" Target="https://gd.eppo.int/taxon/PRODLI/photos" TargetMode="External"/><Relationship Id="rId98706a5694cfba5be" Type="http://schemas.openxmlformats.org/officeDocument/2006/relationships/hyperlink" Target="https://doi.org/10.1371/journal.pone.0124682" TargetMode="External"/><Relationship Id="rId73536a5694cfbb53e" Type="http://schemas.openxmlformats.org/officeDocument/2006/relationships/hyperlink" Target="https://www.cabi.org/isc/datasheet/44520" TargetMode="External"/><Relationship Id="rId50966a5694cfbb5b2" Type="http://schemas.openxmlformats.org/officeDocument/2006/relationships/hyperlink" Target="https://efsa.onlinelibrary.wiley.com/doi/10.2903/j.efsa.2019.5765" TargetMode="External"/><Relationship Id="rId38286a5694cfbb671" Type="http://schemas.openxmlformats.org/officeDocument/2006/relationships/hyperlink" Target="https://gd.eppo.int" TargetMode="External"/><Relationship Id="rId20136a5694cfbb9f8" Type="http://schemas.openxmlformats.org/officeDocument/2006/relationships/hyperlink" Target="https://doi.org/10.1111/j.1365-2338.1979.tb02463.x" TargetMode="External"/><Relationship Id="rId70866a5694cfb6824" Type="http://schemas.openxmlformats.org/officeDocument/2006/relationships/image" Target="media/imgrId70866a5694cfb6824.jpg"/><Relationship Id="rId15166a5694cfb8bda" Type="http://schemas.openxmlformats.org/officeDocument/2006/relationships/image" Target="media/imgrId15166a5694cfb8bda.jpg"/><Relationship Id="rId63946a5694cfbbbc9" Type="http://schemas.openxmlformats.org/officeDocument/2006/relationships/image" Target="media/imgrId63946a5694cfbbbc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