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Premnotrypes latithorax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Premnotrypes latithorax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(Pierce)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potato weevil</w:t>
            </w:r>
            <w:hyperlink r:id="rId68426ab0bbf0128a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67206ab0bbf0128e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PREMLA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314092" name="name77126ab0bbf013120" descr="1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11.jpg"/>
                          <pic:cNvPicPr/>
                        </pic:nvPicPr>
                        <pic:blipFill>
                          <a:blip r:embed="rId91876ab0bbf01311e" cstate="print"/>
                          <a:stretch>
                            <a:fillRect/>
                          </a:stretch>
                        </pic:blipFill>
                        <pic:spPr>
                          <a:xfrm>
                            <a:off x="0" y="0"/>
                            <a:ext cx="2160000" cy="1281600"/>
                          </a:xfrm>
                          <a:prstGeom prst="rect">
                            <a:avLst/>
                          </a:prstGeom>
                          <a:ln w="0">
                            <a:noFill/>
                          </a:ln>
                        </pic:spPr>
                      </pic:pic>
                    </a:graphicData>
                  </a:graphic>
                </wp:inline>
              </w:drawing>
            </w:r>
            <w:hyperlink r:id="rId88626ab0bbf01322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originally described by Pierce (1914) as </w:t>
      </w:r>
      <w:r>
        <w:rPr>
          <w:rFonts w:ascii="Calibri" w:hAnsi="Calibri" w:eastAsia="Calibri" w:cs="Calibri"/>
          <w:i/>
          <w:iCs/>
          <w:color w:val="000000"/>
          <w:sz w:val="22"/>
          <w:szCs w:val="22"/>
        </w:rPr>
        <w:t xml:space="preserve">Trypopremnon latithorax</w:t>
      </w:r>
      <w:r>
        <w:rPr>
          <w:rFonts w:ascii="Calibri" w:hAnsi="Calibri" w:eastAsia="Calibri" w:cs="Calibri"/>
          <w:color w:val="000000"/>
          <w:sz w:val="22"/>
          <w:szCs w:val="22"/>
        </w:rPr>
        <w:t xml:space="preserve">, but Kuschel (1949) synonymized the genus </w:t>
      </w:r>
      <w:r>
        <w:rPr>
          <w:rFonts w:ascii="Calibri" w:hAnsi="Calibri" w:eastAsia="Calibri" w:cs="Calibri"/>
          <w:i/>
          <w:iCs/>
          <w:color w:val="000000"/>
          <w:sz w:val="22"/>
          <w:szCs w:val="22"/>
        </w:rPr>
        <w:t xml:space="preserve">Trypopremnon</w:t>
      </w:r>
      <w:r>
        <w:rPr>
          <w:rFonts w:ascii="Calibri" w:hAnsi="Calibri" w:eastAsia="Calibri" w:cs="Calibri"/>
          <w:color w:val="000000"/>
          <w:sz w:val="22"/>
          <w:szCs w:val="22"/>
        </w:rPr>
        <w:t xml:space="preserve"> Pierce with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Pierce, and established the new combination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Kuschel (1956) revised the tribe Premnotrypini and provided a Key, later updated by Alcazar &amp; Cisneros (1999), which allow determination of the 12 currently valid species of 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plants are the primary host, with larval development in the tubers and adult feeding on the leaves. Adults have occasionally been seen associated with a number of other plant species, but evidence strongly indicates that the species is oligophagous and can only reproduce and develop successfully on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(Alcázar &amp; Cisneros, 1999; Durán Auccatinco,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like other species of the genus attacking potatoes, occurs only in South America, at high altitudes of the Northern Andes (between 2 100 and 4 700 m a.s.l.). The EPPO designation of ‘Andean’ for the group is thus completely equivalent in practice to the EU designation ‘non-European’.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is widely distributed in the central highlands of Peru, in Bolivia and in Northern Chile (Aréstigui, 1976; Alcazar &amp; Cisneros, 1999; Yábar Landa, 2014).</w:t>
      </w:r>
    </w:p>
    <w:p>
      <w:r>
        <w:drawing>
          <wp:inline distT="0" distB="0" distL="0" distR="0">
            <wp:extent cx="6120000" cy="3067200"/>
            <wp:docPr id="88675160" name="name29716ab0bbf0143b2" descr="PREM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MLA_distribution_map.jpg"/>
                    <pic:cNvPicPr/>
                  </pic:nvPicPr>
                  <pic:blipFill>
                    <a:blip r:embed="rId67766ab0bbf0143b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appears to be basically similar to other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though there are differences in detail (Carrasco, 1961; Tisoc Dueñas, 1989; Carvajal Pinto, 1993; Alcázar &amp; Cisneros, 1999).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pass the  dry winter season in the soil as a prepupa, pupa and then over-wintering adult within the pupal cell. When the spring rains start, the adults of the new generation emerge from the soil and feed on the leaves of the potato plants if available, or migrate to other potato fields. Adults remain hidden during the day, sheltered beneath debris or in soil cracks near the base of the potato plants. In the evening they climb to the foliage to feed. Several days after mating, females lay eggs in straw or other plant debris near the potato plant. The newly hatched larvae move into the soil to the developing tubers and bore into them. The larva continues feeding inside the tuber until ready to pupate, after passing through several larval instars (four in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When fully grown, the last instar larva leaves the tuber and prepares an earthen cell for pupation in the surrounding soil. There is one generation per year. Adults may live for six to eight months.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adults produces semi-circular notches along the edges of leaves. The larvae tunnel within the tubers, causing little externally visible damage. Pupae occur in the soil inside earthen cells.</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These symptoms are similar among all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Differences with other Andean potato weevils worth mentioning are that adults of </w:t>
      </w:r>
      <w:r>
        <w:rPr>
          <w:rFonts w:ascii="Calibri" w:hAnsi="Calibri" w:eastAsia="Calibri" w:cs="Calibri"/>
          <w:i/>
          <w:iCs/>
          <w:color w:val="000000"/>
          <w:sz w:val="22"/>
          <w:szCs w:val="22"/>
        </w:rPr>
        <w:t xml:space="preserve">Phyrdenus</w:t>
      </w:r>
      <w:r>
        <w:rPr>
          <w:rFonts w:ascii="Calibri" w:hAnsi="Calibri" w:eastAsia="Calibri" w:cs="Calibri"/>
          <w:color w:val="000000"/>
          <w:sz w:val="22"/>
          <w:szCs w:val="22"/>
        </w:rPr>
        <w:t xml:space="preserve"> sp. produce circular holes in the leaves and the pupae of </w:t>
      </w:r>
      <w:r>
        <w:rPr>
          <w:rFonts w:ascii="Calibri" w:hAnsi="Calibri" w:eastAsia="Calibri" w:cs="Calibri"/>
          <w:i/>
          <w:iCs/>
          <w:color w:val="000000"/>
          <w:sz w:val="22"/>
          <w:szCs w:val="22"/>
        </w:rPr>
        <w:t xml:space="preserve">Rhigopsidius</w:t>
      </w:r>
      <w:r>
        <w:rPr>
          <w:rFonts w:ascii="Calibri" w:hAnsi="Calibri" w:eastAsia="Calibri" w:cs="Calibri"/>
          <w:color w:val="000000"/>
          <w:sz w:val="22"/>
          <w:szCs w:val="22"/>
        </w:rPr>
        <w:t xml:space="preserve"> sp. occur inside the tuber.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are stout, apterous, weevils about 5-8 mm long. Their colour varies from greyish-brown to dark brown and they have tubercles on pronotum and elytra, which </w:t>
      </w:r>
      <w:r>
        <w:rPr>
          <w:rFonts w:ascii="Calibri" w:hAnsi="Calibri" w:eastAsia="Calibri" w:cs="Calibri"/>
          <w:color w:val="000000"/>
          <w:sz w:val="22"/>
          <w:szCs w:val="22"/>
        </w:rPr>
        <w:t xml:space="preserve">make them </w:t>
      </w:r>
      <w:r>
        <w:rPr>
          <w:rFonts w:ascii="Calibri" w:hAnsi="Calibri" w:eastAsia="Calibri" w:cs="Calibri"/>
          <w:color w:val="000000"/>
          <w:sz w:val="22"/>
          <w:szCs w:val="22"/>
        </w:rPr>
        <w:t xml:space="preserve">difficult to distinguish from the background soil. The eyes are well developed and the rostrum short and broad (the length only about twice the width). A postocular lobe on the anterior margin of prothorax covers part of the eye. They show sexual dimorphism: females larger than males; last ventrite with apical margin acute in females and blunt in males.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by the following combination of characters: epistome (at apical dorsal part of rostrum) elevated; well-developed superciliary arches (swellings above each eye, like ‘eye-brows’); pronotum with blunt lateral swelling at base (Kuschel, 1956; Alcázar &amp; Cisneros, 1999; Yábar Landa, 2014). </w:t>
      </w:r>
    </w:p>
    <w:p>
      <w:pPr>
        <w:widowControl w:val="on"/>
        <w:pBdr/>
        <w:spacing w:before="220" w:after="220" w:line="240" w:lineRule="auto"/>
        <w:ind w:left="0" w:right="0"/>
        <w:jc w:val="both"/>
      </w:pPr>
      <w:r>
        <w:rPr>
          <w:rFonts w:ascii="Calibri" w:hAnsi="Calibri" w:eastAsia="Calibri" w:cs="Calibri"/>
          <w:color w:val="000000"/>
          <w:sz w:val="22"/>
          <w:szCs w:val="22"/>
        </w:rPr>
        <w:t xml:space="preserve">The legless larva and exarate pupa are typical of the Curculionidae. The larva is comma-shaped, creamy-white except the ochreous head, with antennal sensorium cushion-like as it is characteristic of Entiminae (Marvaldi, 2003). Larval characters diagnostic of the genus are given by Emden (1952: paragraphs 6, 54, 55, and 59 of the Key).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visual inspection. Adults can be seen on the green parts of the plants. Being flightless they only move by walking, and in the field, they can be caught with pitfall traps. They remain hidden at the base of plants during daylight hours and can be detected at night by inspection of the plant foliage; they play dead when disturbed, so they can be collected by shaking the plants over a basin (Yabar Landa, 1988, 1994). Eggs are difficult to detect, protected in straw or plant debris at the base of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inspecting the potato tubers. Because larvae bore inside the tubers, their presence by external inspection requires careful observation. In light-skinned tubers, the damage is indicated by the presence of irregular blackish spots, and in dark-skinned tubers, there may be small pustules indicating the place where the larvae have entered (Yábar Landa, 1988).</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and over-wintering adults occur in the soil. Mature larvae leave the tubers to pupate in the soil, so detection of pupae in the field is done by examining the soil surrounding the plants during and after harvest. Mature larvae, pupae and adults can also be detected below tubers piled in storage and heaping sites (Alcázar &amp; Cisneros, 1999).</w:t>
      </w:r>
    </w:p>
    <w:p>
      <w:pPr>
        <w:widowControl w:val="on"/>
        <w:pBdr/>
        <w:spacing w:before="220" w:after="220" w:line="240" w:lineRule="auto"/>
        <w:ind w:left="0" w:right="0"/>
        <w:jc w:val="both"/>
      </w:pPr>
      <w:r>
        <w:rPr>
          <w:rFonts w:ascii="Calibri" w:hAnsi="Calibri" w:eastAsia="Calibri" w:cs="Calibri"/>
          <w:color w:val="000000"/>
          <w:sz w:val="22"/>
          <w:szCs w:val="22"/>
        </w:rPr>
        <w:t xml:space="preserve">A molecular characterization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is available through four gene sequences of the nuclear 18S and 28S ribosomal RNA, the mitochondrial 16S ribosomal RNA and the mitochondrial cytochrome c oxidase subunit I (COI) markers, obtained in the context of a phylogenetic analysis of Entiminae (Marvaldi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The sequences are deposited in GenBank (accession codes MH746316, MH746365, MH746416, MH734204) and would allow molecular identification of any life stage of the species. In particular, the COI (barcode) gene could be applied as a molecular tool for quarantine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tubers have been an important means of spread from field to field, and represent the main potential pathway for transport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in international trade. Larvae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have been intercepted on South American potatoes imported into the USA (Pierce, 1914). Most of the larvae reach maturity and leave the tuber before harvest, but a small proportion of them do not abandon it, so adults can also emerge without rain, in storage conditions, contributing to new infestations or to the spread (e.g., via seed potatoes) of the species (Alcázar &amp; Cisneros, 1999; Kuehne, 2007; Yabar Landa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includes the most important weevil species on potatoes in the Andes, which, together with </w:t>
      </w:r>
      <w:r>
        <w:rPr>
          <w:rFonts w:ascii="Calibri" w:hAnsi="Calibri" w:eastAsia="Calibri" w:cs="Calibri"/>
          <w:i/>
          <w:iCs/>
          <w:color w:val="000000"/>
          <w:sz w:val="22"/>
          <w:szCs w:val="22"/>
        </w:rPr>
        <w:t xml:space="preserve">Rhigopsidius tucumanus</w:t>
      </w:r>
      <w:r>
        <w:rPr>
          <w:rFonts w:ascii="Calibri" w:hAnsi="Calibri" w:eastAsia="Calibri" w:cs="Calibri"/>
          <w:color w:val="000000"/>
          <w:sz w:val="22"/>
          <w:szCs w:val="22"/>
        </w:rPr>
        <w:t xml:space="preserve"> Heller and </w:t>
      </w:r>
      <w:r>
        <w:rPr>
          <w:rFonts w:ascii="Calibri" w:hAnsi="Calibri" w:eastAsia="Calibri" w:cs="Calibri"/>
          <w:i/>
          <w:iCs/>
          <w:color w:val="000000"/>
          <w:sz w:val="22"/>
          <w:szCs w:val="22"/>
        </w:rPr>
        <w:t xml:space="preserve">Phyrdenus </w:t>
      </w:r>
      <w:r>
        <w:rPr>
          <w:rFonts w:ascii="Calibri" w:hAnsi="Calibri" w:eastAsia="Calibri" w:cs="Calibri"/>
          <w:i/>
          <w:iCs/>
          <w:color w:val="000000"/>
          <w:sz w:val="22"/>
          <w:szCs w:val="22"/>
        </w:rPr>
        <w:t xml:space="preserve">muriceus</w:t>
      </w:r>
      <w:r>
        <w:rPr>
          <w:rFonts w:ascii="Calibri" w:hAnsi="Calibri" w:eastAsia="Calibri" w:cs="Calibri"/>
          <w:color w:val="000000"/>
          <w:sz w:val="22"/>
          <w:szCs w:val="22"/>
        </w:rPr>
        <w:t xml:space="preserve"> Germar, are collectively known as the Andean Potato Weevil (APW) complex (Alcázar &amp; Cisneros, 1999; EFSA PLH Panel, 2020). In many areas,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are the most important pests of potatoes, sometimes causing complete destruction of unsprayed crops. The adults feed on foliage and can cause serious damage on young potato plants; there are reports on adults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destroying fields of young potato plants entirely (Aréstigui, 1976). Major damage is caused by the larvae feeding on the tubers, with the consequent loss of their commercial value, and yield reductions for up to 50 % (Ortiz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Larval damage to tubers is especially important when populations are high, and as many as 20 larvae may be found feeding in one tuber. In Peru, 70-100% of unsprayed potato crops may be infested with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(Franco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has been mainly achieved by means of chemical insecticides. In addition to direct monitoring of the crop and chemical control, many other strategies are considered to implement integrated pest management (IPM) against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APW species, including: biological control, with entomopathogenic fungi or nematodes, use of natural enemies such as predator beetles, use of resistant plants; agricultural control strategies, such as crop rotation, early harvest, shelter traps/bait crop, border application of insecticides and creation of ditches around field. The various control methods and studies testing their efficacy are reviewed by Kuehne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potato weevils to cause damage in Europe is uncertain, owing to the unusual character of the high montane climate of the tropical Andes, with its extreme diurnal fluctuations in temperature and high solar radiation, with dry, cold winter and rainy, moderately warm spring-summer (Alcázar &amp; Cisneros, 1999). It is likely that pests from such an environment will be preadapted to temperate climates of Europe.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(EPPO/CABI, 1996) is an example of a montane species which has shown great adaptability. The Andean potato weevils are likely to establish, spread and cause economic impact in some of the potato-growing areas in Europe, if introduced (EFSA PLH Panel,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belongs to the group of South American pests of potato which justifies post-entry quarantine procedures in the EPPO region, together with equivalent checks before export. Only material for scientific purposes should normally be imported from South America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&amp; Cisneros F (1999) Taxonomy and bionomics of the Andean potato weevil complex: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and related genera. pp. 141–151. In: The International Potato Centre. 1999. Impact on a Changing World, Program Report 1997–1998, Lima, Peru, 458 pp. </w:t>
      </w:r>
    </w:p>
    <w:p>
      <w:pPr>
        <w:widowControl w:val="on"/>
        <w:pBdr/>
        <w:spacing w:before="220" w:after="220" w:line="240" w:lineRule="auto"/>
        <w:ind w:left="0" w:right="0"/>
        <w:jc w:val="left"/>
      </w:pPr>
      <w:r>
        <w:rPr>
          <w:rFonts w:ascii="Calibri" w:hAnsi="Calibri" w:eastAsia="Calibri" w:cs="Calibri"/>
          <w:color w:val="000000"/>
          <w:sz w:val="22"/>
          <w:szCs w:val="22"/>
        </w:rPr>
        <w:t xml:space="preserve">Aréstigui PA (1976) [Potato pests in Andahuaylas-Apurimac]. </w:t>
      </w:r>
      <w:r>
        <w:rPr>
          <w:rFonts w:ascii="Calibri" w:hAnsi="Calibri" w:eastAsia="Calibri" w:cs="Calibri"/>
          <w:i/>
          <w:iCs/>
          <w:color w:val="000000"/>
          <w:sz w:val="22"/>
          <w:szCs w:val="22"/>
        </w:rPr>
        <w:t xml:space="preserve">Revista Peruana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97-98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Carrasco FZ (1961) [Systematics and biology of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Peruana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30-43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Carvajal Pinto C (1993) [Biology, geographical distribution, population fluctuation and control of the Andes weevil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in the locality of Aguirre]. Cochabamba, Thesis of the Universidad Mayor de San Simon: 123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Durán Auccatinco J (2001) [Integrated Pest Management and its impact on Andean weevil (pest) and diseases in potato crop]. Thesis of the Universidad de San Antonio Abad del Cusco, Cusco (Peru). 86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Czwienczek E, Streissl F &amp; MacLeod A (2020) Scientific Opinion on the pest categorisation of the Andean Potato Weevil (APW) complex (Coleoptera: Curculionidae).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2020;18(7):6176, 38 pp. </w:t>
      </w:r>
      <w:hyperlink r:id="rId49496ab0bbf014f18" w:history="1">
        <w:r>
          <w:rPr>
            <w:rFonts w:ascii="Calibri" w:hAnsi="Calibri" w:eastAsia="Calibri" w:cs="Calibri"/>
            <w:color w:val="0000CC"/>
            <w:sz w:val="22"/>
            <w:szCs w:val="22"/>
            <w:u w:val="single"/>
          </w:rPr>
          <w:t xml:space="preserve">https://doi.org/10.2903/j.efsa.2020.6176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Emden FI van (1952) On the taxonomy of Rhynchophora larvae: Adelognatha and Alophinae (Insecta: Coleoptera). </w:t>
      </w:r>
      <w:r>
        <w:rPr>
          <w:rFonts w:ascii="Calibri" w:hAnsi="Calibri" w:eastAsia="Calibri" w:cs="Calibri"/>
          <w:i/>
          <w:iCs/>
          <w:color w:val="000000"/>
          <w:sz w:val="22"/>
          <w:szCs w:val="22"/>
        </w:rPr>
        <w:t xml:space="preserve">Proceedings of the Zoological Society of London</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pp. 651-795.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(GD). Available online: </w:t>
      </w:r>
      <w:hyperlink r:id="rId88896ab0bbf014fcf"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Gandarilla A, Gallo R, Zapata B (2000) Bolivia. In: Transgenic potatoes for the benefit or resource-poor farmers in developing countries. </w:t>
      </w:r>
      <w:r>
        <w:rPr>
          <w:rFonts w:ascii="Calibri" w:hAnsi="Calibri" w:eastAsia="Calibri" w:cs="Calibri"/>
          <w:i/>
          <w:iCs/>
          <w:color w:val="000000"/>
          <w:sz w:val="22"/>
          <w:szCs w:val="22"/>
        </w:rPr>
        <w:t xml:space="preserve">Proceedings of the International Workshop</w:t>
      </w:r>
      <w:r>
        <w:rPr>
          <w:rFonts w:ascii="Calibri" w:hAnsi="Calibri" w:eastAsia="Calibri" w:cs="Calibri"/>
          <w:color w:val="000000"/>
          <w:sz w:val="22"/>
          <w:szCs w:val="22"/>
        </w:rPr>
        <w:t xml:space="preserve">. Manchester, United Kingdom, 5-9 June 2000, pp. 14-17.</w:t>
      </w:r>
    </w:p>
    <w:p>
      <w:pPr>
        <w:widowControl w:val="on"/>
        <w:pBdr/>
        <w:spacing w:before="220" w:after="220" w:line="240" w:lineRule="auto"/>
        <w:ind w:left="0" w:right="0"/>
        <w:jc w:val="left"/>
      </w:pPr>
      <w:r>
        <w:rPr>
          <w:rFonts w:ascii="Calibri" w:hAnsi="Calibri" w:eastAsia="Calibri" w:cs="Calibri"/>
          <w:color w:val="000000"/>
          <w:sz w:val="22"/>
          <w:szCs w:val="22"/>
        </w:rPr>
        <w:t xml:space="preserve">Kuehne M (2007) The Andean potato weevil </w:t>
      </w:r>
      <w:r>
        <w:rPr>
          <w:rFonts w:ascii="Calibri" w:hAnsi="Calibri" w:eastAsia="Calibri" w:cs="Calibri"/>
          <w:i/>
          <w:iCs/>
          <w:color w:val="000000"/>
          <w:sz w:val="22"/>
          <w:szCs w:val="22"/>
        </w:rPr>
        <w:t xml:space="preserve">Premnotrypes suturicallus</w:t>
      </w:r>
      <w:r>
        <w:rPr>
          <w:rFonts w:ascii="Calibri" w:hAnsi="Calibri" w:eastAsia="Calibri" w:cs="Calibri"/>
          <w:color w:val="000000"/>
          <w:sz w:val="22"/>
          <w:szCs w:val="22"/>
        </w:rPr>
        <w:t xml:space="preserve">. Ecology and interactions with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PhD thesis. Fakultät für Agrarwissenschaften der Georg‐August‐Universität Göttingen. Available online: </w:t>
      </w:r>
      <w:hyperlink r:id="rId85176ab0bbf0150f1" w:history="1">
        <w:r>
          <w:rPr>
            <w:rFonts w:ascii="Calibri" w:hAnsi="Calibri" w:eastAsia="Calibri" w:cs="Calibri"/>
            <w:color w:val="0000CC"/>
            <w:sz w:val="22"/>
            <w:szCs w:val="22"/>
            <w:u w:val="single"/>
          </w:rPr>
          <w:t xml:space="preserve">https://ediss.uni-goettingen.de/bitstream/handle/11858/00-1735-0000-000D-F23B-A/kuehne.pdf?sequence=1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(1949) [The Curculionidae of the extreme North of Chile (Coleoptera, Curcul. AP. 6)]. </w:t>
      </w:r>
      <w:r>
        <w:rPr>
          <w:rFonts w:ascii="Calibri" w:hAnsi="Calibri" w:eastAsia="Calibri" w:cs="Calibri"/>
          <w:i/>
          <w:iCs/>
          <w:color w:val="000000"/>
          <w:sz w:val="22"/>
          <w:szCs w:val="22"/>
        </w:rPr>
        <w:t xml:space="preserve">Acta Zoológica Lilloana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5-54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(1956) [Revision of the Premnotrypini and additions to the Bagoini]. </w:t>
      </w:r>
      <w:r>
        <w:rPr>
          <w:rFonts w:ascii="Calibri" w:hAnsi="Calibri" w:eastAsia="Calibri" w:cs="Calibri"/>
          <w:i/>
          <w:iCs/>
          <w:color w:val="000000"/>
          <w:sz w:val="22"/>
          <w:szCs w:val="22"/>
        </w:rPr>
        <w:t xml:space="preserve">Boletin, Museo Nacional de Historia Natural,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187-235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(2003) Key to identify larvae of the subfamilies of South American weevils (Coleoptera, Curculionoidea). </w:t>
      </w:r>
      <w:r>
        <w:rPr>
          <w:rFonts w:ascii="Calibri" w:hAnsi="Calibri" w:eastAsia="Calibri" w:cs="Calibri"/>
          <w:i/>
          <w:iCs/>
          <w:color w:val="000000"/>
          <w:sz w:val="22"/>
          <w:szCs w:val="22"/>
        </w:rPr>
        <w:t xml:space="preserve">Revista Chilena de Historia Natural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(4), 603-612.</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del Rio MG, Rocamundi N, Pereyra VA &amp; Lanteri AA (2018) A combined molecular and morphological approach to explore the higher phylogeny of entimine weevils (Coleoptera: Curculionidae), with special reference to South American taxa.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10, 95</w:t>
      </w:r>
      <w:r>
        <w:rPr>
          <w:rFonts w:ascii="Calibri" w:hAnsi="Calibri" w:eastAsia="Calibri" w:cs="Calibri"/>
          <w:color w:val="000000"/>
          <w:sz w:val="22"/>
          <w:szCs w:val="22"/>
        </w:rPr>
        <w:t xml:space="preserve">, 1-30. </w:t>
      </w:r>
      <w:hyperlink r:id="rId33426ab0bbf015271" w:history="1">
        <w:r>
          <w:rPr>
            <w:rFonts w:ascii="Calibri" w:hAnsi="Calibri" w:eastAsia="Calibri" w:cs="Calibri"/>
            <w:color w:val="0000CC"/>
            <w:sz w:val="22"/>
            <w:szCs w:val="22"/>
            <w:u w:val="single"/>
          </w:rPr>
          <w:t xml:space="preserve">https://doi.org/10.3390/d10030095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Ortiz OJ, Alcázar J, Catalán W, Villano W. Cerna V, Fano H &amp; Walker TS (1996) Economic impact of IPM practices on the Andean potato weevil in Peru. In </w:t>
      </w:r>
      <w:r>
        <w:rPr>
          <w:rFonts w:ascii="Calibri" w:hAnsi="Calibri" w:eastAsia="Calibri" w:cs="Calibri"/>
          <w:i/>
          <w:iCs/>
          <w:color w:val="000000"/>
          <w:sz w:val="22"/>
          <w:szCs w:val="22"/>
        </w:rPr>
        <w:t xml:space="preserve">Case studies of the economic impact of CIP - related technology</w:t>
      </w:r>
      <w:r>
        <w:rPr>
          <w:rFonts w:ascii="Calibri" w:hAnsi="Calibri" w:eastAsia="Calibri" w:cs="Calibri"/>
          <w:color w:val="000000"/>
          <w:sz w:val="22"/>
          <w:szCs w:val="22"/>
        </w:rPr>
        <w:t xml:space="preserve"> (eds Walker TS &amp; Crissman CC). Lima, International Potato Center: pp. 95-110.</w:t>
      </w:r>
    </w:p>
    <w:p>
      <w:pPr>
        <w:widowControl w:val="on"/>
        <w:pBdr/>
        <w:spacing w:before="220" w:after="220" w:line="240" w:lineRule="auto"/>
        <w:ind w:left="0" w:right="0"/>
        <w:jc w:val="left"/>
      </w:pPr>
      <w:r>
        <w:rPr>
          <w:rFonts w:ascii="Calibri" w:hAnsi="Calibri" w:eastAsia="Calibri" w:cs="Calibri"/>
          <w:color w:val="000000"/>
          <w:sz w:val="22"/>
          <w:szCs w:val="22"/>
        </w:rPr>
        <w:t xml:space="preserve">Pierce WD (1914) New potato weevils from Andean South America.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(4), 347-352.</w:t>
      </w:r>
    </w:p>
    <w:p>
      <w:pPr>
        <w:widowControl w:val="on"/>
        <w:pBdr/>
        <w:spacing w:before="220" w:after="220" w:line="240" w:lineRule="auto"/>
        <w:ind w:left="0" w:right="0"/>
        <w:jc w:val="left"/>
      </w:pPr>
      <w:r>
        <w:rPr>
          <w:rFonts w:ascii="Calibri" w:hAnsi="Calibri" w:eastAsia="Calibri" w:cs="Calibri"/>
          <w:color w:val="000000"/>
          <w:sz w:val="22"/>
          <w:szCs w:val="22"/>
        </w:rPr>
        <w:t xml:space="preserve">Tisoc Dueñas IO (1989) Biological cycle of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in Cusco (Peru), under laboratory conditions. </w:t>
      </w:r>
      <w:r>
        <w:rPr>
          <w:rFonts w:ascii="Calibri" w:hAnsi="Calibri" w:eastAsia="Calibri" w:cs="Calibri"/>
          <w:i/>
          <w:iCs/>
          <w:color w:val="000000"/>
          <w:sz w:val="22"/>
          <w:szCs w:val="22"/>
        </w:rPr>
        <w:t xml:space="preserve">Revista Peruana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89-92.</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(1988) Cultural practices integration for the control of the Andean potato weevil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120-131.</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(1994) [Ecological management of the Andes weevil]. Lima, RAAA. 119pp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Yabar Landa E (2014) [Systematic revision and phylogeny of the tribe Premnotrypini Kuschel (Coleoptera: Curculionidae: Entiminae)]. Doctoral Thesis, PROBIOL, Universidad Nacional de Cuyo (Argentina). 248 pp.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García H, Saavedra J, de los Rios H (2011) [Curculionids (Coleoptera: Curculionidae) associated with potato tuber under traditional storage conditions in Cuzco, Peru]. </w:t>
      </w:r>
      <w:r>
        <w:rPr>
          <w:rFonts w:ascii="Calibri" w:hAnsi="Calibri" w:eastAsia="Calibri" w:cs="Calibri"/>
          <w:i/>
          <w:iCs/>
          <w:color w:val="000000"/>
          <w:sz w:val="22"/>
          <w:szCs w:val="22"/>
        </w:rPr>
        <w:t xml:space="preserve">Boletín del Museo de Entomología de la Universidad del Valle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42-47 (in Spanish).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Adriana E. Marvaldi (CONICET, División Entomología, Facultad de Ciencias Naturales y Museo, Universidad Nacional de La Plata,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EPPO datasheets on pests recommended for regulation. Available online. </w:t>
      </w:r>
      <w:hyperlink r:id="rId84556ab0bbf01555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143: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spp. (Andean species). EPPO Bulletin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55-60. </w:t>
      </w:r>
      <w:hyperlink r:id="rId98356ab0bbf0156ca" w:history="1">
        <w:r>
          <w:rPr>
            <w:rFonts w:ascii="Calibri" w:hAnsi="Calibri" w:eastAsia="Calibri" w:cs="Calibri"/>
            <w:color w:val="0000CC"/>
            <w:sz w:val="22"/>
            <w:szCs w:val="22"/>
            <w:u w:val="single"/>
          </w:rPr>
          <w:t xml:space="preserve">https://doi.org/10.1111/j.1365-2338.1984.tb01982.x</w:t>
        </w:r>
      </w:hyperlink>
    </w:p>
    <w:p>
      <w:r>
        <w:drawing>
          <wp:inline distT="0" distB="0" distL="0" distR="0">
            <wp:extent cx="1800000" cy="604800"/>
            <wp:docPr id="80887878" name="name58326ab0bbf01573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4176ab0bbf01573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54361">
    <w:multiLevelType w:val="hybridMultilevel"/>
    <w:lvl w:ilvl="0" w:tplc="67888415">
      <w:start w:val="1"/>
      <w:numFmt w:val="decimal"/>
      <w:lvlText w:val="%1."/>
      <w:lvlJc w:val="left"/>
      <w:pPr>
        <w:ind w:left="720" w:hanging="360"/>
      </w:pPr>
    </w:lvl>
    <w:lvl w:ilvl="1" w:tplc="67888415" w:tentative="1">
      <w:start w:val="1"/>
      <w:numFmt w:val="lowerLetter"/>
      <w:lvlText w:val="%2."/>
      <w:lvlJc w:val="left"/>
      <w:pPr>
        <w:ind w:left="1440" w:hanging="360"/>
      </w:pPr>
    </w:lvl>
    <w:lvl w:ilvl="2" w:tplc="67888415" w:tentative="1">
      <w:start w:val="1"/>
      <w:numFmt w:val="lowerRoman"/>
      <w:lvlText w:val="%3."/>
      <w:lvlJc w:val="right"/>
      <w:pPr>
        <w:ind w:left="2160" w:hanging="180"/>
      </w:pPr>
    </w:lvl>
    <w:lvl w:ilvl="3" w:tplc="67888415" w:tentative="1">
      <w:start w:val="1"/>
      <w:numFmt w:val="decimal"/>
      <w:lvlText w:val="%4."/>
      <w:lvlJc w:val="left"/>
      <w:pPr>
        <w:ind w:left="2880" w:hanging="360"/>
      </w:pPr>
    </w:lvl>
    <w:lvl w:ilvl="4" w:tplc="67888415" w:tentative="1">
      <w:start w:val="1"/>
      <w:numFmt w:val="lowerLetter"/>
      <w:lvlText w:val="%5."/>
      <w:lvlJc w:val="left"/>
      <w:pPr>
        <w:ind w:left="3600" w:hanging="360"/>
      </w:pPr>
    </w:lvl>
    <w:lvl w:ilvl="5" w:tplc="67888415" w:tentative="1">
      <w:start w:val="1"/>
      <w:numFmt w:val="lowerRoman"/>
      <w:lvlText w:val="%6."/>
      <w:lvlJc w:val="right"/>
      <w:pPr>
        <w:ind w:left="4320" w:hanging="180"/>
      </w:pPr>
    </w:lvl>
    <w:lvl w:ilvl="6" w:tplc="67888415" w:tentative="1">
      <w:start w:val="1"/>
      <w:numFmt w:val="decimal"/>
      <w:lvlText w:val="%7."/>
      <w:lvlJc w:val="left"/>
      <w:pPr>
        <w:ind w:left="5040" w:hanging="360"/>
      </w:pPr>
    </w:lvl>
    <w:lvl w:ilvl="7" w:tplc="67888415" w:tentative="1">
      <w:start w:val="1"/>
      <w:numFmt w:val="lowerLetter"/>
      <w:lvlText w:val="%8."/>
      <w:lvlJc w:val="left"/>
      <w:pPr>
        <w:ind w:left="5760" w:hanging="360"/>
      </w:pPr>
    </w:lvl>
    <w:lvl w:ilvl="8" w:tplc="67888415" w:tentative="1">
      <w:start w:val="1"/>
      <w:numFmt w:val="lowerRoman"/>
      <w:lvlText w:val="%9."/>
      <w:lvlJc w:val="right"/>
      <w:pPr>
        <w:ind w:left="6480" w:hanging="180"/>
      </w:pPr>
    </w:lvl>
  </w:abstractNum>
  <w:abstractNum w:abstractNumId="47854360">
    <w:multiLevelType w:val="hybridMultilevel"/>
    <w:lvl w:ilvl="0" w:tplc="83646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54360">
    <w:abstractNumId w:val="47854360"/>
  </w:num>
  <w:num w:numId="47854361">
    <w:abstractNumId w:val="4785436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9163679" Type="http://schemas.microsoft.com/office/2011/relationships/commentsExtended" Target="commentsExtended.xml"/><Relationship Id="rId751368005" Type="http://schemas.microsoft.com/office/2011/relationships/people" Target="people.xml"/><Relationship Id="rId68426ab0bbf0128a4" Type="http://schemas.openxmlformats.org/officeDocument/2006/relationships/hyperlink" Target="https://gd.eppo.int/taxon/PREMLA/" TargetMode="External"/><Relationship Id="rId67206ab0bbf0128ed" Type="http://schemas.openxmlformats.org/officeDocument/2006/relationships/hyperlink" Target="https://gd.eppo.int/taxon/PREMLA/categorization" TargetMode="External"/><Relationship Id="rId88626ab0bbf013224" Type="http://schemas.openxmlformats.org/officeDocument/2006/relationships/hyperlink" Target="https://gd.eppo.int/taxon/PREMLA/photos" TargetMode="External"/><Relationship Id="rId49496ab0bbf014f18" Type="http://schemas.openxmlformats.org/officeDocument/2006/relationships/hyperlink" Target="https://doi.org/10.2903/j.efsa.2020.6176" TargetMode="External"/><Relationship Id="rId88896ab0bbf014fcf" Type="http://schemas.openxmlformats.org/officeDocument/2006/relationships/hyperlink" Target="https://gd.eppo.int" TargetMode="External"/><Relationship Id="rId85176ab0bbf0150f1" Type="http://schemas.openxmlformats.org/officeDocument/2006/relationships/hyperlink" Target="https://ediss.uni-goettingen.de/bitstream/handle/11858/00-1735-0000-000D-F23B-A/kuehne.pdf?sequence=1" TargetMode="External"/><Relationship Id="rId33426ab0bbf015271" Type="http://schemas.openxmlformats.org/officeDocument/2006/relationships/hyperlink" Target="https://doi.org/10.3390/d10030095" TargetMode="External"/><Relationship Id="rId84556ab0bbf01555e" Type="http://schemas.openxmlformats.org/officeDocument/2006/relationships/hyperlink" Target="https://gd.eppo.int" TargetMode="External"/><Relationship Id="rId98356ab0bbf0156ca" Type="http://schemas.openxmlformats.org/officeDocument/2006/relationships/hyperlink" Target="https://doi.org/10.1111/j.1365-2338.1984.tb01982.x" TargetMode="External"/><Relationship Id="rId91876ab0bbf01311e" Type="http://schemas.openxmlformats.org/officeDocument/2006/relationships/image" Target="media/imgrId91876ab0bbf01311e.jpg"/><Relationship Id="rId67766ab0bbf0143b0" Type="http://schemas.openxmlformats.org/officeDocument/2006/relationships/image" Target="media/imgrId67766ab0bbf0143b0.jpg"/><Relationship Id="rId34176ab0bbf015735" Type="http://schemas.openxmlformats.org/officeDocument/2006/relationships/image" Target="media/imgrId34176ab0bbf01573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