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Potyvirus plumpoxi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Potyvirus plumpoxi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Potyvirus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PPV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potyvirus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7</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pox of plum, sharka</w:t>
            </w:r>
            <w:hyperlink r:id="rId756768e8d31a89ef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125168e8d31a89f6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PPV000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400386" name="name236968e8d31a8a631" descr="17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63.jpg"/>
                          <pic:cNvPicPr/>
                        </pic:nvPicPr>
                        <pic:blipFill>
                          <a:blip r:embed="rId426868e8d31a8a62f" cstate="print"/>
                          <a:stretch>
                            <a:fillRect/>
                          </a:stretch>
                        </pic:blipFill>
                        <pic:spPr>
                          <a:xfrm>
                            <a:off x="0" y="0"/>
                            <a:ext cx="2160000" cy="1281600"/>
                          </a:xfrm>
                          <a:prstGeom prst="rect">
                            <a:avLst/>
                          </a:prstGeom>
                          <a:ln w="0">
                            <a:noFill/>
                          </a:ln>
                        </pic:spPr>
                      </pic:pic>
                    </a:graphicData>
                  </a:graphic>
                </wp:inline>
              </w:drawing>
            </w:r>
            <w:hyperlink r:id="rId811668e8d31a8a75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so far the only potyvirus known to infect temperate fruit trees. The potential existence of a serologically related virus in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materials of Asian origin has been reported (Hadidi &amp; Levy, 1994). The existence and identity of this virus, tentatively named prunus latent potyvirus has however not been confirmed in further efforts. In particular, High-Throughput Sequencing of several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sources initially reported to be infected by the prunus latent potyvirus or showing similar PPV-cross reactions to it failed to identify any potyvirus or PPV-like virus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woody hosts are the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grown for fruit production, including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Almond trees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can be infected by PPV but show few symptoms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Natural infection of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attributed to the cherry adapted PPV-C strain has been sporadically observed in Europe (Kalashyan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Crescenzi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recent identification of two other cherry-adapted strains (PPV-CR and CV,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also shows the epidemiological potential of these PPV strains in the cherry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used as rootstock or as ornamentals are natural hosts of PPV, together with a range of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their interspecific hybrids (James &amp; Thompson, 2006;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PPV infects most wild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tomentosa</w:t>
      </w:r>
      <w:r>
        <w:rPr>
          <w:rFonts w:ascii="Calibri" w:hAnsi="Calibri" w:eastAsia="Calibri" w:cs="Calibri"/>
          <w:color w:val="000000"/>
          <w:sz w:val="22"/>
          <w:szCs w:val="22"/>
        </w:rPr>
        <w:t xml:space="preserve">, serving as a potential reservoir and source of virus inoculum. Numerous annual cultivated plants or weeds have been shown to be experimental hosts of PPV (Virscek Marn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Llacer, 2006). However, as reports of natural infection of such herbaceous hosts have never been confirmed using two independent diagnostic techniques, and sequence information on the isolate(s) involved has never been provided, their host status is unconfirmed. In any case, natural transmission between such herbaceous plants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never been demonstrated in nature, so that the epidemiological contribution of herbaceous hosts, if any, remains questionable.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brigantina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curdica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holosericea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incisa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blireana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cistena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sharka symptoms, caused by PPV (Atanasoff, 1932) were observed for the first time in plums in Eastern Europe (Bulgaria) around 1914. PPV subsequently spread, over most of the European continent and Mediterranean basin during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(Garcia &amp; Cambra, 2007). PPV has also been reported from the Americas (Levy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Herrera, 2013), from Asia (Maejima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from Africa (Boulila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 is not yet officially reported from Oceania. In 2019, PPV was reported to be eradicated in the USA (USDA, 2019).</w:t>
      </w:r>
    </w:p>
    <w:p>
      <w:r>
        <w:drawing>
          <wp:inline distT="0" distB="0" distL="0" distR="0">
            <wp:extent cx="6120000" cy="3067200"/>
            <wp:docPr id="91241722" name="name393168e8d31a8baed" descr="PP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V000_distribution_map.jpg"/>
                    <pic:cNvPicPr/>
                  </pic:nvPicPr>
                  <pic:blipFill>
                    <a:blip r:embed="rId880168e8d31a8bae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Cyprus, Czechia, Denmark, France (mainland, Corse), Germany, Greece (mainland), Hungary, Israel, Italy (mainland, Sicilia), Jordan, Kazakhstan, Latvia, Lithuania, Luxembourg, Moldova, Republic of, Montenegro, Netherlands, North Macedonia, Norway, Poland, Portugal (mainland, Azores), Romania, Russian Federation (the) (Central Russia, Southern Russia), Serbia, Slovakia, Slovenia, Spain (mainland),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Hubei, Hunan, Jiangsu, Shanghai, Shanxi), India (Himachal Pradesh), Iran, Islamic Republic of, Israel, Japan (Honshu), Jordan, Kazakhstan, Korea, Republic of, Pakistan,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are the major source of inoculum. The virus is transmitted from them either by grafting and other vegetative multiplication techniques or non-persistently by aphid vectors (Ng &amp; Falk, 2006;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Aphis spiraecola, Phorodon humuli, Hyalopterus pruni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Myzus persicae </w:t>
      </w:r>
      <w:r>
        <w:rPr>
          <w:rFonts w:ascii="Calibri" w:hAnsi="Calibri" w:eastAsia="Calibri" w:cs="Calibri"/>
          <w:color w:val="000000"/>
          <w:sz w:val="22"/>
          <w:szCs w:val="22"/>
        </w:rPr>
        <w:t xml:space="preserve">are the main vectors (Cambra &amp; Vidal, 2017). Other aphids have also been shown to transmit the virus: </w:t>
      </w:r>
      <w:r>
        <w:rPr>
          <w:rFonts w:ascii="Calibri" w:hAnsi="Calibri" w:eastAsia="Calibri" w:cs="Calibri"/>
          <w:i/>
          <w:iCs/>
          <w:color w:val="000000"/>
          <w:sz w:val="22"/>
          <w:szCs w:val="22"/>
        </w:rPr>
        <w:t xml:space="preserve">Aphis craccivora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hederae, Brachycaudus cardui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helichrysi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Myzus cerasi, M. varians,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Rhopalosiphum padi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Sitobion fragariae</w:t>
      </w:r>
      <w:r>
        <w:rPr>
          <w:rFonts w:ascii="Calibri" w:hAnsi="Calibri" w:eastAsia="Calibri" w:cs="Calibri"/>
          <w:color w:val="000000"/>
          <w:sz w:val="22"/>
          <w:szCs w:val="22"/>
        </w:rPr>
        <w:t xml:space="preserve"> (Labonne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Gildow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trees becoming infected in an orchard is directly related, in a given season, to the population level of winged aphids. These aphids probe or feed on infected leaves, then fly to other trees where they again probe or feed (Labonne &amp; Quiot, 2006). Aphids can also acquire PPV from infected fruits (Labonne &amp; Quiot, 2001). Analysing the spatial distribution of aphid-borne spread in eastern Spain,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concluded that aphids do not spread the disease much to immediately adjacent trees, but to a few trees away. Experiments and modeling show that spread occurs generally within a few hundred meters with about 50% of transmission events occurring within 90 m of the source tree (Pleydell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capacity for vector transmission can vary between viral isolates even within the same strain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After inoculation of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 the incubation period may last several months and systemic spread may take several years. Accordingly, the virus may be distributed very irregularly in trees, possibly explaining the dynamic structure and heterogeneous nature of PPV population(s) in individual hosts (Jridi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Predajňa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Seed or pollen transmission of PPV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not been confirmed, and is unknown in practice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Pasquini &amp; Barba, 2006).</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PPV were originally distinguished (necrotic, intermediate, yellow) on the basis of symptoms obtained by inoculation of herbaceous indicator plants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Then two isolates D (Dideron) and M (Markus), the former on apricot in France and the latter originally on peach in Greece, were serologically differentiated (Kerlan &amp; Dunez, 1979). Further efforts led to the identification of these isolates as typifying two strains differing in serological and molecular properties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Later sequencing efforts led to the recognition of further strains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Nemchinov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Ulubas Serçe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James &amp; Varga A, 2005; Palmisano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a total of ten genetic strains are recognized for PPV (in the order of their discovery: D, M, EA, C, Rec, T, W, An, CR and CV). The three main strains, that have very wide geographical distributions, are PPV-M, D and Rec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Some strains have particular biological/epidemiological features (e.g. cherry-adapted strains C, CR and CV) or a restricted geographical distribution (EA in Egypt, T in Turkey). However, due to a high intra-strain variability, most of strains do not show clear-cut epidemiological characteristics that would separate them from others (Sihelská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strains, including Rec and T have been shown to result from recombination events involving the D and M strains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Glasa &amp; Candresse, 2005; Hajizadeh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appear on leaves or fruits as a consequence of physiological, biochemical, proteomic, and transcriptional or post-transcriptional changes induced by viral infection (Clemente-Moreno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symptoms are particularly clear on leaves at the beginning of the vegetation period: chlorotic spots, bands or rings, vein clearing, or even leaf deformation in peaches. Infected fruits show chlorotic spots or rings. Diseased plums and apricots may be deformed and show internal browning of the flesh; in apricot, the stones show characteristic pale rings or spots. Premature fruit dropping (up to 100%) can occur in the most susceptible cultivars (Sochor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Symptoms of sharka depend very much on PPV isolate, locality, season,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and cultivar and plant organ (leaf or fruit) (Dosba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PPV has filamentous virus particles 750 nm long and 15 nm in diameter. It has a single-stranded RNA genome of ca 10 000 nucleotides, coding for a large polyprotein with a molecular weight of 3.5 x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Da. The genome encodes 10 mature proteins processed from the viral polyprotein by the action of three viral proteases. As for other potyviruses, transcriptional slippage allows the extension of an out of frame short open reading frame P3N-PIPO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Protein inclusions of the pinwheel type are present in the cytoplasm of infected cells. The full-length nucleotide sequences of a number of virus isolates belonging to all recognized strains have been determined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Genome function in PPV is now increasingly understood, and this virus is now a model for studies on the molecular biology of potyviruses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irregular distribution of the virus in the tree, visual inspection may allow detection of symptoms in susceptible cultivars, especially during the period of active growth. Testing on susceptible indicators (peach GF305 or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by chip-budding can produce symptoms in 6-8 weeks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Gentit, 2006). Mechanical inoculation on </w:t>
      </w:r>
      <w:r>
        <w:rPr>
          <w:rFonts w:ascii="Calibri" w:hAnsi="Calibri" w:eastAsia="Calibri" w:cs="Calibri"/>
          <w:i/>
          <w:iCs/>
          <w:color w:val="000000"/>
          <w:sz w:val="22"/>
          <w:szCs w:val="22"/>
        </w:rPr>
        <w:t xml:space="preserve">Chenopodium foetidum 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produces symptoms in 6-10 days but the inoculation efficiency from Prunus hosts is generally low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Glasa &amp; Candresse, 2005;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Immunochemical methods, such as ELISA, have still an important role in the diagnostic of PPV (Šubr &amp; Glasa, 2008;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range of broad-spectrum or strain-specific antibodies are available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including monoclonal antibodies. Although all parts of the tree can be sampled for testing, the best detection results rely on the use of composite leaf samples from actively growing shoots taken in different parts of the canopy (Adams, 2008).</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based on the amplification of specific parts of the PPV genome show a higher sensitivity than immunochemical methods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Various modifications of RT-PCR in single or multiplex format have been developed both for the universal detection of all PPV isolates or for strain-specific detection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Šubr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An effective detection coupled with the possibility to differentiate PPV strains can be achieved using real-time RT-PCR (Varga &amp; James, 2005; Capote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Fotiou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Isothermal amplification methods, such as LAMP (Varga &amp; James, 2006; Hadersdorfer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also been developed for a simple and direct use in the field. Validated international protocols for detection and characterization of PPV are available (EPPO, 2004, IPPC-FAO,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disease appears to be at random in orchards. The virus is introduced as a consequence of aphid transmission or of the use of infected planting material. After 2-3 years, infection begins to spread from the first infected trees. Graft transmission can contribute significantly to spread in infected areas if certified virus-free material is not used. Movement of the virus between areas or countries is most often linked to the use of uncertified plants for planting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sharka disease on the European stone-fruit production has been reviewed by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The disease incidence is particularly high in the fruit-producing areas of central and eastern Europe. Virus infection can lead to considerable yield losses, reaching 100%. European plums may show premature fruit drop, while Japanese plums and peaches show ring-spotting on fruit, and apricots show serious fruit deformation.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anti-virus treatment available to control sharka disease in orchards. There are, however, considerable differences in susceptibility between the cultivars available for use in countries where infection is widespread (Kegler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Martínez-Gómez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However, the frequent plantation of tolerant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cultivars (their fruits remaining generally symptomless in case of infection) has probably contributed to the further spread of PPV in these countries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Biological control by inoculation of trees with hypo-aggressive strains has not proved as successful in the field as under controlled conditions (Kerlan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not considered a realistic preventative option. Other effective control methods are the production and use of healthy plants for planting within a certification system, and the eradication of diseased trees or orchards to reduce inoculum pressure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for other potyviruses, the control of aphid vectors by regular treatment with aphicides or mineral oils shows only limited effectiveness, with the possible exception of nurseries where some protection has been recorded (Vidal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methods are used to contain PPV in several countries (e.g. France, Italy). EPPO recommends a certification scheme for fruit trees, which takes into account PPV (EPPO, 1991/1992). Resistance to PPV shows some promise, whether by traditional breeding or by transgenic methods. The hypersensitive response in plums, resulting in localized cell death, has been found to be an effective resistance mechanism against PPV (Hartmann, 1998). Apricot varieties resistant to the PPV-D strain are now extensively planted in some areas of Spain. While progress has been obtained in plum and apricot, the development of resistant peach varieties has remained a challenge due to the paucity of resistance sources. Biotechnology has also contributed with the development of the transgenic plum cultivar Honeysweet which shows a high, broad spectrum resistance (Scorza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included in the EPPO A2 list of pests recommended for regulation as quarantine pests. It is a quarantine pest for the European Union and many other EPPO member countries. It is also of regulatory interest to other Regional Plant Protection Organizations (e.g. COSAVE, IAPSC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PPV presents a major risk to apricot, plum and peach in many countries where it is still absent or very localized. In addition, its presence in a country creates difficulties for export of certified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PPV, all imported host material (except seeds) should come from a place of production subject to growing-season inspection (EPPO, 2016). If the virus is present in the exporting country, this inspection should also concern the immediate vicinity of the place of production, and the material should derive from tested mother plants. Material produced following the EPPO certification scheme for virus-free fruit trees would satisfy these requirements (EPPO, 1991/1992).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can effectively be taken to prevent spread of PPV from foci of infection and even to eradicate it. These include planting non-host plants in infected areas, using tolerant or resistant cultivars, controlling the vectors and destroying all diseased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A (2008) The detection of plum pox virus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by enzyme-linked immunosorbent assay (ELISA).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215-221.</w:t>
      </w:r>
    </w:p>
    <w:p>
      <w:pPr>
        <w:widowControl w:val="on"/>
        <w:pBdr/>
        <w:spacing w:before="220" w:after="220" w:line="240" w:lineRule="auto"/>
        <w:ind w:left="0" w:right="0"/>
        <w:jc w:val="left"/>
      </w:pPr>
      <w:r>
        <w:rPr>
          <w:rFonts w:ascii="Calibri" w:hAnsi="Calibri" w:eastAsia="Calibri" w:cs="Calibri"/>
          <w:color w:val="000000"/>
          <w:sz w:val="22"/>
          <w:szCs w:val="22"/>
        </w:rPr>
        <w:t xml:space="preserve">Atanasoff D (1932) Plum pox. A new virus disease. </w:t>
      </w:r>
      <w:r>
        <w:rPr>
          <w:rFonts w:ascii="Calibri" w:hAnsi="Calibri" w:eastAsia="Calibri" w:cs="Calibri"/>
          <w:i/>
          <w:iCs/>
          <w:color w:val="000000"/>
          <w:sz w:val="22"/>
          <w:szCs w:val="22"/>
        </w:rPr>
        <w:t xml:space="preserve">Annals of the University of Sofia, Faculty of Agriculture and Silviculture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49-69.</w:t>
      </w:r>
    </w:p>
    <w:p>
      <w:pPr>
        <w:widowControl w:val="on"/>
        <w:pBdr/>
        <w:spacing w:before="220" w:after="220" w:line="240" w:lineRule="auto"/>
        <w:ind w:left="0" w:right="0"/>
        <w:jc w:val="left"/>
      </w:pPr>
      <w:r>
        <w:rPr>
          <w:rFonts w:ascii="Calibri" w:hAnsi="Calibri" w:eastAsia="Calibri" w:cs="Calibri"/>
          <w:color w:val="000000"/>
          <w:sz w:val="22"/>
          <w:szCs w:val="22"/>
        </w:rPr>
        <w:t xml:space="preserve">Boulila M, Briard P, Ravelonandro M (2004) Outbreak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197-201.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(2017) Sharka, a vector-borne disease caused by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vector species, transmission mechanism, epidemiology and mitigation strategies to reduce its natural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1163</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Gil M, Bertolini E, Olmos A (2011) Immunology and immunological assays applied to the detection, diagnosis and control of fruit tree viruses. In: </w:t>
      </w:r>
      <w:r>
        <w:rPr>
          <w:rFonts w:ascii="Calibri" w:hAnsi="Calibri" w:eastAsia="Calibri" w:cs="Calibri"/>
          <w:i/>
          <w:iCs/>
          <w:color w:val="000000"/>
          <w:sz w:val="22"/>
          <w:szCs w:val="22"/>
        </w:rPr>
        <w:t xml:space="preserve">Virus and Virus-like Disease of Pome and Stone Fruits (Hadidi, A., Barba, M., Candresse, T. and Jelkmann, W., eds)</w:t>
      </w:r>
      <w:r>
        <w:rPr>
          <w:rFonts w:ascii="Calibri" w:hAnsi="Calibri" w:eastAsia="Calibri" w:cs="Calibri"/>
          <w:color w:val="000000"/>
          <w:sz w:val="22"/>
          <w:szCs w:val="22"/>
        </w:rPr>
        <w:t xml:space="preserve">, pp. 303–313. St. Paul, Minnesota: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Myrta A, Palkovics L, Navrátil M, Barba M, Gorris MT, Capote N (2006a) Serological detection and characterisation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254-261.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Capote N, Myrta A, Llácer G (2006b)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the estimated costs associated with sharka disease.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202-204.</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Asensio M, Gorris, M, Pérez E, Camarassa E, García JA, Moya JJ, López-Abella D, Vela C, Sanz A (1994)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using monoclonal antibodies to structural and non-structural proteins.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Cambra M, Dallot S, Lanneau M, Asensio M, Gorris MT, Revers F, Macquaire G, Olmos A, Boscia D, Quiot JB, Dunez J (1998) Comparison of monoclonal antibodies and polymerase chain reaction assays for the typing of isolates belonging to the D and M serotypes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198-204.</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SaenzP, García JA, Boscia D, Navratil M, Gorris MT, Cambra M (2011) Analysis of the epitope structure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coat protein.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611–619.</w:t>
      </w:r>
    </w:p>
    <w:p>
      <w:pPr>
        <w:widowControl w:val="on"/>
        <w:pBdr/>
        <w:spacing w:before="220" w:after="220" w:line="240" w:lineRule="auto"/>
        <w:ind w:left="0" w:right="0"/>
        <w:jc w:val="left"/>
      </w:pPr>
      <w:r>
        <w:rPr>
          <w:rFonts w:ascii="Calibri" w:hAnsi="Calibri" w:eastAsia="Calibri" w:cs="Calibri"/>
          <w:color w:val="000000"/>
          <w:sz w:val="22"/>
          <w:szCs w:val="22"/>
        </w:rPr>
        <w:t xml:space="preserve">Capote N, Bertolini E, Olmos A, Vidal E, Martínez MC, Cambra M (2009) Direct sample preparation methods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real-time RT-PCR.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Chirkov S, Sheveleva A, Ivanov P, Zakubanskiy A (2018) Analysis of genetic diversity of Russian sour cherry </w:t>
      </w:r>
      <w:r>
        <w:rPr>
          <w:rFonts w:ascii="Calibri" w:hAnsi="Calibri" w:eastAsia="Calibri" w:cs="Calibri"/>
          <w:i/>
          <w:iCs/>
          <w:color w:val="000000"/>
          <w:sz w:val="22"/>
          <w:szCs w:val="22"/>
        </w:rPr>
        <w:t xml:space="preserve">Plum pox virus </w:t>
      </w:r>
      <w:r>
        <w:rPr>
          <w:rFonts w:ascii="Calibri" w:hAnsi="Calibri" w:eastAsia="Calibri" w:cs="Calibri"/>
          <w:color w:val="000000"/>
          <w:sz w:val="22"/>
          <w:szCs w:val="22"/>
        </w:rPr>
        <w:t xml:space="preserve">isolates provides evidence of a new strain.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569-575.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Clemente-Moreno MJ, Hernández JA, Diaz-Vivancos P (2015) Sharka: how do plants respond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25-35.</w:t>
      </w:r>
    </w:p>
    <w:p>
      <w:pPr>
        <w:widowControl w:val="on"/>
        <w:pBdr/>
        <w:spacing w:before="220" w:after="220" w:line="240" w:lineRule="auto"/>
        <w:ind w:left="0" w:right="0"/>
        <w:jc w:val="left"/>
      </w:pPr>
      <w:r>
        <w:rPr>
          <w:rFonts w:ascii="Calibri" w:hAnsi="Calibri" w:eastAsia="Calibri" w:cs="Calibri"/>
          <w:color w:val="000000"/>
          <w:sz w:val="22"/>
          <w:szCs w:val="22"/>
        </w:rPr>
        <w:t xml:space="preserve">Crescenzi A, d'Aquino L, Comes S, Nuzzaci M, Piazzolla P, Boscia D, Hadidi A (1997) Characterization of the sweet cherry isolate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711-714.</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Bousalem M, Boeglin M, Renaud LY, Quiot JB (1997) Potential role of almond in sharka epidemics: susceptibility under controlled conditions to the main 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survey for natural infections in France.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539–546.</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Gottwald T, Labonne G, Quiot JB (2003) Spatial pattern analysis of sharka disease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strain M) in peach orchards of southern France.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1543-1552.</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Scorza R, Stone AL, Schneider WL, Webb K, Demuth M, Gildow FE (2007) Prunus host range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in the United States by aphid and graft inoculation.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Waterworth HE, Mink GI, Howell WE, Levy L (1997)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as a diagnostic host for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329-332.</w:t>
      </w:r>
    </w:p>
    <w:p>
      <w:pPr>
        <w:widowControl w:val="on"/>
        <w:pBdr/>
        <w:spacing w:before="220" w:after="220" w:line="240" w:lineRule="auto"/>
        <w:ind w:left="0" w:right="0"/>
        <w:jc w:val="left"/>
      </w:pPr>
      <w:r>
        <w:rPr>
          <w:rFonts w:ascii="Calibri" w:hAnsi="Calibri" w:eastAsia="Calibri" w:cs="Calibri"/>
          <w:color w:val="000000"/>
          <w:sz w:val="22"/>
          <w:szCs w:val="22"/>
        </w:rPr>
        <w:t xml:space="preserve">Dosba F, Lansac M, Pêcheur G, Teyssier B, Piquemal JP, Michel M (1986)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detection by ELISA technique in peach and apricot infected trees at different growing stage.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187-191.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(1991/1992) Certification schemes. Virus-free or virus-tested fruit trees and rootstocks.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267-278;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253-284.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Diagnostic protocol for regulated pests.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3/76 (1)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 inspection of places of production.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Fotiou IS, Pappi PG, Efthimiou KE, Katis NI, Maliogka VI (2019) Development of one-tube real-time RT-qPCR for the universal detection and quantification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Glasa M, Cambra M, Candresse T (2014)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A model potyvirus and a major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226-241.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Cambra M (2007)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disease. </w:t>
      </w:r>
      <w:r>
        <w:rPr>
          <w:rFonts w:ascii="Calibri" w:hAnsi="Calibri" w:eastAsia="Calibri" w:cs="Calibri"/>
          <w:i/>
          <w:iCs/>
          <w:color w:val="000000"/>
          <w:sz w:val="22"/>
          <w:szCs w:val="22"/>
        </w:rPr>
        <w:t xml:space="preserve">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69–79.</w:t>
      </w:r>
    </w:p>
    <w:p>
      <w:pPr>
        <w:widowControl w:val="on"/>
        <w:pBdr/>
        <w:spacing w:before="220" w:after="220" w:line="240" w:lineRule="auto"/>
        <w:ind w:left="0" w:right="0"/>
        <w:jc w:val="left"/>
      </w:pPr>
      <w:r>
        <w:rPr>
          <w:rFonts w:ascii="Calibri" w:hAnsi="Calibri" w:eastAsia="Calibri" w:cs="Calibri"/>
          <w:color w:val="000000"/>
          <w:sz w:val="22"/>
          <w:szCs w:val="22"/>
        </w:rPr>
        <w:t xml:space="preserve">Gentit P (2006)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biological methods.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Gildow F, Damsteegt V, Stone A, Schneider W, Luster D, Levy L (2004) Plum pox in North America: identification of aphid vectors and a potential role for fruit in virus spread.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868–874.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AAB Description of Plant Viruses. No. 410. </w:t>
      </w:r>
      <w:hyperlink r:id="rId485568e8d31a8d771" w:history="1">
        <w:r>
          <w:rPr>
            <w:rFonts w:ascii="Calibri" w:hAnsi="Calibri" w:eastAsia="Calibri" w:cs="Calibri"/>
            <w:color w:val="0000CC"/>
            <w:sz w:val="22"/>
            <w:szCs w:val="22"/>
            <w:u w:val="single"/>
          </w:rPr>
          <w:t xml:space="preserve">http://www.dpvweb.net/dpv/showdpv.php?dpvno=410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Glasa M, Hričovský I, Kúdela O (1999) Evidence for non-transmission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seed in infected plum and myrobalan.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Partial sequence analysis of an atypical Turkish isolate provides further information on the evolutionary history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199-206.</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Palkovics L, Komínek P, Labonne G, Pittnerova S, Kudela O, Candresse T, Šubr Z (2004) Geographically and temporally distant natural recombinant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are genetically very similar and form a unique PPV subgroup.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2671–2681.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Predajna L, Šubr Z (2010) Competitiveness of different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in experimental mixed infections reveals rather isolate- than strain specific behaviour.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267-271.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Prikhodko Y, Predajna L, Nagyova A, Shneyder Y, Zhivaeva T, Subr Z, Cambra M, Candresse T (2013) Characterization of sour cherry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the Volga basin in Russia reveals a new cherry strain of the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972-979.</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Avinent L, Llácer G, Hermoso de Mendoza A, Cambra M (1995) Analysis of the spatial spread of sharka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apricot and peach orchards in 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266-278.</w:t>
      </w:r>
    </w:p>
    <w:p>
      <w:pPr>
        <w:widowControl w:val="on"/>
        <w:pBdr/>
        <w:spacing w:before="220" w:after="220" w:line="240" w:lineRule="auto"/>
        <w:ind w:left="0" w:right="0"/>
        <w:jc w:val="left"/>
      </w:pPr>
      <w:r>
        <w:rPr>
          <w:rFonts w:ascii="Calibri" w:hAnsi="Calibri" w:eastAsia="Calibri" w:cs="Calibri"/>
          <w:color w:val="000000"/>
          <w:sz w:val="22"/>
          <w:szCs w:val="22"/>
        </w:rPr>
        <w:t xml:space="preserve">Hadersdorfer J, Neumüller M, Treutter D, Fischer TC (2011) Fast and reliable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woody host plants using the Blue LAMP protocol.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456-466.</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Levy L (1994) Accurate identification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its differentiation from </w:t>
      </w:r>
      <w:r>
        <w:rPr>
          <w:rFonts w:ascii="Calibri" w:hAnsi="Calibri" w:eastAsia="Calibri" w:cs="Calibri"/>
          <w:i/>
          <w:iCs/>
          <w:color w:val="000000"/>
          <w:sz w:val="22"/>
          <w:szCs w:val="22"/>
        </w:rPr>
        <w:t xml:space="preserve">Asian prunus latent potyvirus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germplasm.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633-643.</w:t>
      </w:r>
    </w:p>
    <w:p>
      <w:pPr>
        <w:widowControl w:val="on"/>
        <w:pBdr/>
        <w:spacing w:before="220" w:after="220" w:line="240" w:lineRule="auto"/>
        <w:ind w:left="0" w:right="0"/>
        <w:jc w:val="left"/>
      </w:pPr>
      <w:r>
        <w:rPr>
          <w:rFonts w:ascii="Calibri" w:hAnsi="Calibri" w:eastAsia="Calibri" w:cs="Calibri"/>
          <w:color w:val="000000"/>
          <w:sz w:val="22"/>
          <w:szCs w:val="22"/>
        </w:rPr>
        <w:t xml:space="preserve">Hajizadeh M, Gibbs AJ, Amirnia F, Glasa M (2019) The global phylogeny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 emerging.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Hartmann W (1998) Hypersensitivity—a possibility for breeding sharka resistant plum hybrids.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G (2013) Investigations of the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Chile in the past 20 years. </w:t>
      </w:r>
      <w:r>
        <w:rPr>
          <w:rFonts w:ascii="Calibri" w:hAnsi="Calibri" w:eastAsia="Calibri" w:cs="Calibri"/>
          <w:i/>
          <w:iCs/>
          <w:color w:val="000000"/>
          <w:sz w:val="22"/>
          <w:szCs w:val="22"/>
        </w:rPr>
        <w:t xml:space="preserve">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IPPC-FAO (2012) International standards for phytosanitary measures: diagnostic protocols: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ISPM 27, Annex 2 (DP2).</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Thompson D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222-224.</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(2005) Nucleotide sequence analysis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 W3174: evidence of a new strain.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Jridi C, Martin JF, Marie-Jeanne V, Labonne G, Blanc S (2006) Distinct viral populations differentiate and evolve independently in a single perennial host plant.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2349-2357.</w:t>
      </w:r>
    </w:p>
    <w:p>
      <w:pPr>
        <w:widowControl w:val="on"/>
        <w:pBdr/>
        <w:spacing w:before="220" w:after="220" w:line="240" w:lineRule="auto"/>
        <w:ind w:left="0" w:right="0"/>
        <w:jc w:val="left"/>
      </w:pPr>
      <w:r>
        <w:rPr>
          <w:rFonts w:ascii="Calibri" w:hAnsi="Calibri" w:eastAsia="Calibri" w:cs="Calibri"/>
          <w:color w:val="000000"/>
          <w:sz w:val="22"/>
          <w:szCs w:val="22"/>
        </w:rPr>
        <w:t xml:space="preserve">Kalashyan YA, Bilkey ND, Verderevskaya TD, Rubina EV (1994)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on sour cherry in Moldova.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645-649.</w:t>
      </w:r>
    </w:p>
    <w:p>
      <w:pPr>
        <w:widowControl w:val="on"/>
        <w:pBdr/>
        <w:spacing w:before="220" w:after="220" w:line="240" w:lineRule="auto"/>
        <w:ind w:left="0" w:right="0"/>
        <w:jc w:val="left"/>
      </w:pPr>
      <w:r>
        <w:rPr>
          <w:rFonts w:ascii="Calibri" w:hAnsi="Calibri" w:eastAsia="Calibri" w:cs="Calibri"/>
          <w:color w:val="000000"/>
          <w:sz w:val="22"/>
          <w:szCs w:val="22"/>
        </w:rPr>
        <w:t xml:space="preserve">Kegler H, Fuchs E, Gruntzig M, Schwarz S (1998) Some results of 50 years of research on the resistance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200-215.</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Dunez J (1979) Différenciation biologique et sérologique des souches du virus de la sharka.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Maison P, Lansac M, Dunez J (1980) Preliminary studies of the antagonism between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(2001) Aphids can acquire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infected fruits.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(2006) The behaviour of alate aphids inside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orchard: an element to take into account for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701</w:t>
      </w:r>
      <w:r>
        <w:rPr>
          <w:rFonts w:ascii="Calibri" w:hAnsi="Calibri" w:eastAsia="Calibri" w:cs="Calibri"/>
          <w:color w:val="000000"/>
          <w:sz w:val="22"/>
          <w:szCs w:val="22"/>
        </w:rPr>
        <w:t xml:space="preserve">, 427-432.</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Yvon M, Quiot JB, Avinent L, Llacer G (1995) Aphids as potential vectors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comparison of methods of testing and epidemiological consequences.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207-218.</w:t>
      </w:r>
    </w:p>
    <w:p>
      <w:pPr>
        <w:widowControl w:val="on"/>
        <w:pBdr/>
        <w:spacing w:before="220" w:after="220" w:line="240" w:lineRule="auto"/>
        <w:ind w:left="0" w:right="0"/>
        <w:jc w:val="left"/>
      </w:pPr>
      <w:r>
        <w:rPr>
          <w:rFonts w:ascii="Calibri" w:hAnsi="Calibri" w:eastAsia="Calibri" w:cs="Calibri"/>
          <w:color w:val="000000"/>
          <w:sz w:val="22"/>
          <w:szCs w:val="22"/>
        </w:rPr>
        <w:t xml:space="preserve">Levy L, Damsteegt V, Welliver R (2000)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(sharka 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202.</w:t>
      </w:r>
    </w:p>
    <w:p>
      <w:pPr>
        <w:widowControl w:val="on"/>
        <w:pBdr/>
        <w:spacing w:before="220" w:after="220" w:line="240" w:lineRule="auto"/>
        <w:ind w:left="0" w:right="0"/>
        <w:jc w:val="left"/>
      </w:pPr>
      <w:r>
        <w:rPr>
          <w:rFonts w:ascii="Calibri" w:hAnsi="Calibri" w:eastAsia="Calibri" w:cs="Calibri"/>
          <w:color w:val="000000"/>
          <w:sz w:val="22"/>
          <w:szCs w:val="22"/>
        </w:rPr>
        <w:t xml:space="preserve">Llácer G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herbaceous hosts.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227–228.</w:t>
      </w:r>
    </w:p>
    <w:p>
      <w:pPr>
        <w:widowControl w:val="on"/>
        <w:pBdr/>
        <w:spacing w:before="220" w:after="220" w:line="240" w:lineRule="auto"/>
        <w:ind w:left="0" w:right="0"/>
        <w:jc w:val="left"/>
      </w:pPr>
      <w:r>
        <w:rPr>
          <w:rFonts w:ascii="Calibri" w:hAnsi="Calibri" w:eastAsia="Calibri" w:cs="Calibri"/>
          <w:color w:val="000000"/>
          <w:sz w:val="22"/>
          <w:szCs w:val="22"/>
        </w:rPr>
        <w:t xml:space="preserve">López MM, Bertolini E, Olmos A, Caruso P, Gorris MT, Llop P, Penyalver R, Cambra M (2003) Innovative tools for detection of plant pathogenic viruses and bacteria.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Maejima K, Hoshi H, Hashimoto M, Himeno M, Kawanishi T, Komatsu K, Yamaji Y, Hamamoto H, Namba S (2010)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infecting Japanese apricot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Sieb. et Zucc.)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229-231.</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Candresse T (2016) New insights into Asian Prunus viruses in the light of NGS-based full genome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e0146420. doi:10.1371/journal.pone.0146420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Martínez-Gómez P, Dicenta F, Audergon JM (2000) Behaviour of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 cultivars in the presence of sharka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407-422.</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A, Fereres A, Cambra M (2009) Quantitative estimation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targets acquired and transmitted by a single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1391-1399.</w:t>
      </w:r>
    </w:p>
    <w:p>
      <w:pPr>
        <w:widowControl w:val="on"/>
        <w:pBdr/>
        <w:spacing w:before="220" w:after="220" w:line="240" w:lineRule="auto"/>
        <w:ind w:left="0" w:right="0"/>
        <w:jc w:val="left"/>
      </w:pPr>
      <w:r>
        <w:rPr>
          <w:rFonts w:ascii="Calibri" w:hAnsi="Calibri" w:eastAsia="Calibri" w:cs="Calibri"/>
          <w:color w:val="000000"/>
          <w:sz w:val="22"/>
          <w:szCs w:val="22"/>
        </w:rPr>
        <w:t xml:space="preserve">Nemchinov L, Hadidi A, Maiss E, Cambra M, Candresse T, Damsteegt V (1996) Sour cherry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(PPV): molecular and serological evidence for a new subgroup of PPV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1215-1221.</w:t>
      </w:r>
    </w:p>
    <w:p>
      <w:pPr>
        <w:widowControl w:val="on"/>
        <w:pBdr/>
        <w:spacing w:before="220" w:after="220" w:line="240" w:lineRule="auto"/>
        <w:ind w:left="0" w:right="0"/>
        <w:jc w:val="left"/>
      </w:pPr>
      <w:r>
        <w:rPr>
          <w:rFonts w:ascii="Calibri" w:hAnsi="Calibri" w:eastAsia="Calibri" w:cs="Calibri"/>
          <w:color w:val="000000"/>
          <w:sz w:val="22"/>
          <w:szCs w:val="22"/>
        </w:rPr>
        <w:t xml:space="preserve">Ng JC, Falk BW (2006) Virus-vector interactions mediating nonpersistent and semipersistent transmission of plant viruses.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183–212.</w:t>
      </w:r>
    </w:p>
    <w:p>
      <w:pPr>
        <w:widowControl w:val="on"/>
        <w:pBdr/>
        <w:spacing w:before="220" w:after="220" w:line="240" w:lineRule="auto"/>
        <w:ind w:left="0" w:right="0"/>
        <w:jc w:val="left"/>
      </w:pPr>
      <w:r>
        <w:rPr>
          <w:rFonts w:ascii="Calibri" w:hAnsi="Calibri" w:eastAsia="Calibri" w:cs="Calibri"/>
          <w:color w:val="000000"/>
          <w:sz w:val="22"/>
          <w:szCs w:val="22"/>
        </w:rPr>
        <w:t xml:space="preserve">Olmos A, Bertolini E, Cambra M (2002). Simultaneous and Co-operational amplification (Co-PCR) for detection of plant 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51-59. </w:t>
      </w:r>
    </w:p>
    <w:p>
      <w:pPr>
        <w:widowControl w:val="on"/>
        <w:pBdr/>
        <w:spacing w:before="220" w:after="220" w:line="240" w:lineRule="auto"/>
        <w:ind w:left="0" w:right="0"/>
        <w:jc w:val="left"/>
      </w:pPr>
      <w:r>
        <w:rPr>
          <w:rFonts w:ascii="Calibri" w:hAnsi="Calibri" w:eastAsia="Calibri" w:cs="Calibri"/>
          <w:color w:val="000000"/>
          <w:sz w:val="22"/>
          <w:szCs w:val="22"/>
        </w:rPr>
        <w:t xml:space="preserve">Palmisano F, Boscia D, Minafra A, Myrta A, Candresse T (2012) An atypical Albanian isolate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could be the progenitor of the Marcus strain. In: </w:t>
      </w:r>
      <w:r>
        <w:rPr>
          <w:rFonts w:ascii="Calibri" w:hAnsi="Calibri" w:eastAsia="Calibri" w:cs="Calibri"/>
          <w:i/>
          <w:iCs/>
          <w:color w:val="000000"/>
          <w:sz w:val="22"/>
          <w:szCs w:val="22"/>
        </w:rPr>
        <w:t xml:space="preserve">22nd International Conference on Virus and Other Graft Transmissible Diseases of Fruit Crops</w:t>
      </w:r>
      <w:r>
        <w:rPr>
          <w:rFonts w:ascii="Calibri" w:hAnsi="Calibri" w:eastAsia="Calibri" w:cs="Calibri"/>
          <w:color w:val="000000"/>
          <w:sz w:val="22"/>
          <w:szCs w:val="22"/>
        </w:rPr>
        <w:t xml:space="preserve">, June 3–8, Rome, Book of Abstracts, p. 33.</w:t>
      </w:r>
    </w:p>
    <w:p>
      <w:pPr>
        <w:widowControl w:val="on"/>
        <w:pBdr/>
        <w:spacing w:before="220" w:after="220" w:line="240" w:lineRule="auto"/>
        <w:ind w:left="0" w:right="0"/>
        <w:jc w:val="left"/>
      </w:pPr>
      <w:r>
        <w:rPr>
          <w:rFonts w:ascii="Calibri" w:hAnsi="Calibri" w:eastAsia="Calibri" w:cs="Calibri"/>
          <w:color w:val="000000"/>
          <w:sz w:val="22"/>
          <w:szCs w:val="22"/>
        </w:rPr>
        <w:t xml:space="preserve">Pasquini G, Barba M (2006) The question of seed transmissibility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287-292.</w:t>
      </w:r>
    </w:p>
    <w:p>
      <w:pPr>
        <w:widowControl w:val="on"/>
        <w:pBdr/>
        <w:spacing w:before="220" w:after="220" w:line="240" w:lineRule="auto"/>
        <w:ind w:left="0" w:right="0"/>
        <w:jc w:val="left"/>
      </w:pPr>
      <w:r>
        <w:rPr>
          <w:rFonts w:ascii="Calibri" w:hAnsi="Calibri" w:eastAsia="Calibri" w:cs="Calibri"/>
          <w:color w:val="000000"/>
          <w:sz w:val="22"/>
          <w:szCs w:val="22"/>
        </w:rPr>
        <w:t xml:space="preserve">Pleydell DRJ, Soubeyrand S, Dallot S, Labonne G, Chadœuf J, Jacquot E, Thebaud G (2018) Estimation of the dispersal distances of an aphid-borne virus in a patchy landscape.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e1006085, doi: 10.1371/journal.pcbi.1006085</w:t>
      </w:r>
    </w:p>
    <w:p>
      <w:pPr>
        <w:widowControl w:val="on"/>
        <w:pBdr/>
        <w:spacing w:before="220" w:after="220" w:line="240" w:lineRule="auto"/>
        <w:ind w:left="0" w:right="0"/>
        <w:jc w:val="left"/>
      </w:pPr>
      <w:r>
        <w:rPr>
          <w:rFonts w:ascii="Calibri" w:hAnsi="Calibri" w:eastAsia="Calibri" w:cs="Calibri"/>
          <w:color w:val="000000"/>
          <w:sz w:val="22"/>
          <w:szCs w:val="22"/>
        </w:rPr>
        <w:t xml:space="preserve">Predajňa L, Šubr Z, Candresse T, Glasa M (2012) Evaluation of the genetic diversity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 single plum tree.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112–117.</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Delaunay A, Borron S, Soubeyrand S, Thébaud G, Jacquot E (2015b) Assessing the mismatch between incubation and latent periods for vector-borne diseases: The case of sharka.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1408-1416.</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Gottwald T, Decroocq V, Jacquot E, Soubeyrand S, Thébaud G (2015a) Sharka epidemiology and worldwide management strategies: learning lessons to optimize disease control in perennial plants.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357-378. </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AA, Garcia JA (2019) Molecular Plant-</w:t>
      </w:r>
      <w:r>
        <w:rPr>
          <w:rFonts w:ascii="Calibri" w:hAnsi="Calibri" w:eastAsia="Calibri" w:cs="Calibri"/>
          <w:i/>
          <w:iCs/>
          <w:color w:val="000000"/>
          <w:sz w:val="22"/>
          <w:szCs w:val="22"/>
        </w:rPr>
        <w:t xml:space="preserve">Plum pox vi</w:t>
      </w:r>
      <w:r>
        <w:rPr>
          <w:rFonts w:ascii="Calibri" w:hAnsi="Calibri" w:eastAsia="Calibri" w:cs="Calibri"/>
          <w:color w:val="000000"/>
          <w:sz w:val="22"/>
          <w:szCs w:val="22"/>
        </w:rPr>
        <w:t xml:space="preserve">rus interactions.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doi: 10.1094/MPMI-07-19-0189-FI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 Mingot A, San León D, Baulcombe D, López-Moya JJ, García JA (2015) RNA  polymerase slippage as a mechanism for the production of frameshift gene products in plant viruses of the Potyviridae family.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6965-6967.</w:t>
      </w:r>
    </w:p>
    <w:p>
      <w:pPr>
        <w:widowControl w:val="on"/>
        <w:pBdr/>
        <w:spacing w:before="220" w:after="220" w:line="240" w:lineRule="auto"/>
        <w:ind w:left="0" w:right="0"/>
        <w:jc w:val="left"/>
      </w:pPr>
      <w:r>
        <w:rPr>
          <w:rFonts w:ascii="Calibri" w:hAnsi="Calibri" w:eastAsia="Calibri" w:cs="Calibri"/>
          <w:color w:val="000000"/>
          <w:sz w:val="22"/>
          <w:szCs w:val="22"/>
        </w:rPr>
        <w:t xml:space="preserve">Scorza R, Ravelonandro M, Callahan A, Zagrai I, Polak J, Malinowski T, Cambra M, Levy L, Damsteegt V, Krška B, Cordts J, Gonsalves D, Dardick C (2016) ‘HoneySweet’(C5), the first genetically engineered plum pox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L.) cultivar.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601–603.</w:t>
      </w:r>
    </w:p>
    <w:p>
      <w:pPr>
        <w:widowControl w:val="on"/>
        <w:pBdr/>
        <w:spacing w:before="220" w:after="220" w:line="240" w:lineRule="auto"/>
        <w:ind w:left="0" w:right="0"/>
        <w:jc w:val="left"/>
      </w:pPr>
      <w:r>
        <w:rPr>
          <w:rFonts w:ascii="Calibri" w:hAnsi="Calibri" w:eastAsia="Calibri" w:cs="Calibri"/>
          <w:color w:val="000000"/>
          <w:sz w:val="22"/>
          <w:szCs w:val="22"/>
        </w:rPr>
        <w:t xml:space="preserve">Sihelská N, Glasa M, Šubr Z (2017) Host preference of the major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 opinions based on regional and world-wide sequence data.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510-515.</w:t>
      </w:r>
    </w:p>
    <w:p>
      <w:pPr>
        <w:widowControl w:val="on"/>
        <w:pBdr/>
        <w:spacing w:before="220" w:after="220" w:line="240" w:lineRule="auto"/>
        <w:ind w:left="0" w:right="0"/>
        <w:jc w:val="left"/>
      </w:pPr>
      <w:r>
        <w:rPr>
          <w:rFonts w:ascii="Calibri" w:hAnsi="Calibri" w:eastAsia="Calibri" w:cs="Calibri"/>
          <w:color w:val="000000"/>
          <w:sz w:val="22"/>
          <w:szCs w:val="22"/>
        </w:rPr>
        <w:t xml:space="preserve">Sochor J, Babula,P, Adam V, Krska B, Kizek R (2012) Sharka: the past, the present and the future.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2853-2901.</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Glasa M (2008)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variability detected by the advanced analytical methods.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75-90.</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Pittnerova S, Glasa M (2004) A simplified RT-PCR-based detection of recombinant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Sutic D (1961) Assay of transmission of sharka virus disease by sap inoculation to herbaceous plants. </w:t>
      </w:r>
      <w:r>
        <w:rPr>
          <w:rFonts w:ascii="Calibri" w:hAnsi="Calibri" w:eastAsia="Calibri" w:cs="Calibri"/>
          <w:i/>
          <w:iCs/>
          <w:color w:val="000000"/>
          <w:sz w:val="22"/>
          <w:szCs w:val="22"/>
        </w:rPr>
        <w:t xml:space="preserve">T. Planteavl.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138-146.</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D, McCann M, McLeod M, Lye D, Green M, James D (2001) First report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97.</w:t>
      </w:r>
    </w:p>
    <w:p>
      <w:pPr>
        <w:widowControl w:val="on"/>
        <w:pBdr/>
        <w:spacing w:before="220" w:after="220" w:line="240" w:lineRule="auto"/>
        <w:ind w:left="0" w:right="0"/>
        <w:jc w:val="left"/>
      </w:pPr>
      <w:r>
        <w:rPr>
          <w:rFonts w:ascii="Calibri" w:hAnsi="Calibri" w:eastAsia="Calibri" w:cs="Calibri"/>
          <w:color w:val="000000"/>
          <w:sz w:val="22"/>
          <w:szCs w:val="22"/>
        </w:rPr>
        <w:t xml:space="preserve">Ulubas Serçe C, Candresse T, Svanella-Dumas L, Krizba, L, Gazel M, Çaglayan K (2009) Further characterization of a new recombinant group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PPV-T, found in orchards in the Ankara province of Turkey.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USDA declares United States free from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hyperlink r:id="rId857868e8d31a8ee6e" w:history="1">
        <w:r>
          <w:rPr>
            <w:rFonts w:ascii="Calibri" w:hAnsi="Calibri" w:eastAsia="Calibri" w:cs="Calibri"/>
            <w:color w:val="0000CC"/>
            <w:sz w:val="22"/>
            <w:szCs w:val="22"/>
            <w:u w:val="single"/>
          </w:rPr>
          <w:t xml:space="preserve">https://www.aphis.usda.gov/aphis/newsroom/news/sa_by_date/sa-2019/plum-pox-declaration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(2006) Use of reverse transcription loop-mediated isothermal amplification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Virological Methods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184-190.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(2005) Detection and differentiation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using real-time multiplex PCR with SYBR Green and melting curve analysis: a rapid method for strain typing.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213-220.</w:t>
      </w:r>
    </w:p>
    <w:p>
      <w:pPr>
        <w:widowControl w:val="on"/>
        <w:pBdr/>
        <w:spacing w:before="220" w:after="220" w:line="240" w:lineRule="auto"/>
        <w:ind w:left="0" w:right="0"/>
        <w:jc w:val="left"/>
      </w:pPr>
      <w:r>
        <w:rPr>
          <w:rFonts w:ascii="Calibri" w:hAnsi="Calibri" w:eastAsia="Calibri" w:cs="Calibri"/>
          <w:color w:val="000000"/>
          <w:sz w:val="22"/>
          <w:szCs w:val="22"/>
        </w:rPr>
        <w:t xml:space="preserve">Vidal E, Zagrai L, Milusheva S, Bozhkova V, Tasheva-Terzieva E, Kamenova I, Zagrai I, Cambra M (2013) Horticultural mineral oil treatments in nurseries during aphid flights reduce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incidence under different ecological conditions.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299-308.</w:t>
      </w:r>
    </w:p>
    <w:p>
      <w:pPr>
        <w:widowControl w:val="on"/>
        <w:pBdr/>
        <w:spacing w:before="220" w:after="220" w:line="240" w:lineRule="auto"/>
        <w:ind w:left="0" w:right="0"/>
        <w:jc w:val="left"/>
      </w:pPr>
      <w:r>
        <w:rPr>
          <w:rFonts w:ascii="Calibri" w:hAnsi="Calibri" w:eastAsia="Calibri" w:cs="Calibri"/>
          <w:color w:val="000000"/>
          <w:sz w:val="22"/>
          <w:szCs w:val="22"/>
        </w:rPr>
        <w:t xml:space="preserve">Virscek Marn M, Mavric I, Urbancic-Zemljic M, Skerlavaj V (2004)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weeds.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T, Candresse T, Ravelonandro M, Delbos RP, Mazyad H, Aboul-Ata AE, Dunez J (1991) Nucleotide sequence of the 3' terminal region of the RNA of the El Amar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1741-1746.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2019 by Thierry Candresse and Miroslav Glasa.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Potyvirus plumpoxi</w:t>
      </w:r>
      <w:r>
        <w:rPr>
          <w:rFonts w:ascii="Calibri" w:hAnsi="Calibri" w:eastAsia="Calibri" w:cs="Calibri"/>
          <w:color w:val="000000"/>
          <w:sz w:val="22"/>
          <w:szCs w:val="22"/>
        </w:rPr>
        <w:t xml:space="preserve">. EPPO datasheets on pests recommended for regulation. Available online. </w:t>
      </w:r>
      <w:hyperlink r:id="rId827368e8d31a8f19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96, </w:t>
      </w:r>
      <w:r>
        <w:rPr>
          <w:rFonts w:ascii="Calibri" w:hAnsi="Calibri" w:eastAsia="Calibri" w:cs="Calibri"/>
          <w:i/>
          <w:iCs/>
          <w:color w:val="000000"/>
          <w:sz w:val="22"/>
          <w:szCs w:val="22"/>
        </w:rPr>
        <w:t xml:space="preserve">Plum pox virus. Bulletin OEPP/EPPO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1-7.</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051920">
    <w:multiLevelType w:val="hybridMultilevel"/>
    <w:lvl w:ilvl="0" w:tplc="96151416">
      <w:start w:val="1"/>
      <w:numFmt w:val="decimal"/>
      <w:lvlText w:val="%1."/>
      <w:lvlJc w:val="left"/>
      <w:pPr>
        <w:ind w:left="720" w:hanging="360"/>
      </w:pPr>
    </w:lvl>
    <w:lvl w:ilvl="1" w:tplc="96151416" w:tentative="1">
      <w:start w:val="1"/>
      <w:numFmt w:val="lowerLetter"/>
      <w:lvlText w:val="%2."/>
      <w:lvlJc w:val="left"/>
      <w:pPr>
        <w:ind w:left="1440" w:hanging="360"/>
      </w:pPr>
    </w:lvl>
    <w:lvl w:ilvl="2" w:tplc="96151416" w:tentative="1">
      <w:start w:val="1"/>
      <w:numFmt w:val="lowerRoman"/>
      <w:lvlText w:val="%3."/>
      <w:lvlJc w:val="right"/>
      <w:pPr>
        <w:ind w:left="2160" w:hanging="180"/>
      </w:pPr>
    </w:lvl>
    <w:lvl w:ilvl="3" w:tplc="96151416" w:tentative="1">
      <w:start w:val="1"/>
      <w:numFmt w:val="decimal"/>
      <w:lvlText w:val="%4."/>
      <w:lvlJc w:val="left"/>
      <w:pPr>
        <w:ind w:left="2880" w:hanging="360"/>
      </w:pPr>
    </w:lvl>
    <w:lvl w:ilvl="4" w:tplc="96151416" w:tentative="1">
      <w:start w:val="1"/>
      <w:numFmt w:val="lowerLetter"/>
      <w:lvlText w:val="%5."/>
      <w:lvlJc w:val="left"/>
      <w:pPr>
        <w:ind w:left="3600" w:hanging="360"/>
      </w:pPr>
    </w:lvl>
    <w:lvl w:ilvl="5" w:tplc="96151416" w:tentative="1">
      <w:start w:val="1"/>
      <w:numFmt w:val="lowerRoman"/>
      <w:lvlText w:val="%6."/>
      <w:lvlJc w:val="right"/>
      <w:pPr>
        <w:ind w:left="4320" w:hanging="180"/>
      </w:pPr>
    </w:lvl>
    <w:lvl w:ilvl="6" w:tplc="96151416" w:tentative="1">
      <w:start w:val="1"/>
      <w:numFmt w:val="decimal"/>
      <w:lvlText w:val="%7."/>
      <w:lvlJc w:val="left"/>
      <w:pPr>
        <w:ind w:left="5040" w:hanging="360"/>
      </w:pPr>
    </w:lvl>
    <w:lvl w:ilvl="7" w:tplc="96151416" w:tentative="1">
      <w:start w:val="1"/>
      <w:numFmt w:val="lowerLetter"/>
      <w:lvlText w:val="%8."/>
      <w:lvlJc w:val="left"/>
      <w:pPr>
        <w:ind w:left="5760" w:hanging="360"/>
      </w:pPr>
    </w:lvl>
    <w:lvl w:ilvl="8" w:tplc="96151416" w:tentative="1">
      <w:start w:val="1"/>
      <w:numFmt w:val="lowerRoman"/>
      <w:lvlText w:val="%9."/>
      <w:lvlJc w:val="right"/>
      <w:pPr>
        <w:ind w:left="6480" w:hanging="180"/>
      </w:pPr>
    </w:lvl>
  </w:abstractNum>
  <w:abstractNum w:abstractNumId="77051919">
    <w:multiLevelType w:val="hybridMultilevel"/>
    <w:lvl w:ilvl="0" w:tplc="452484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051919">
    <w:abstractNumId w:val="77051919"/>
  </w:num>
  <w:num w:numId="77051920">
    <w:abstractNumId w:val="770519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9942171" Type="http://schemas.microsoft.com/office/2011/relationships/commentsExtended" Target="commentsExtended.xml"/><Relationship Id="rId172150457" Type="http://schemas.microsoft.com/office/2011/relationships/people" Target="people.xml"/><Relationship Id="rId756768e8d31a89ef2" Type="http://schemas.openxmlformats.org/officeDocument/2006/relationships/hyperlink" Target="https://gd.eppo.int/taxon/PPV000/" TargetMode="External"/><Relationship Id="rId125168e8d31a89f60" Type="http://schemas.openxmlformats.org/officeDocument/2006/relationships/hyperlink" Target="https://gd.eppo.int/taxon/PPV000/categorization" TargetMode="External"/><Relationship Id="rId811668e8d31a8a757" Type="http://schemas.openxmlformats.org/officeDocument/2006/relationships/hyperlink" Target="https://gd.eppo.int/taxon/PPV000/photos" TargetMode="External"/><Relationship Id="rId485568e8d31a8d771" Type="http://schemas.openxmlformats.org/officeDocument/2006/relationships/hyperlink" Target="http://www.dpvweb.net/dpv/showdpv.php?dpvno=410" TargetMode="External"/><Relationship Id="rId857868e8d31a8ee6e" Type="http://schemas.openxmlformats.org/officeDocument/2006/relationships/hyperlink" Target="https://www.aphis.usda.gov/aphis/newsroom/news/sa_by_date/sa-2019/plum-pox-declaration" TargetMode="External"/><Relationship Id="rId827368e8d31a8f198" Type="http://schemas.openxmlformats.org/officeDocument/2006/relationships/hyperlink" Target="https://gd.eppo.int" TargetMode="External"/><Relationship Id="rId426868e8d31a8a62f" Type="http://schemas.openxmlformats.org/officeDocument/2006/relationships/image" Target="media/imgrId426868e8d31a8a62f.jpg"/><Relationship Id="rId880168e8d31a8baea" Type="http://schemas.openxmlformats.org/officeDocument/2006/relationships/image" Target="media/imgrId880168e8d31a8bae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