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Potyvirus plumpoxi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2020-02-05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Potyvirus plumpoxi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Stelpaviricetes: Patatavirales: Potyviridae: Potyvirus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PPV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Plum pox potyvirus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Plum pox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Prunus virus 7</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pox of plum, sharka</w:t>
            </w:r>
            <w:hyperlink r:id="rId205266982ad43c7f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42666982ad43c85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PPV000</w:t>
            </w:r>
          </w:p>
        </w:tc>
        <w:tc>
          <w:tcPr>
            <w:tcW w:w="2000" w:type="pct"/>
            <w:tcMar>
              <w:top w:w="15" w:type="dxa"/>
              <w:left w:w="15" w:type="dxa"/>
              <w:bottom w:w="15" w:type="dxa"/>
              <w:right w:w="15" w:type="dxa"/>
            </w:tcMar>
            <w:vAlign w:val="center"/>
          </w:tcPr>
          <w:p>
            <w:r>
              <w:rPr>
                <w:position w:val="8"/>
              </w:rPr>
              <w:drawing>
                <wp:inline distT="0" distB="0" distL="0" distR="0">
                  <wp:extent cx="2160000" cy="0"/>
                  <wp:docPr id="74339720" name="name358666982ad43cfe4" descr="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52.jpg"/>
                          <pic:cNvPicPr/>
                        </pic:nvPicPr>
                        <pic:blipFill>
                          <a:blip r:embed="rId696366982ad43cfe2" cstate="print"/>
                          <a:stretch>
                            <a:fillRect/>
                          </a:stretch>
                        </pic:blipFill>
                        <pic:spPr>
                          <a:xfrm>
                            <a:off x="0" y="0"/>
                            <a:ext cx="2160000" cy="0"/>
                          </a:xfrm>
                          <a:prstGeom prst="rect">
                            <a:avLst/>
                          </a:prstGeom>
                          <a:ln w="0">
                            <a:noFill/>
                          </a:ln>
                        </pic:spPr>
                      </pic:pic>
                    </a:graphicData>
                  </a:graphic>
                </wp:inline>
              </w:drawing>
            </w:r>
            <w:hyperlink r:id="rId746066982ad449d5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PPV is so far the only potyvirus known to infect temperate fruit trees. The potential existence of a serologically related virus in some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materials of Asian origin has been reported (Hadidi &amp; Levy, 1994). The existence and identity of this virus, tentatively named prunus latent potyvirus has however not been confirmed in further efforts. In particular, High-Throughput Sequencing of several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sources initially reported to be infected by the prunus latent potyvirus or showing similar PPV-cross reactions to it failed to identify any potyvirus or PPV-like virus (Marais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woody hosts are the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grown for fruit production, including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and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Almond trees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can be infected by PPV but show few symptoms (Dallot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Damsteegt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Natural infection of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attributed to the cherry adapted PPV-C strain has been sporadically observed in Europe (Kalashyan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Crescenzi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 recent identification of two other cherry-adapted strains (PPV-CR and CV,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Chirkov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also shows the epidemiological potential of these PPV strains in the cherry hosts.</w:t>
      </w:r>
    </w:p>
    <w:p>
      <w:pPr>
        <w:widowControl w:val="on"/>
        <w:pBdr/>
        <w:spacing w:before="220" w:after="220" w:line="240" w:lineRule="auto"/>
        <w:ind w:left="0" w:right="0"/>
        <w:jc w:val="both"/>
      </w:pPr>
      <w:r>
        <w:rPr>
          <w:rFonts w:ascii="Calibri" w:hAnsi="Calibri" w:eastAsia="Calibri" w:cs="Calibri"/>
          <w:color w:val="000000"/>
          <w:sz w:val="22"/>
          <w:szCs w:val="22"/>
        </w:rPr>
        <w:t xml:space="preserve">Many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used as rootstock or as ornamentals are natural hosts of PPV, together with a range of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including their interspecific hybrids (James &amp; Thompson, 2006; Damsteegt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PPV infects most wild or ornamental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such as </w:t>
      </w:r>
      <w:r>
        <w:rPr>
          <w:rFonts w:ascii="Calibri" w:hAnsi="Calibri" w:eastAsia="Calibri" w:cs="Calibri"/>
          <w:i/>
          <w:iCs/>
          <w:color w:val="000000"/>
          <w:sz w:val="22"/>
          <w:szCs w:val="22"/>
        </w:rPr>
        <w:t xml:space="preserve">P.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tomentosa</w:t>
      </w:r>
      <w:r>
        <w:rPr>
          <w:rFonts w:ascii="Calibri" w:hAnsi="Calibri" w:eastAsia="Calibri" w:cs="Calibri"/>
          <w:color w:val="000000"/>
          <w:sz w:val="22"/>
          <w:szCs w:val="22"/>
        </w:rPr>
        <w:t xml:space="preserve">, serving as a potential reservoir and source of virus inoculum. Numerous annual cultivated plants or weeds have been shown to be experimental hosts of PPV (Virscek Marn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Llacer, 2006). However, as reports of natural infection of such herbaceous hosts have never been confirmed using two independent diagnostic techniques, and sequence information on the isolate(s) involved has never been provided, their host status is unconfirmed. In any case, natural transmission between such herbaceous plants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has never been demonstrated in nature, so that the epidemiological contribution of herbaceous hosts, if any, remains questionable.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brigantina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curdica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holosericea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incisa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blireana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cistena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sharka symptoms, caused by PPV (Atanasoff, 1932) were observed for the first time in plums in Eastern Europe (Bulgaria) around 1914. PPV subsequently spread, over most of the European continent and Mediterranean basin during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(Garcia &amp; Cambra, 2007). PPV has also been reported from the Americas (Levy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Herrera, 2013), from Asia (Maejima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from Africa (Boulila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It is not yet officially reported from Oceania. In 2019, PPV was reported to be eradicated in the USA (USDA, 2019).</w:t>
      </w:r>
    </w:p>
    <w:p>
      <w:r>
        <w:drawing>
          <wp:inline distT="0" distB="0" distL="0" distR="0">
            <wp:extent cx="6120000" cy="0"/>
            <wp:docPr id="43909908" name="name683366982ad44bdf5" descr="PPV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V000_distribution_map.jpg"/>
                    <pic:cNvPicPr/>
                  </pic:nvPicPr>
                  <pic:blipFill>
                    <a:blip r:embed="rId648566982ad44bdf2"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Belarus, Belgium, Bosnia and Herzegovina, Bulgaria, Croatia, Cyprus, Czech Republic, Denmark, France (mainland, Corse), Germany, Greece (mainland), Hungary, Israel, Italy (mainland, Sicilia), Jordan, Kazakhstan, Latvia, Lithuania, Luxembourg, Moldova, Montenegro, Netherlands, North Macedonia, Norway, Poland, Portugal (mainland, Azores), Romania, Russia (Central Russia, Southern Russia), Serbia, Slovakia, Slovenia, Spain (mainland), Switzerland, Tunisia, Türkiye, Ukraine, United Kingdom (England),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Hubei, Hunan, Jiangsu, Shanghai, Shanxi), India (Himachal Pradesh), Iran, Israel, Japan (Honshu), Jordan, Kazakhstan, Korea, Republic, Pakistan, Syria,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trees are the major source of inoculum. The virus is transmitted from them either by grafting and other vegetative multiplication techniques or non-persistently by aphid vectors (Ng &amp; Falk, 2006; Moreno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Aphis spiraecola, Phorodon humuli, Hyalopterus pruni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Myzus persicae </w:t>
      </w:r>
      <w:r>
        <w:rPr>
          <w:rFonts w:ascii="Calibri" w:hAnsi="Calibri" w:eastAsia="Calibri" w:cs="Calibri"/>
          <w:color w:val="000000"/>
          <w:sz w:val="22"/>
          <w:szCs w:val="22"/>
        </w:rPr>
        <w:t xml:space="preserve">are the main vectors (Cambra &amp; Vidal, 2017). Other aphids have also been shown to transmit the virus: </w:t>
      </w:r>
      <w:r>
        <w:rPr>
          <w:rFonts w:ascii="Calibri" w:hAnsi="Calibri" w:eastAsia="Calibri" w:cs="Calibri"/>
          <w:i/>
          <w:iCs/>
          <w:color w:val="000000"/>
          <w:sz w:val="22"/>
          <w:szCs w:val="22"/>
        </w:rPr>
        <w:t xml:space="preserve">Aphis craccivora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fabae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hederae, Brachycaudus cardui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helychrysi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persicae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Myzus cerasi, M. varians,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Rhopalosiphum padi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Sitobion fragariae</w:t>
      </w:r>
      <w:r>
        <w:rPr>
          <w:rFonts w:ascii="Calibri" w:hAnsi="Calibri" w:eastAsia="Calibri" w:cs="Calibri"/>
          <w:color w:val="000000"/>
          <w:sz w:val="22"/>
          <w:szCs w:val="22"/>
        </w:rPr>
        <w:t xml:space="preserve"> (Labonne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Gildow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trees becoming infected in an orchard is directly related, in a given season, to the population level of winged aphids. These aphids probe or feed on infected leaves, then fly to other trees where they again probe or feed (Labonne &amp; Quiot, 2006). Aphids can also acquire PPV from infected fruits (Labonne &amp; Quiot, 2001). Analysing the spatial distribution of aphid-borne spread in eastern Spain,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concluded that aphids do not spread the disease much to immediately adjacent trees, but to a few trees away. Experiments and modeling show that spread occurs generally within a few hundred meters with about 50% of transmission events occurring within 90 m of the source tree (Pleydell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capacity for vector transmission can vary between viral isolates even within the same strain (Dallot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After inoculation of a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 the incubation period may last several months and systemic spread may take several years. Accordingly, the virus may be distributed very irregularly in trees, possibly explaining the dynamic structure and heterogeneous nature of PPV population(s) in individual hosts (Jridi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Predajňa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Seed or pollen transmission of PPV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has not been confirmed, and is unknown in practice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Pasquini &amp; Barba, 2006).</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strains of PPV were originally distinguished (necrotic, intermediate, yellow) on the basis of symptoms obtained by inoculation of herbaceous indicator plants (Sutic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Then two isolates D (Dideron) and M (Markus), the former on apricot in France and the latter originally on peach in Greece, were serologically differentiated (Kerlan &amp; Dunez, 1979). Further efforts led to the identification of these isolates as typifying two strains differing in serological and molecular properties (Candresse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Later sequencing efforts led to the recognition of further strains (Wetzel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Nemchinov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Ulubas Serçe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James &amp; Varga A, 2005; Palmisano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Chirkov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Currently, a total of ten genetic strains are recognized for PPV (in the order of their discovery: D, M, EA, C, Rec, T, W, An, CR and CV). The three main strains, that have very wide geographical distributions, are PPV-M, D and Rec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Some strains have particular biological/epidemiological features (e.g. cherry-adapted strains C, CR and CV) or a restricted geographical distribution (EA in Egypt, T in Turkey). However, due to a high intra-strain variability, most of strains do not show clear-cut epidemiological characteristics that would separate them from others (Sihelská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Several strains, including Rec and T have been shown to result from recombination events involving the D and M strains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Glasa &amp; Candresse, 2005; Hajizadeh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may appear on leaves or fruits as a consequence of physiological, biochemical, proteomic, and transcriptional or post-transcriptional changes induced by viral infection (Clemente-Moreno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symptoms are particularly clear on leaves at the beginning of the vegetation period: chlorotic spots, bands or rings, vein clearing, or even leaf deformation in peaches. Infected fruits show chlorotic spots or rings. Diseased plums and apricots may be deformed and show internal browning of the flesh; in apricot, the stones show characteristic pale rings or spots. Premature fruit dropping (up to 100%) can occur in the most susceptible cultivars (Sochor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Symptoms of sharka depend very much on PPV isolate, locality, season,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and cultivar and plant organ (leaf or fruit) (Dosba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PPV has filamentous virus particles 750 nm long and 15 nm in diameter. It has a single-stranded RNA genome of ca 10 000 nucleotides, coding for a large polyprotein with a molecular weight of 3.5 x 10</w:t>
      </w:r>
      <w:r>
        <w:rPr>
          <w:rFonts w:ascii="Calibri" w:hAnsi="Calibri" w:eastAsia="Calibri" w:cs="Calibri"/>
          <w:color w:val="000000"/>
          <w:position w:val="4"/>
          <w:sz w:val="22"/>
          <w:szCs w:val="22"/>
          <w:vertAlign w:val="superscript"/>
        </w:rPr>
        <w:t xml:space="preserve">6</w:t>
      </w:r>
      <w:r>
        <w:rPr>
          <w:rFonts w:ascii="Calibri" w:hAnsi="Calibri" w:eastAsia="Calibri" w:cs="Calibri"/>
          <w:color w:val="000000"/>
          <w:sz w:val="22"/>
          <w:szCs w:val="22"/>
        </w:rPr>
        <w:t xml:space="preserve"> Da. The genome encodes 10 mature proteins processed from the viral polyprotein by the action of three viral proteases. As for other potyviruses, transcriptional slippage allows the extension of an out of frame short open reading frame P3N-PIPO (Rodamilans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Protein inclusions of the pinwheel type are present in the cytoplasm of infected cells. The full-length nucleotide sequences of a number of virus isolates belonging to all recognized strains have been determined (García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Genome function in PPV is now increasingly understood, and this virus is now a model for studies on the molecular biology of potyviruses (García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Rodamilans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spite of the irregular distribution of the virus in the tree, visual inspection may allow detection of symptoms in susceptible cultivars, especially during the period of active growth. Testing on susceptible indicators (peach GF305 or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by chip-budding can produce symptoms in 6-8 weeks (Damsteegt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Gentit, 2006). Mechanical inoculation on </w:t>
      </w:r>
      <w:r>
        <w:rPr>
          <w:rFonts w:ascii="Calibri" w:hAnsi="Calibri" w:eastAsia="Calibri" w:cs="Calibri"/>
          <w:i/>
          <w:iCs/>
          <w:color w:val="000000"/>
          <w:sz w:val="22"/>
          <w:szCs w:val="22"/>
        </w:rPr>
        <w:t xml:space="preserve">Chenopodium foetidum 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produces symptoms in 6-10 days but the inoculation efficiency from Prunus hosts is generally low (Sutic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Glasa &amp; Candresse, 2005;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Immunochemical methods, such as ELISA, have still an important role in the diagnostic of PPV (Šubr &amp; Glasa, 2008;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range of broad-spectrum or strain-specific antibodies are available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2006a; Candresse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including monoclonal antibodies. Although all parts of the tree can be sampled for testing, the best detection results rely on the use of composite leaf samples from actively growing shoots taken in different parts of the canopy (Adams, 2008).</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methods based on the amplification of specific parts of the PPV genome show a higher sensitivity than immunochemical methods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Various modifications of RT-PCR in single or multiplex format have been developed both for the universal detection of all PPV isolates or for strain-specific detection (Olmos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Šubr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An effective detection coupled with the possibility to differentiate PPV strains can be achieved using real-time RT-PCR (Varga &amp; James, 2005; Capote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Fotiou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Isothermal amplification methods, such as LAMP (Varga &amp; James, 2006; Hadersdorfer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have also been developed for a simple and direct use in the field. Validated international protocols for detection and characterization of PPV are available (EPPO, 2004, IPPC-FAO,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the disease appears to be at random in orchards. The virus is introduced as a consequence of aphid transmission or of the use of infected planting material. After 2-3 years, infection begins to spread from the first infected trees. Graft transmission can contribute significantly to spread in infected areas if certified virus-free material is not used. Movement of the virus between areas or countries is most often linked to the use of uncertified plants for planting (Rimbaud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 sharka disease on the European stone-fruit production has been reviewed by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(2006b). The disease incidence is particularly high in the fruit-producing areas of central and eastern Europe. Virus infection can lead to considerable yield losses, reaching 100%. European plums may show premature fruit drop, while Japanese plums and peaches show ring-spotting on fruit, and apricots show serious fruit deformation.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anti-virus treatment available to control sharka disease in orchards. There are, however, considerable differences in susceptibility between the cultivars available for use in countries where infection is widespread (Kegler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Martínez-Gómez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However, the frequent plantation of tolerant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cultivars (their fruits remaining generally symptomless in case of infection) has probably contributed to the further spread of PPV in these countries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Biological control by inoculation of trees with hypo-aggressive strains has not proved as successful in the field as under controlled conditions (Kerlan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is not considered a realistic preventative option. Other effective control methods are the production and use of healthy plants for planting within a certification system, and the eradication of diseased trees or orchards to reduce inoculum pressure (Rimbaud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As for other potyviruses, the control of aphid vectors by regular treatment with aphicides or mineral oils shows only limited effectiveness, with the possible exception of nurseries where some protection has been recorded (Vidal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Such methods are used to contain PPV in several countries (e.g. France, Italy). EPPO recommends a certification scheme for fruit trees, which takes into account PPV (EPPO, 1991/1992). Resistance to PPV shows some promise, whether by traditional breeding or by transgenic methods. The hypersensitive response in plums, resulting in localized cell death, has been found to be an effective resistance mechanism against PPV (Hartmann, 1998). Apricot varieties resistant to the PPV-D strain are now extensively planted in some areas of Spain. While progress has been obtained in plum and apricot, the development of resistant peach varieties has remained a challenge due to the paucity of resistance sources. Biotechnology has also contributed with the development of the transgenic plum cultivar Honeysweet which shows a high, broad spectrum resistance (Scorza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PPV is included in the EPPO A2 list of pests recommended for regulation as quarantine pests. It is a quarantine pest for the European Union and many other EPPO member countries. It is also of regulatory interest to other Regional Plant Protection Organizations (e.g. COSAVE, IAPSC and NAPPO).</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PPV presents a major risk to apricot, plum and peach in many countries where it is still absent or very localized. In addition, its presence in a country creates difficulties for export of certified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entry or spread of PPV, all imported host material (except seeds) should come from a place of production subject to growing-season inspection (EPPO, 2016). If the virus is present in the exporting country, this inspection should also concern the immediate vicinity of the place of production, and the material should derive from tested mother plants. Material produced following the EPPO certification scheme for virus-free fruit trees would satisfy these requirements (EPPO, 1991/1992). </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can effectively be taken to prevent spread of PPV from foci of infection and even to eradicate it. These include planting non-host plants in infected areas, using tolerant or resistant cultivars, controlling the vectors and destroying all diseased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A (2008) The detection of plum pox virus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by enzyme-linked immunosorbent assay (ELISA).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215-221.</w:t>
      </w:r>
    </w:p>
    <w:p>
      <w:pPr>
        <w:widowControl w:val="on"/>
        <w:pBdr/>
        <w:spacing w:before="220" w:after="220" w:line="240" w:lineRule="auto"/>
        <w:ind w:left="0" w:right="0"/>
        <w:jc w:val="left"/>
      </w:pPr>
      <w:r>
        <w:rPr>
          <w:rFonts w:ascii="Calibri" w:hAnsi="Calibri" w:eastAsia="Calibri" w:cs="Calibri"/>
          <w:color w:val="000000"/>
          <w:sz w:val="22"/>
          <w:szCs w:val="22"/>
        </w:rPr>
        <w:t xml:space="preserve">Atanasoff D (1932) Plum pox. A new virus disease. </w:t>
      </w:r>
      <w:r>
        <w:rPr>
          <w:rFonts w:ascii="Calibri" w:hAnsi="Calibri" w:eastAsia="Calibri" w:cs="Calibri"/>
          <w:i/>
          <w:iCs/>
          <w:color w:val="000000"/>
          <w:sz w:val="22"/>
          <w:szCs w:val="22"/>
        </w:rPr>
        <w:t xml:space="preserve">Annals of the University of Sofia, Faculty of Agriculture and Silviculture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49-69.</w:t>
      </w:r>
    </w:p>
    <w:p>
      <w:pPr>
        <w:widowControl w:val="on"/>
        <w:pBdr/>
        <w:spacing w:before="220" w:after="220" w:line="240" w:lineRule="auto"/>
        <w:ind w:left="0" w:right="0"/>
        <w:jc w:val="left"/>
      </w:pPr>
      <w:r>
        <w:rPr>
          <w:rFonts w:ascii="Calibri" w:hAnsi="Calibri" w:eastAsia="Calibri" w:cs="Calibri"/>
          <w:color w:val="000000"/>
          <w:sz w:val="22"/>
          <w:szCs w:val="22"/>
        </w:rPr>
        <w:t xml:space="preserve">Boulila M, Briard P, Ravelonandro M (2004) Outbreak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Tunisia.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197-201.</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Vidal E (2017) Sharka, a vector-borne disease caused by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vector species, transmission mechanism, epidemiology and mitigation strategies to reduce its natural spread.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1163</w:t>
      </w:r>
      <w:r>
        <w:rPr>
          <w:rFonts w:ascii="Calibri" w:hAnsi="Calibri" w:eastAsia="Calibri" w:cs="Calibri"/>
          <w:color w:val="000000"/>
          <w:sz w:val="22"/>
          <w:szCs w:val="22"/>
        </w:rPr>
        <w:t xml:space="preserve">, 57-68.</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Boscia D, Gil M, Bertolini E, Olmos A (2011) Immunology and immunological assays applied to the detection, diagnosis and control of fruit tree viruses. In: </w:t>
      </w:r>
      <w:r>
        <w:rPr>
          <w:rFonts w:ascii="Calibri" w:hAnsi="Calibri" w:eastAsia="Calibri" w:cs="Calibri"/>
          <w:i/>
          <w:iCs/>
          <w:color w:val="000000"/>
          <w:sz w:val="22"/>
          <w:szCs w:val="22"/>
        </w:rPr>
        <w:t xml:space="preserve">Virus and Virus-like Disease of Pome and Stone Fruits (Hadidi, A., Barba, M., Candresse, T. and Jelkmann, W., eds)</w:t>
      </w:r>
      <w:r>
        <w:rPr>
          <w:rFonts w:ascii="Calibri" w:hAnsi="Calibri" w:eastAsia="Calibri" w:cs="Calibri"/>
          <w:color w:val="000000"/>
          <w:sz w:val="22"/>
          <w:szCs w:val="22"/>
        </w:rPr>
        <w:t xml:space="preserve">, pp. 303–313. St. Paul, Minnesota: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Boscia D, Myrta A, Palkovics L, Navrátil M, Barba M, Gorris MT, Capote N (2006a) Serological detection and characterisation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254-261.</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Capote N, Myrta A, Llácer G (2006b)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the estimated costs associated with sharka disease.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202-204.</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Asensio M, Gorris, M, Pérez E, Camarassa E, García JA, Moya JJ, López-Abella D, Vela C, Sanz A (1994) Detection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using monoclonal antibodies to structural and non-structural proteins.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569-577.</w:t>
      </w:r>
    </w:p>
    <w:p>
      <w:pPr>
        <w:widowControl w:val="on"/>
        <w:pBdr/>
        <w:spacing w:before="220" w:after="220" w:line="240" w:lineRule="auto"/>
        <w:ind w:left="0" w:right="0"/>
        <w:jc w:val="left"/>
      </w:pPr>
      <w:r>
        <w:rPr>
          <w:rFonts w:ascii="Calibri" w:hAnsi="Calibri" w:eastAsia="Calibri" w:cs="Calibri"/>
          <w:color w:val="000000"/>
          <w:sz w:val="22"/>
          <w:szCs w:val="22"/>
        </w:rPr>
        <w:t xml:space="preserve">Candresse T, Cambra M, Dallot S, Lanneau M, Asensio M, Gorris MT, Revers F, Macquaire G, Olmos A, Boscia D, Quiot JB, Dunez J (1998) Comparison of monoclonal antibodies and polymerase chain reaction assays for the typing of isolates belonging to the D and M serotypes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198-204.</w:t>
      </w:r>
    </w:p>
    <w:p>
      <w:pPr>
        <w:widowControl w:val="on"/>
        <w:pBdr/>
        <w:spacing w:before="220" w:after="220" w:line="240" w:lineRule="auto"/>
        <w:ind w:left="0" w:right="0"/>
        <w:jc w:val="left"/>
      </w:pPr>
      <w:r>
        <w:rPr>
          <w:rFonts w:ascii="Calibri" w:hAnsi="Calibri" w:eastAsia="Calibri" w:cs="Calibri"/>
          <w:color w:val="000000"/>
          <w:sz w:val="22"/>
          <w:szCs w:val="22"/>
        </w:rPr>
        <w:t xml:space="preserve">Candresse T, SaenzP, García JA, Boscia D, Navratil M, Gorris MT, Cambra M (2011) Analysis of the epitope structure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coat protein.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611–619.</w:t>
      </w:r>
    </w:p>
    <w:p>
      <w:pPr>
        <w:widowControl w:val="on"/>
        <w:pBdr/>
        <w:spacing w:before="220" w:after="220" w:line="240" w:lineRule="auto"/>
        <w:ind w:left="0" w:right="0"/>
        <w:jc w:val="left"/>
      </w:pPr>
      <w:r>
        <w:rPr>
          <w:rFonts w:ascii="Calibri" w:hAnsi="Calibri" w:eastAsia="Calibri" w:cs="Calibri"/>
          <w:color w:val="000000"/>
          <w:sz w:val="22"/>
          <w:szCs w:val="22"/>
        </w:rPr>
        <w:t xml:space="preserve">Capote N, Bertolini E, Olmos A, Vidal E, Martínez MC, Cambra M (2009) Direct sample preparation methods for the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by real-time RT-PCR. </w:t>
      </w:r>
      <w:r>
        <w:rPr>
          <w:rFonts w:ascii="Calibri" w:hAnsi="Calibri" w:eastAsia="Calibri" w:cs="Calibri"/>
          <w:i/>
          <w:iCs/>
          <w:color w:val="000000"/>
          <w:sz w:val="22"/>
          <w:szCs w:val="22"/>
        </w:rPr>
        <w:t xml:space="preserve">International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Chirkov S, Sheveleva A, Ivanov P, Zakubanskiy A (2018) Analysis of genetic diversity of Russian sour cherry </w:t>
      </w:r>
      <w:r>
        <w:rPr>
          <w:rFonts w:ascii="Calibri" w:hAnsi="Calibri" w:eastAsia="Calibri" w:cs="Calibri"/>
          <w:i/>
          <w:iCs/>
          <w:color w:val="000000"/>
          <w:sz w:val="22"/>
          <w:szCs w:val="22"/>
        </w:rPr>
        <w:t xml:space="preserve">Plum pox virus </w:t>
      </w:r>
      <w:r>
        <w:rPr>
          <w:rFonts w:ascii="Calibri" w:hAnsi="Calibri" w:eastAsia="Calibri" w:cs="Calibri"/>
          <w:color w:val="000000"/>
          <w:sz w:val="22"/>
          <w:szCs w:val="22"/>
        </w:rPr>
        <w:t xml:space="preserve">isolates provides evidence of a new strain.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569-575. </w:t>
      </w:r>
    </w:p>
    <w:p>
      <w:pPr>
        <w:widowControl w:val="on"/>
        <w:pBdr/>
        <w:spacing w:before="220" w:after="220" w:line="240" w:lineRule="auto"/>
        <w:ind w:left="0" w:right="0"/>
        <w:jc w:val="left"/>
      </w:pPr>
      <w:r>
        <w:rPr>
          <w:rFonts w:ascii="Calibri" w:hAnsi="Calibri" w:eastAsia="Calibri" w:cs="Calibri"/>
          <w:color w:val="000000"/>
          <w:sz w:val="22"/>
          <w:szCs w:val="22"/>
        </w:rPr>
        <w:t xml:space="preserve">Clemente-Moreno MJ, Hernández JA, Diaz-Vivancos P (2015) Sharka: how do plants respond to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infection? </w:t>
      </w:r>
      <w:r>
        <w:rPr>
          <w:rFonts w:ascii="Calibri" w:hAnsi="Calibri" w:eastAsia="Calibri" w:cs="Calibri"/>
          <w:i/>
          <w:iCs/>
          <w:color w:val="000000"/>
          <w:sz w:val="22"/>
          <w:szCs w:val="22"/>
        </w:rPr>
        <w:t xml:space="preserve">Journal of Experimental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25-35.</w:t>
      </w:r>
    </w:p>
    <w:p>
      <w:pPr>
        <w:widowControl w:val="on"/>
        <w:pBdr/>
        <w:spacing w:before="220" w:after="220" w:line="240" w:lineRule="auto"/>
        <w:ind w:left="0" w:right="0"/>
        <w:jc w:val="left"/>
      </w:pPr>
      <w:r>
        <w:rPr>
          <w:rFonts w:ascii="Calibri" w:hAnsi="Calibri" w:eastAsia="Calibri" w:cs="Calibri"/>
          <w:color w:val="000000"/>
          <w:sz w:val="22"/>
          <w:szCs w:val="22"/>
        </w:rPr>
        <w:t xml:space="preserve">Crescenzi A, d'Aquino L, Comes S, Nuzzaci M, Piazzolla P, Boscia D, Hadidi A (1997) Characterization of the sweet cherry isolate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711-714.</w:t>
      </w:r>
    </w:p>
    <w:p>
      <w:pPr>
        <w:widowControl w:val="on"/>
        <w:pBdr/>
        <w:spacing w:before="220" w:after="220" w:line="240" w:lineRule="auto"/>
        <w:ind w:left="0" w:right="0"/>
        <w:jc w:val="left"/>
      </w:pPr>
      <w:r>
        <w:rPr>
          <w:rFonts w:ascii="Calibri" w:hAnsi="Calibri" w:eastAsia="Calibri" w:cs="Calibri"/>
          <w:color w:val="000000"/>
          <w:sz w:val="22"/>
          <w:szCs w:val="22"/>
        </w:rPr>
        <w:t xml:space="preserve">Dallot S, Bousalem M, Boeglin M, Renaud LY, Quiot JB (1997) Potential role of almond in sharka epidemics: susceptibility under controlled conditions to the main types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and survey for natural infections in France.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539–546.</w:t>
      </w:r>
    </w:p>
    <w:p>
      <w:pPr>
        <w:widowControl w:val="on"/>
        <w:pBdr/>
        <w:spacing w:before="220" w:after="220" w:line="240" w:lineRule="auto"/>
        <w:ind w:left="0" w:right="0"/>
        <w:jc w:val="left"/>
      </w:pPr>
      <w:r>
        <w:rPr>
          <w:rFonts w:ascii="Calibri" w:hAnsi="Calibri" w:eastAsia="Calibri" w:cs="Calibri"/>
          <w:color w:val="000000"/>
          <w:sz w:val="22"/>
          <w:szCs w:val="22"/>
        </w:rPr>
        <w:t xml:space="preserve">Dallot S, Gottwald T, Labonne G, Quiot JB (2003) Spatial pattern analysis of sharka disease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strain M) in peach orchards of southern France.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1543-1552.</w:t>
      </w:r>
    </w:p>
    <w:p>
      <w:pPr>
        <w:widowControl w:val="on"/>
        <w:pBdr/>
        <w:spacing w:before="220" w:after="220" w:line="240" w:lineRule="auto"/>
        <w:ind w:left="0" w:right="0"/>
        <w:jc w:val="left"/>
      </w:pPr>
      <w:r>
        <w:rPr>
          <w:rFonts w:ascii="Calibri" w:hAnsi="Calibri" w:eastAsia="Calibri" w:cs="Calibri"/>
          <w:color w:val="000000"/>
          <w:sz w:val="22"/>
          <w:szCs w:val="22"/>
        </w:rPr>
        <w:t xml:space="preserve">Damsteegt VD, Scorza R, Stone AL, Schneider WL, Webb K, Demuth M, Gildow FE (2007) Prunus host range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in the United States by aphid and graft inoculation.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18-23.</w:t>
      </w:r>
    </w:p>
    <w:p>
      <w:pPr>
        <w:widowControl w:val="on"/>
        <w:pBdr/>
        <w:spacing w:before="220" w:after="220" w:line="240" w:lineRule="auto"/>
        <w:ind w:left="0" w:right="0"/>
        <w:jc w:val="left"/>
      </w:pPr>
      <w:r>
        <w:rPr>
          <w:rFonts w:ascii="Calibri" w:hAnsi="Calibri" w:eastAsia="Calibri" w:cs="Calibri"/>
          <w:color w:val="000000"/>
          <w:sz w:val="22"/>
          <w:szCs w:val="22"/>
        </w:rPr>
        <w:t xml:space="preserve">Damsteegt VD, Waterworth HE, Mink GI, Howell WE, Levy L (1997)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as a diagnostic host for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329-332.</w:t>
      </w:r>
    </w:p>
    <w:p>
      <w:pPr>
        <w:widowControl w:val="on"/>
        <w:pBdr/>
        <w:spacing w:before="220" w:after="220" w:line="240" w:lineRule="auto"/>
        <w:ind w:left="0" w:right="0"/>
        <w:jc w:val="left"/>
      </w:pPr>
      <w:r>
        <w:rPr>
          <w:rFonts w:ascii="Calibri" w:hAnsi="Calibri" w:eastAsia="Calibri" w:cs="Calibri"/>
          <w:color w:val="000000"/>
          <w:sz w:val="22"/>
          <w:szCs w:val="22"/>
        </w:rPr>
        <w:t xml:space="preserve">Dosba F, Lansac M, Pêcheur G, Teyssier B, Piquemal JP, Michel M (1986)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detection by ELISA technique in peach and apricot infected trees at different growing stage.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187-191.</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(1991/1992) Certification schemes. Virus-free or virus-tested fruit trees and rootstocks.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267-278;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253-284.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Diagnostic protocol for regulated pests.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247-256.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Phytosanitary procedures. PM 3/76 (1) Trees of </w:t>
      </w:r>
      <w:r>
        <w:rPr>
          <w:rFonts w:ascii="Calibri" w:hAnsi="Calibri" w:eastAsia="Calibri" w:cs="Calibri"/>
          <w:i/>
          <w:iCs/>
          <w:color w:val="000000"/>
          <w:sz w:val="22"/>
          <w:szCs w:val="22"/>
        </w:rPr>
        <w:t xml:space="preserve">Malus, Pyrus, Cydonia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Prunus</w:t>
      </w:r>
      <w:r>
        <w:rPr>
          <w:rFonts w:ascii="Calibri" w:hAnsi="Calibri" w:eastAsia="Calibri" w:cs="Calibri"/>
          <w:color w:val="000000"/>
          <w:sz w:val="22"/>
          <w:szCs w:val="22"/>
        </w:rPr>
        <w:t xml:space="preserve"> spp. – inspection of places of production.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28–39.</w:t>
      </w:r>
    </w:p>
    <w:p>
      <w:pPr>
        <w:widowControl w:val="on"/>
        <w:pBdr/>
        <w:spacing w:before="220" w:after="220" w:line="240" w:lineRule="auto"/>
        <w:ind w:left="0" w:right="0"/>
        <w:jc w:val="left"/>
      </w:pPr>
      <w:r>
        <w:rPr>
          <w:rFonts w:ascii="Calibri" w:hAnsi="Calibri" w:eastAsia="Calibri" w:cs="Calibri"/>
          <w:color w:val="000000"/>
          <w:sz w:val="22"/>
          <w:szCs w:val="22"/>
        </w:rPr>
        <w:t xml:space="preserve">Fotiou IS, Pappi PG, Efthimiou KE, Katis NI, Maliogka VI (2019) Development of one-tube real-time RT-qPCR for the universal detection and quantification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263</w:t>
      </w:r>
      <w:r>
        <w:rPr>
          <w:rFonts w:ascii="Calibri" w:hAnsi="Calibri" w:eastAsia="Calibri" w:cs="Calibri"/>
          <w:color w:val="000000"/>
          <w:sz w:val="22"/>
          <w:szCs w:val="22"/>
        </w:rPr>
        <w:t xml:space="preserve">, 10-13.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JA, Glasa M, Cambra M, Candresse T (2014)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sharka: A model potyvirus and a major disease.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226-241.</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JA, Cambra M (2007)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sharka disease. </w:t>
      </w:r>
      <w:r>
        <w:rPr>
          <w:rFonts w:ascii="Calibri" w:hAnsi="Calibri" w:eastAsia="Calibri" w:cs="Calibri"/>
          <w:i/>
          <w:iCs/>
          <w:color w:val="000000"/>
          <w:sz w:val="22"/>
          <w:szCs w:val="22"/>
        </w:rPr>
        <w:t xml:space="preserve">Plant 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69–79.</w:t>
      </w:r>
    </w:p>
    <w:p>
      <w:pPr>
        <w:widowControl w:val="on"/>
        <w:pBdr/>
        <w:spacing w:before="220" w:after="220" w:line="240" w:lineRule="auto"/>
        <w:ind w:left="0" w:right="0"/>
        <w:jc w:val="left"/>
      </w:pPr>
      <w:r>
        <w:rPr>
          <w:rFonts w:ascii="Calibri" w:hAnsi="Calibri" w:eastAsia="Calibri" w:cs="Calibri"/>
          <w:color w:val="000000"/>
          <w:sz w:val="22"/>
          <w:szCs w:val="22"/>
        </w:rPr>
        <w:t xml:space="preserve">Gentit P (2006)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biological methods.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251–253.</w:t>
      </w:r>
    </w:p>
    <w:p>
      <w:pPr>
        <w:widowControl w:val="on"/>
        <w:pBdr/>
        <w:spacing w:before="220" w:after="220" w:line="240" w:lineRule="auto"/>
        <w:ind w:left="0" w:right="0"/>
        <w:jc w:val="left"/>
      </w:pPr>
      <w:r>
        <w:rPr>
          <w:rFonts w:ascii="Calibri" w:hAnsi="Calibri" w:eastAsia="Calibri" w:cs="Calibri"/>
          <w:color w:val="000000"/>
          <w:sz w:val="22"/>
          <w:szCs w:val="22"/>
        </w:rPr>
        <w:t xml:space="preserve">Gildow F, Damsteegt V, Stone A, Schneider W, Luster D, Levy L (2004) Plum pox in North America: identification of aphid vectors and a potential role for fruit in virus spread.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868–874.</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Candresse T (2005)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AAB Description of Plant Viruses. No. 410. </w:t>
      </w:r>
      <w:hyperlink r:id="rId542166982ad45c51f" w:history="1">
        <w:r>
          <w:rPr>
            <w:rFonts w:ascii="Calibri" w:hAnsi="Calibri" w:eastAsia="Calibri" w:cs="Calibri"/>
            <w:color w:val="0000CC"/>
            <w:sz w:val="22"/>
            <w:szCs w:val="22"/>
            <w:u w:val="single"/>
          </w:rPr>
          <w:t xml:space="preserve">http://www.dpvweb.net/dpv/showdpv.php?dpvno=410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Glasa M, Hričovský I, Kúdela O (1999) Evidence for non-transmission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by seed in infected plum and myrobalan. </w:t>
      </w:r>
      <w:r>
        <w:rPr>
          <w:rFonts w:ascii="Calibri" w:hAnsi="Calibri" w:eastAsia="Calibri" w:cs="Calibri"/>
          <w:i/>
          <w:iCs/>
          <w:color w:val="000000"/>
          <w:sz w:val="22"/>
          <w:szCs w:val="22"/>
        </w:rPr>
        <w:t xml:space="preserve">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481-484.</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Candresse T (2005) Partial sequence analysis of an atypical Turkish isolate provides further information on the evolutionary history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199-206.</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Palkovics L, Komínek P, Labonne G, Pittnerova S, Kudela O, Candresse T, Šubr Z (2004) Geographically and temporally distant natural recombinant isolates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are genetically very similar and form a unique PPV subgroup.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2671–2681.</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Predajna L, Šubr Z (2010) Competitiveness of different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isolates in experimental mixed infections reveals rather isolate- than strain specific behaviour.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267-271.</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Prikhodko Y, Predajna L, Nagyova A, Shneyder Y, Zhivaeva T, Subr Z, Cambra M, Candresse T (2013) Characterization of sour cherry isolates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from the Volga basin in Russia reveals a new cherry strain of the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972-979.</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Avinent L, Llácer G, Hermoso de Mendoza A, Cambra M (1995) Analysis of the spatial spread of sharka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apricot and peach orchards in eastern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266-278.</w:t>
      </w:r>
    </w:p>
    <w:p>
      <w:pPr>
        <w:widowControl w:val="on"/>
        <w:pBdr/>
        <w:spacing w:before="220" w:after="220" w:line="240" w:lineRule="auto"/>
        <w:ind w:left="0" w:right="0"/>
        <w:jc w:val="left"/>
      </w:pPr>
      <w:r>
        <w:rPr>
          <w:rFonts w:ascii="Calibri" w:hAnsi="Calibri" w:eastAsia="Calibri" w:cs="Calibri"/>
          <w:color w:val="000000"/>
          <w:sz w:val="22"/>
          <w:szCs w:val="22"/>
        </w:rPr>
        <w:t xml:space="preserve">Hadersdorfer J, Neumüller M, Treutter D, Fischer TC (2011) Fast and reliable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woody host plants using the Blue LAMP protocol.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456-466.</w:t>
      </w:r>
    </w:p>
    <w:p>
      <w:pPr>
        <w:widowControl w:val="on"/>
        <w:pBdr/>
        <w:spacing w:before="220" w:after="220" w:line="240" w:lineRule="auto"/>
        <w:ind w:left="0" w:right="0"/>
        <w:jc w:val="left"/>
      </w:pPr>
      <w:r>
        <w:rPr>
          <w:rFonts w:ascii="Calibri" w:hAnsi="Calibri" w:eastAsia="Calibri" w:cs="Calibri"/>
          <w:color w:val="000000"/>
          <w:sz w:val="22"/>
          <w:szCs w:val="22"/>
        </w:rPr>
        <w:t xml:space="preserve">Hadidi A, Levy L (1994) Accurate identification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and its differentiation from </w:t>
      </w:r>
      <w:r>
        <w:rPr>
          <w:rFonts w:ascii="Calibri" w:hAnsi="Calibri" w:eastAsia="Calibri" w:cs="Calibri"/>
          <w:i/>
          <w:iCs/>
          <w:color w:val="000000"/>
          <w:sz w:val="22"/>
          <w:szCs w:val="22"/>
        </w:rPr>
        <w:t xml:space="preserve">Asian prunus latent potyvirus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germplasm.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633-643.</w:t>
      </w:r>
    </w:p>
    <w:p>
      <w:pPr>
        <w:widowControl w:val="on"/>
        <w:pBdr/>
        <w:spacing w:before="220" w:after="220" w:line="240" w:lineRule="auto"/>
        <w:ind w:left="0" w:right="0"/>
        <w:jc w:val="left"/>
      </w:pPr>
      <w:r>
        <w:rPr>
          <w:rFonts w:ascii="Calibri" w:hAnsi="Calibri" w:eastAsia="Calibri" w:cs="Calibri"/>
          <w:color w:val="000000"/>
          <w:sz w:val="22"/>
          <w:szCs w:val="22"/>
        </w:rPr>
        <w:t xml:space="preserve">Hajizadeh M, Gibbs AJ, Amirnia F, Glasa M (2019) The global phylogeny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 emerging.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1457-1468.</w:t>
      </w:r>
    </w:p>
    <w:p>
      <w:pPr>
        <w:widowControl w:val="on"/>
        <w:pBdr/>
        <w:spacing w:before="220" w:after="220" w:line="240" w:lineRule="auto"/>
        <w:ind w:left="0" w:right="0"/>
        <w:jc w:val="left"/>
      </w:pPr>
      <w:r>
        <w:rPr>
          <w:rFonts w:ascii="Calibri" w:hAnsi="Calibri" w:eastAsia="Calibri" w:cs="Calibri"/>
          <w:color w:val="000000"/>
          <w:sz w:val="22"/>
          <w:szCs w:val="22"/>
        </w:rPr>
        <w:t xml:space="preserve">Hartmann W (1998) Hypersensitivity—a possibility for breeding sharka resistant plum hybrids.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429–432.</w:t>
      </w:r>
    </w:p>
    <w:p>
      <w:pPr>
        <w:widowControl w:val="on"/>
        <w:pBdr/>
        <w:spacing w:before="220" w:after="220" w:line="240" w:lineRule="auto"/>
        <w:ind w:left="0" w:right="0"/>
        <w:jc w:val="left"/>
      </w:pPr>
      <w:r>
        <w:rPr>
          <w:rFonts w:ascii="Calibri" w:hAnsi="Calibri" w:eastAsia="Calibri" w:cs="Calibri"/>
          <w:color w:val="000000"/>
          <w:sz w:val="22"/>
          <w:szCs w:val="22"/>
        </w:rPr>
        <w:t xml:space="preserve">Herrera G (2013) Investigations of the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Chile in the past 20 years. </w:t>
      </w:r>
      <w:r>
        <w:rPr>
          <w:rFonts w:ascii="Calibri" w:hAnsi="Calibri" w:eastAsia="Calibri" w:cs="Calibri"/>
          <w:i/>
          <w:iCs/>
          <w:color w:val="000000"/>
          <w:sz w:val="22"/>
          <w:szCs w:val="22"/>
        </w:rPr>
        <w:t xml:space="preserve">Chilean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60-65.</w:t>
      </w:r>
    </w:p>
    <w:p>
      <w:pPr>
        <w:widowControl w:val="on"/>
        <w:pBdr/>
        <w:spacing w:before="220" w:after="220" w:line="240" w:lineRule="auto"/>
        <w:ind w:left="0" w:right="0"/>
        <w:jc w:val="left"/>
      </w:pPr>
      <w:r>
        <w:rPr>
          <w:rFonts w:ascii="Calibri" w:hAnsi="Calibri" w:eastAsia="Calibri" w:cs="Calibri"/>
          <w:color w:val="000000"/>
          <w:sz w:val="22"/>
          <w:szCs w:val="22"/>
        </w:rPr>
        <w:t xml:space="preserve">IPPC-FAO (2012) International standards for phytosanitary measures: diagnostic protocols: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ISPM 27, Annex 2 (DP2).</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Thompson D (2006) Hosts and symptoms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ornamental and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222-224.</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Varga A (2005) Nucleotide sequence analysis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 W3174: evidence of a new strain.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143-150.</w:t>
      </w:r>
    </w:p>
    <w:p>
      <w:pPr>
        <w:widowControl w:val="on"/>
        <w:pBdr/>
        <w:spacing w:before="220" w:after="220" w:line="240" w:lineRule="auto"/>
        <w:ind w:left="0" w:right="0"/>
        <w:jc w:val="left"/>
      </w:pPr>
      <w:r>
        <w:rPr>
          <w:rFonts w:ascii="Calibri" w:hAnsi="Calibri" w:eastAsia="Calibri" w:cs="Calibri"/>
          <w:color w:val="000000"/>
          <w:sz w:val="22"/>
          <w:szCs w:val="22"/>
        </w:rPr>
        <w:t xml:space="preserve">Jridi C, Martin JF, Marie-Jeanne V, Labonne G, Blanc S (2006) Distinct viral populations differentiate and evolve independently in a single perennial host plant. </w:t>
      </w:r>
      <w:r>
        <w:rPr>
          <w:rFonts w:ascii="Calibri" w:hAnsi="Calibri" w:eastAsia="Calibri" w:cs="Calibri"/>
          <w:i/>
          <w:iCs/>
          <w:color w:val="000000"/>
          <w:sz w:val="22"/>
          <w:szCs w:val="22"/>
        </w:rPr>
        <w:t xml:space="preserve">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2349-2357.</w:t>
      </w:r>
    </w:p>
    <w:p>
      <w:pPr>
        <w:widowControl w:val="on"/>
        <w:pBdr/>
        <w:spacing w:before="220" w:after="220" w:line="240" w:lineRule="auto"/>
        <w:ind w:left="0" w:right="0"/>
        <w:jc w:val="left"/>
      </w:pPr>
      <w:r>
        <w:rPr>
          <w:rFonts w:ascii="Calibri" w:hAnsi="Calibri" w:eastAsia="Calibri" w:cs="Calibri"/>
          <w:color w:val="000000"/>
          <w:sz w:val="22"/>
          <w:szCs w:val="22"/>
        </w:rPr>
        <w:t xml:space="preserve">Kalashyan YA, Bilkey ND, Verderevskaya TD, Rubina EV (1994)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on sour cherry in Moldova.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645-649.</w:t>
      </w:r>
    </w:p>
    <w:p>
      <w:pPr>
        <w:widowControl w:val="on"/>
        <w:pBdr/>
        <w:spacing w:before="220" w:after="220" w:line="240" w:lineRule="auto"/>
        <w:ind w:left="0" w:right="0"/>
        <w:jc w:val="left"/>
      </w:pPr>
      <w:r>
        <w:rPr>
          <w:rFonts w:ascii="Calibri" w:hAnsi="Calibri" w:eastAsia="Calibri" w:cs="Calibri"/>
          <w:color w:val="000000"/>
          <w:sz w:val="22"/>
          <w:szCs w:val="22"/>
        </w:rPr>
        <w:t xml:space="preserve">Kegler H, Fuchs E, Gruntzig M, Schwarz S (1998) Some results of 50 years of research on the resistance to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200-215.</w:t>
      </w:r>
    </w:p>
    <w:p>
      <w:pPr>
        <w:widowControl w:val="on"/>
        <w:pBdr/>
        <w:spacing w:before="220" w:after="220" w:line="240" w:lineRule="auto"/>
        <w:ind w:left="0" w:right="0"/>
        <w:jc w:val="left"/>
      </w:pPr>
      <w:r>
        <w:rPr>
          <w:rFonts w:ascii="Calibri" w:hAnsi="Calibri" w:eastAsia="Calibri" w:cs="Calibri"/>
          <w:color w:val="000000"/>
          <w:sz w:val="22"/>
          <w:szCs w:val="22"/>
        </w:rPr>
        <w:t xml:space="preserve">Kerlan C, Dunez J (1979) Différenciation biologique et sérologique des souches du virus de la sharka.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241-250.</w:t>
      </w:r>
    </w:p>
    <w:p>
      <w:pPr>
        <w:widowControl w:val="on"/>
        <w:pBdr/>
        <w:spacing w:before="220" w:after="220" w:line="240" w:lineRule="auto"/>
        <w:ind w:left="0" w:right="0"/>
        <w:jc w:val="left"/>
      </w:pPr>
      <w:r>
        <w:rPr>
          <w:rFonts w:ascii="Calibri" w:hAnsi="Calibri" w:eastAsia="Calibri" w:cs="Calibri"/>
          <w:color w:val="000000"/>
          <w:sz w:val="22"/>
          <w:szCs w:val="22"/>
        </w:rPr>
        <w:t xml:space="preserve">Kerlan C, Maison P, Lansac M, Dunez J (1980) Preliminary studies of the antagonism between strains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Phytopathologica Academiae Scientiarum Hungaricae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57-68.</w:t>
      </w:r>
    </w:p>
    <w:p>
      <w:pPr>
        <w:widowControl w:val="on"/>
        <w:pBdr/>
        <w:spacing w:before="220" w:after="220" w:line="240" w:lineRule="auto"/>
        <w:ind w:left="0" w:right="0"/>
        <w:jc w:val="left"/>
      </w:pPr>
      <w:r>
        <w:rPr>
          <w:rFonts w:ascii="Calibri" w:hAnsi="Calibri" w:eastAsia="Calibri" w:cs="Calibri"/>
          <w:color w:val="000000"/>
          <w:sz w:val="22"/>
          <w:szCs w:val="22"/>
        </w:rPr>
        <w:t xml:space="preserve">Labonne G, Quiot JB (2001) Aphids can acquire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from infected fruits.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79-84.</w:t>
      </w:r>
    </w:p>
    <w:p>
      <w:pPr>
        <w:widowControl w:val="on"/>
        <w:pBdr/>
        <w:spacing w:before="220" w:after="220" w:line="240" w:lineRule="auto"/>
        <w:ind w:left="0" w:right="0"/>
        <w:jc w:val="left"/>
      </w:pPr>
      <w:r>
        <w:rPr>
          <w:rFonts w:ascii="Calibri" w:hAnsi="Calibri" w:eastAsia="Calibri" w:cs="Calibri"/>
          <w:color w:val="000000"/>
          <w:sz w:val="22"/>
          <w:szCs w:val="22"/>
        </w:rPr>
        <w:t xml:space="preserve">Labonne G, Quiot JB (2006) The behaviour of alate aphids inside a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orchard: an element to take into account for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spread?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701</w:t>
      </w:r>
      <w:r>
        <w:rPr>
          <w:rFonts w:ascii="Calibri" w:hAnsi="Calibri" w:eastAsia="Calibri" w:cs="Calibri"/>
          <w:color w:val="000000"/>
          <w:sz w:val="22"/>
          <w:szCs w:val="22"/>
        </w:rPr>
        <w:t xml:space="preserve">, 427-432.</w:t>
      </w:r>
    </w:p>
    <w:p>
      <w:pPr>
        <w:widowControl w:val="on"/>
        <w:pBdr/>
        <w:spacing w:before="220" w:after="220" w:line="240" w:lineRule="auto"/>
        <w:ind w:left="0" w:right="0"/>
        <w:jc w:val="left"/>
      </w:pPr>
      <w:r>
        <w:rPr>
          <w:rFonts w:ascii="Calibri" w:hAnsi="Calibri" w:eastAsia="Calibri" w:cs="Calibri"/>
          <w:color w:val="000000"/>
          <w:sz w:val="22"/>
          <w:szCs w:val="22"/>
        </w:rPr>
        <w:t xml:space="preserve">Labonne G, Yvon M, Quiot JB, Avinent L, Llacer G (1995) Aphids as potential vectors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comparison of methods of testing and epidemiological consequences.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386</w:t>
      </w:r>
      <w:r>
        <w:rPr>
          <w:rFonts w:ascii="Calibri" w:hAnsi="Calibri" w:eastAsia="Calibri" w:cs="Calibri"/>
          <w:color w:val="000000"/>
          <w:sz w:val="22"/>
          <w:szCs w:val="22"/>
        </w:rPr>
        <w:t xml:space="preserve">, 207-218.</w:t>
      </w:r>
    </w:p>
    <w:p>
      <w:pPr>
        <w:widowControl w:val="on"/>
        <w:pBdr/>
        <w:spacing w:before="220" w:after="220" w:line="240" w:lineRule="auto"/>
        <w:ind w:left="0" w:right="0"/>
        <w:jc w:val="left"/>
      </w:pPr>
      <w:r>
        <w:rPr>
          <w:rFonts w:ascii="Calibri" w:hAnsi="Calibri" w:eastAsia="Calibri" w:cs="Calibri"/>
          <w:color w:val="000000"/>
          <w:sz w:val="22"/>
          <w:szCs w:val="22"/>
        </w:rPr>
        <w:t xml:space="preserve">Levy L, Damsteegt V, Welliver R (2000) First report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(sharka disease) in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202.</w:t>
      </w:r>
    </w:p>
    <w:p>
      <w:pPr>
        <w:widowControl w:val="on"/>
        <w:pBdr/>
        <w:spacing w:before="220" w:after="220" w:line="240" w:lineRule="auto"/>
        <w:ind w:left="0" w:right="0"/>
        <w:jc w:val="left"/>
      </w:pPr>
      <w:r>
        <w:rPr>
          <w:rFonts w:ascii="Calibri" w:hAnsi="Calibri" w:eastAsia="Calibri" w:cs="Calibri"/>
          <w:color w:val="000000"/>
          <w:sz w:val="22"/>
          <w:szCs w:val="22"/>
        </w:rPr>
        <w:t xml:space="preserve">Llácer G (2006) Hosts and symptoms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herbaceous hosts.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227–228.</w:t>
      </w:r>
    </w:p>
    <w:p>
      <w:pPr>
        <w:widowControl w:val="on"/>
        <w:pBdr/>
        <w:spacing w:before="220" w:after="220" w:line="240" w:lineRule="auto"/>
        <w:ind w:left="0" w:right="0"/>
        <w:jc w:val="left"/>
      </w:pPr>
      <w:r>
        <w:rPr>
          <w:rFonts w:ascii="Calibri" w:hAnsi="Calibri" w:eastAsia="Calibri" w:cs="Calibri"/>
          <w:color w:val="000000"/>
          <w:sz w:val="22"/>
          <w:szCs w:val="22"/>
        </w:rPr>
        <w:t xml:space="preserve">López MM, Bertolini E, Olmos A, Caruso P, Gorris MT, Llop P, Penyalver R, Cambra M (2003) Innovative tools for detection of plant pathogenic viruses and bacteria. </w:t>
      </w:r>
      <w:r>
        <w:rPr>
          <w:rFonts w:ascii="Calibri" w:hAnsi="Calibri" w:eastAsia="Calibri" w:cs="Calibri"/>
          <w:i/>
          <w:iCs/>
          <w:color w:val="000000"/>
          <w:sz w:val="22"/>
          <w:szCs w:val="22"/>
        </w:rPr>
        <w:t xml:space="preserve">International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233-243.</w:t>
      </w:r>
    </w:p>
    <w:p>
      <w:pPr>
        <w:widowControl w:val="on"/>
        <w:pBdr/>
        <w:spacing w:before="220" w:after="220" w:line="240" w:lineRule="auto"/>
        <w:ind w:left="0" w:right="0"/>
        <w:jc w:val="left"/>
      </w:pPr>
      <w:r>
        <w:rPr>
          <w:rFonts w:ascii="Calibri" w:hAnsi="Calibri" w:eastAsia="Calibri" w:cs="Calibri"/>
          <w:color w:val="000000"/>
          <w:sz w:val="22"/>
          <w:szCs w:val="22"/>
        </w:rPr>
        <w:t xml:space="preserve">Maejima K, Hoshi H, Hashimoto M, Himeno M, Kawanishi T, Komatsu K, Yamaji Y, Hamamoto H, Namba S (2010) First report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infecting Japanese apricot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Sieb. et Zucc.)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229-231.</w:t>
      </w:r>
    </w:p>
    <w:p>
      <w:pPr>
        <w:widowControl w:val="on"/>
        <w:pBdr/>
        <w:spacing w:before="220" w:after="220" w:line="240" w:lineRule="auto"/>
        <w:ind w:left="0" w:right="0"/>
        <w:jc w:val="left"/>
      </w:pPr>
      <w:r>
        <w:rPr>
          <w:rFonts w:ascii="Calibri" w:hAnsi="Calibri" w:eastAsia="Calibri" w:cs="Calibri"/>
          <w:color w:val="000000"/>
          <w:sz w:val="22"/>
          <w:szCs w:val="22"/>
        </w:rPr>
        <w:t xml:space="preserve">Marais A, Faure C, Candresse T (2016) New insights into Asian Prunus viruses in the light of NGS-based full genome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 e0146420. doi:10.1371/journal.pone.0146420</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Martínez-Gómez P, Dicenta F, Audergon JM (2000) Behaviour of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L.) cultivars in the presence of sharka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407-422.</w:t>
      </w:r>
    </w:p>
    <w:p>
      <w:pPr>
        <w:widowControl w:val="on"/>
        <w:pBdr/>
        <w:spacing w:before="220" w:after="220" w:line="240" w:lineRule="auto"/>
        <w:ind w:left="0" w:right="0"/>
        <w:jc w:val="left"/>
      </w:pPr>
      <w:r>
        <w:rPr>
          <w:rFonts w:ascii="Calibri" w:hAnsi="Calibri" w:eastAsia="Calibri" w:cs="Calibri"/>
          <w:color w:val="000000"/>
          <w:sz w:val="22"/>
          <w:szCs w:val="22"/>
        </w:rPr>
        <w:t xml:space="preserve">Moreno A, Fereres A, Cambra M (2009) Quantitative estimation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targets acquired and transmitted by a single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1391-1399.</w:t>
      </w:r>
    </w:p>
    <w:p>
      <w:pPr>
        <w:widowControl w:val="on"/>
        <w:pBdr/>
        <w:spacing w:before="220" w:after="220" w:line="240" w:lineRule="auto"/>
        <w:ind w:left="0" w:right="0"/>
        <w:jc w:val="left"/>
      </w:pPr>
      <w:r>
        <w:rPr>
          <w:rFonts w:ascii="Calibri" w:hAnsi="Calibri" w:eastAsia="Calibri" w:cs="Calibri"/>
          <w:color w:val="000000"/>
          <w:sz w:val="22"/>
          <w:szCs w:val="22"/>
        </w:rPr>
        <w:t xml:space="preserve">Nemchinov L, Hadidi A, Maiss E, Cambra M, Candresse T, Damsteegt V (1996) Sour cherry strain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(PPV): molecular and serological evidence for a new subgroup of PPV strains.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1215-1221.</w:t>
      </w:r>
    </w:p>
    <w:p>
      <w:pPr>
        <w:widowControl w:val="on"/>
        <w:pBdr/>
        <w:spacing w:before="220" w:after="220" w:line="240" w:lineRule="auto"/>
        <w:ind w:left="0" w:right="0"/>
        <w:jc w:val="left"/>
      </w:pPr>
      <w:r>
        <w:rPr>
          <w:rFonts w:ascii="Calibri" w:hAnsi="Calibri" w:eastAsia="Calibri" w:cs="Calibri"/>
          <w:color w:val="000000"/>
          <w:sz w:val="22"/>
          <w:szCs w:val="22"/>
        </w:rPr>
        <w:t xml:space="preserve">Ng JC, Falk BW (2006) Virus-vector interactions mediating nonpersistent and semipersistent transmission of plant viruses. </w:t>
      </w:r>
      <w:r>
        <w:rPr>
          <w:rFonts w:ascii="Calibri" w:hAnsi="Calibri" w:eastAsia="Calibri" w:cs="Calibri"/>
          <w:i/>
          <w:iCs/>
          <w:color w:val="000000"/>
          <w:sz w:val="22"/>
          <w:szCs w:val="22"/>
        </w:rPr>
        <w:t xml:space="preserve">Annual Reviews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183–212.</w:t>
      </w:r>
    </w:p>
    <w:p>
      <w:pPr>
        <w:widowControl w:val="on"/>
        <w:pBdr/>
        <w:spacing w:before="220" w:after="220" w:line="240" w:lineRule="auto"/>
        <w:ind w:left="0" w:right="0"/>
        <w:jc w:val="left"/>
      </w:pPr>
      <w:r>
        <w:rPr>
          <w:rFonts w:ascii="Calibri" w:hAnsi="Calibri" w:eastAsia="Calibri" w:cs="Calibri"/>
          <w:color w:val="000000"/>
          <w:sz w:val="22"/>
          <w:szCs w:val="22"/>
        </w:rPr>
        <w:t xml:space="preserve">Olmos A, Bertolini E, Cambra M (2002). Simultaneous and Co-operational amplification (Co-PCR) for detection of plant viruses.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51-59. </w:t>
      </w:r>
    </w:p>
    <w:p>
      <w:pPr>
        <w:widowControl w:val="on"/>
        <w:pBdr/>
        <w:spacing w:before="220" w:after="220" w:line="240" w:lineRule="auto"/>
        <w:ind w:left="0" w:right="0"/>
        <w:jc w:val="left"/>
      </w:pPr>
      <w:r>
        <w:rPr>
          <w:rFonts w:ascii="Calibri" w:hAnsi="Calibri" w:eastAsia="Calibri" w:cs="Calibri"/>
          <w:color w:val="000000"/>
          <w:sz w:val="22"/>
          <w:szCs w:val="22"/>
        </w:rPr>
        <w:t xml:space="preserve">Palmisano F, Boscia D, Minafra A, Myrta A, Candresse T (2012) An atypical Albanian isolate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could be the progenitor of the Marcus strain. In: </w:t>
      </w:r>
      <w:r>
        <w:rPr>
          <w:rFonts w:ascii="Calibri" w:hAnsi="Calibri" w:eastAsia="Calibri" w:cs="Calibri"/>
          <w:i/>
          <w:iCs/>
          <w:color w:val="000000"/>
          <w:sz w:val="22"/>
          <w:szCs w:val="22"/>
        </w:rPr>
        <w:t xml:space="preserve">22nd International Conference on Virus and Other Graft Transmissible Diseases of Fruit Crops</w:t>
      </w:r>
      <w:r>
        <w:rPr>
          <w:rFonts w:ascii="Calibri" w:hAnsi="Calibri" w:eastAsia="Calibri" w:cs="Calibri"/>
          <w:color w:val="000000"/>
          <w:sz w:val="22"/>
          <w:szCs w:val="22"/>
        </w:rPr>
        <w:t xml:space="preserve">, June 3–8, Rome, Book of Abstracts, p. 33.</w:t>
      </w:r>
    </w:p>
    <w:p>
      <w:pPr>
        <w:widowControl w:val="on"/>
        <w:pBdr/>
        <w:spacing w:before="220" w:after="220" w:line="240" w:lineRule="auto"/>
        <w:ind w:left="0" w:right="0"/>
        <w:jc w:val="left"/>
      </w:pPr>
      <w:r>
        <w:rPr>
          <w:rFonts w:ascii="Calibri" w:hAnsi="Calibri" w:eastAsia="Calibri" w:cs="Calibri"/>
          <w:color w:val="000000"/>
          <w:sz w:val="22"/>
          <w:szCs w:val="22"/>
        </w:rPr>
        <w:t xml:space="preserve">Pasquini G, Barba M (2006) The question of seed transmissibility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287-292.</w:t>
      </w:r>
    </w:p>
    <w:p>
      <w:pPr>
        <w:widowControl w:val="on"/>
        <w:pBdr/>
        <w:spacing w:before="220" w:after="220" w:line="240" w:lineRule="auto"/>
        <w:ind w:left="0" w:right="0"/>
        <w:jc w:val="left"/>
      </w:pPr>
      <w:r>
        <w:rPr>
          <w:rFonts w:ascii="Calibri" w:hAnsi="Calibri" w:eastAsia="Calibri" w:cs="Calibri"/>
          <w:color w:val="000000"/>
          <w:sz w:val="22"/>
          <w:szCs w:val="22"/>
        </w:rPr>
        <w:t xml:space="preserve">Pleydell DRJ, Soubeyrand S, Dallot S, Labonne G, Chadœuf J, Jacquot E, Thebaud G (2018) Estimation of the dispersal distances of an aphid-borne virus in a patchy landscape. </w:t>
      </w:r>
      <w:r>
        <w:rPr>
          <w:rFonts w:ascii="Calibri" w:hAnsi="Calibri" w:eastAsia="Calibri" w:cs="Calibri"/>
          <w:i/>
          <w:iCs/>
          <w:color w:val="000000"/>
          <w:sz w:val="22"/>
          <w:szCs w:val="22"/>
        </w:rPr>
        <w:t xml:space="preserve">PLoS Computational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(4): e1006085, doi: 10.1371/journal.pcbi.1006085</w:t>
      </w:r>
    </w:p>
    <w:p>
      <w:pPr>
        <w:widowControl w:val="on"/>
        <w:pBdr/>
        <w:spacing w:before="220" w:after="220" w:line="240" w:lineRule="auto"/>
        <w:ind w:left="0" w:right="0"/>
        <w:jc w:val="left"/>
      </w:pPr>
      <w:r>
        <w:rPr>
          <w:rFonts w:ascii="Calibri" w:hAnsi="Calibri" w:eastAsia="Calibri" w:cs="Calibri"/>
          <w:color w:val="000000"/>
          <w:sz w:val="22"/>
          <w:szCs w:val="22"/>
        </w:rPr>
        <w:t xml:space="preserve">Predajňa L, Šubr Z, Candresse T, Glasa M (2012) Evaluation of the genetic diversity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a single plum tree.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 112–117.</w:t>
      </w:r>
    </w:p>
    <w:p>
      <w:pPr>
        <w:widowControl w:val="on"/>
        <w:pBdr/>
        <w:spacing w:before="220" w:after="220" w:line="240" w:lineRule="auto"/>
        <w:ind w:left="0" w:right="0"/>
        <w:jc w:val="left"/>
      </w:pPr>
      <w:r>
        <w:rPr>
          <w:rFonts w:ascii="Calibri" w:hAnsi="Calibri" w:eastAsia="Calibri" w:cs="Calibri"/>
          <w:color w:val="000000"/>
          <w:sz w:val="22"/>
          <w:szCs w:val="22"/>
        </w:rPr>
        <w:t xml:space="preserve">Rimbaud L, Dallot S, Delaunay A, Borron S, Soubeyrand S, Thébaud G, Jacquot E (2015b) Assessing the mismatch between incubation and latent periods for vector-borne diseases: The case of sharka.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1408-1416.</w:t>
      </w:r>
    </w:p>
    <w:p>
      <w:pPr>
        <w:widowControl w:val="on"/>
        <w:pBdr/>
        <w:spacing w:before="220" w:after="220" w:line="240" w:lineRule="auto"/>
        <w:ind w:left="0" w:right="0"/>
        <w:jc w:val="left"/>
      </w:pPr>
      <w:r>
        <w:rPr>
          <w:rFonts w:ascii="Calibri" w:hAnsi="Calibri" w:eastAsia="Calibri" w:cs="Calibri"/>
          <w:color w:val="000000"/>
          <w:sz w:val="22"/>
          <w:szCs w:val="22"/>
        </w:rPr>
        <w:t xml:space="preserve">Rimbaud L, Dallot S, Gottwald T, Decroocq V, Jacquot E, Soubeyrand S, Thébaud G (2015a) Sharka epidemiology and worldwide management strategies: learning lessons to optimize disease control in perennial plants. </w:t>
      </w:r>
      <w:r>
        <w:rPr>
          <w:rFonts w:ascii="Calibri" w:hAnsi="Calibri" w:eastAsia="Calibri" w:cs="Calibri"/>
          <w:i/>
          <w:iCs/>
          <w:color w:val="000000"/>
          <w:sz w:val="22"/>
          <w:szCs w:val="22"/>
        </w:rPr>
        <w:t xml:space="preserve">Annual Reviews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357-378. </w:t>
      </w:r>
    </w:p>
    <w:p>
      <w:pPr>
        <w:widowControl w:val="on"/>
        <w:pBdr/>
        <w:spacing w:before="220" w:after="220" w:line="240" w:lineRule="auto"/>
        <w:ind w:left="0" w:right="0"/>
        <w:jc w:val="left"/>
      </w:pPr>
      <w:r>
        <w:rPr>
          <w:rFonts w:ascii="Calibri" w:hAnsi="Calibri" w:eastAsia="Calibri" w:cs="Calibri"/>
          <w:color w:val="000000"/>
          <w:sz w:val="22"/>
          <w:szCs w:val="22"/>
        </w:rPr>
        <w:t xml:space="preserve">Rodamilans B, Valli AA, Garcia JA (2019) Molecular Plant-</w:t>
      </w:r>
      <w:r>
        <w:rPr>
          <w:rFonts w:ascii="Calibri" w:hAnsi="Calibri" w:eastAsia="Calibri" w:cs="Calibri"/>
          <w:i/>
          <w:iCs/>
          <w:color w:val="000000"/>
          <w:sz w:val="22"/>
          <w:szCs w:val="22"/>
        </w:rPr>
        <w:t xml:space="preserve">Plum pox vi</w:t>
      </w:r>
      <w:r>
        <w:rPr>
          <w:rFonts w:ascii="Calibri" w:hAnsi="Calibri" w:eastAsia="Calibri" w:cs="Calibri"/>
          <w:color w:val="000000"/>
          <w:sz w:val="22"/>
          <w:szCs w:val="22"/>
        </w:rPr>
        <w:t xml:space="preserve">rus interactions. </w:t>
      </w:r>
      <w:r>
        <w:rPr>
          <w:rFonts w:ascii="Calibri" w:hAnsi="Calibri" w:eastAsia="Calibri" w:cs="Calibri"/>
          <w:i/>
          <w:iCs/>
          <w:color w:val="000000"/>
          <w:sz w:val="22"/>
          <w:szCs w:val="22"/>
        </w:rPr>
        <w:t xml:space="preserve">Molecular Plant Microbe Interactions</w:t>
      </w:r>
      <w:r>
        <w:rPr>
          <w:rFonts w:ascii="Calibri" w:hAnsi="Calibri" w:eastAsia="Calibri" w:cs="Calibri"/>
          <w:color w:val="000000"/>
          <w:sz w:val="22"/>
          <w:szCs w:val="22"/>
        </w:rPr>
        <w:t xml:space="preserve">, doi: 10.1094/MPMI-07-19-0189-FI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Rodamilans B, Valli A, Mingot A, San León D, Baulcombe D, López-Moya JJ, García JA (2015) RNA  polymerase slippage as a mechanism for the production of frameshift gene products in plant viruses of the Potyviridae family. </w:t>
      </w:r>
      <w:r>
        <w:rPr>
          <w:rFonts w:ascii="Calibri" w:hAnsi="Calibri" w:eastAsia="Calibri" w:cs="Calibri"/>
          <w:i/>
          <w:iCs/>
          <w:color w:val="000000"/>
          <w:sz w:val="22"/>
          <w:szCs w:val="22"/>
        </w:rPr>
        <w:t xml:space="preserve">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6965-6967.</w:t>
      </w:r>
    </w:p>
    <w:p>
      <w:pPr>
        <w:widowControl w:val="on"/>
        <w:pBdr/>
        <w:spacing w:before="220" w:after="220" w:line="240" w:lineRule="auto"/>
        <w:ind w:left="0" w:right="0"/>
        <w:jc w:val="left"/>
      </w:pPr>
      <w:r>
        <w:rPr>
          <w:rFonts w:ascii="Calibri" w:hAnsi="Calibri" w:eastAsia="Calibri" w:cs="Calibri"/>
          <w:color w:val="000000"/>
          <w:sz w:val="22"/>
          <w:szCs w:val="22"/>
        </w:rPr>
        <w:t xml:space="preserve">Scorza R, Ravelonandro M, Callahan A, Zagrai I, Polak J, Malinowski T, Cambra M, Levy L, Damsteegt V, Krška B, Cordts J, Gonsalves D, Dardick C (2016) ‘HoneySweet’(C5), the first genetically engineered plum pox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L.) cultivar.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601–603.</w:t>
      </w:r>
    </w:p>
    <w:p>
      <w:pPr>
        <w:widowControl w:val="on"/>
        <w:pBdr/>
        <w:spacing w:before="220" w:after="220" w:line="240" w:lineRule="auto"/>
        <w:ind w:left="0" w:right="0"/>
        <w:jc w:val="left"/>
      </w:pPr>
      <w:r>
        <w:rPr>
          <w:rFonts w:ascii="Calibri" w:hAnsi="Calibri" w:eastAsia="Calibri" w:cs="Calibri"/>
          <w:color w:val="000000"/>
          <w:sz w:val="22"/>
          <w:szCs w:val="22"/>
        </w:rPr>
        <w:t xml:space="preserve">Sihelská N, Glasa M, Šubr Z (2017) Host preference of the major strains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 opinions based on regional and world-wide sequence data.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510-515.</w:t>
      </w:r>
    </w:p>
    <w:p>
      <w:pPr>
        <w:widowControl w:val="on"/>
        <w:pBdr/>
        <w:spacing w:before="220" w:after="220" w:line="240" w:lineRule="auto"/>
        <w:ind w:left="0" w:right="0"/>
        <w:jc w:val="left"/>
      </w:pPr>
      <w:r>
        <w:rPr>
          <w:rFonts w:ascii="Calibri" w:hAnsi="Calibri" w:eastAsia="Calibri" w:cs="Calibri"/>
          <w:color w:val="000000"/>
          <w:sz w:val="22"/>
          <w:szCs w:val="22"/>
        </w:rPr>
        <w:t xml:space="preserve">Sochor J, Babula,P, Adam V, Krska B, Kizek R (2012) Sharka: the past, the present and the future.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2853-2901.</w:t>
      </w:r>
    </w:p>
    <w:p>
      <w:pPr>
        <w:widowControl w:val="on"/>
        <w:pBdr/>
        <w:spacing w:before="220" w:after="220" w:line="240" w:lineRule="auto"/>
        <w:ind w:left="0" w:right="0"/>
        <w:jc w:val="left"/>
      </w:pPr>
      <w:r>
        <w:rPr>
          <w:rFonts w:ascii="Calibri" w:hAnsi="Calibri" w:eastAsia="Calibri" w:cs="Calibri"/>
          <w:color w:val="000000"/>
          <w:sz w:val="22"/>
          <w:szCs w:val="22"/>
        </w:rPr>
        <w:t xml:space="preserve">Šubr Z, Glasa M (2008)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variability detected by the advanced analytical methods.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75-90.</w:t>
      </w:r>
    </w:p>
    <w:p>
      <w:pPr>
        <w:widowControl w:val="on"/>
        <w:pBdr/>
        <w:spacing w:before="220" w:after="220" w:line="240" w:lineRule="auto"/>
        <w:ind w:left="0" w:right="0"/>
        <w:jc w:val="left"/>
      </w:pPr>
      <w:r>
        <w:rPr>
          <w:rFonts w:ascii="Calibri" w:hAnsi="Calibri" w:eastAsia="Calibri" w:cs="Calibri"/>
          <w:color w:val="000000"/>
          <w:sz w:val="22"/>
          <w:szCs w:val="22"/>
        </w:rPr>
        <w:t xml:space="preserve">Šubr Z, Pittnerova S, Glasa M (2004) A simplified RT-PCR-based detection of recombinant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isolates.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Sutic D (1961) Assay of transmission of sharka virus disease by sap inoculation to herbaceous plants. </w:t>
      </w:r>
      <w:r>
        <w:rPr>
          <w:rFonts w:ascii="Calibri" w:hAnsi="Calibri" w:eastAsia="Calibri" w:cs="Calibri"/>
          <w:i/>
          <w:iCs/>
          <w:color w:val="000000"/>
          <w:sz w:val="22"/>
          <w:szCs w:val="22"/>
        </w:rPr>
        <w:t xml:space="preserve">T. Planteavl.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138-146.</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D, McCann M, McLeod M, Lye D, Green M, James D (2001) First report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in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97.</w:t>
      </w:r>
    </w:p>
    <w:p>
      <w:pPr>
        <w:widowControl w:val="on"/>
        <w:pBdr/>
        <w:spacing w:before="220" w:after="220" w:line="240" w:lineRule="auto"/>
        <w:ind w:left="0" w:right="0"/>
        <w:jc w:val="left"/>
      </w:pPr>
      <w:r>
        <w:rPr>
          <w:rFonts w:ascii="Calibri" w:hAnsi="Calibri" w:eastAsia="Calibri" w:cs="Calibri"/>
          <w:color w:val="000000"/>
          <w:sz w:val="22"/>
          <w:szCs w:val="22"/>
        </w:rPr>
        <w:t xml:space="preserve">Ulubas Serçe C, Candresse T, Svanella-Dumas L, Krizba, L, Gazel M, Çaglayan K (2009) Further characterization of a new recombinant group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isolates, PPV-T, found in orchards in the Ankara province of Turkey.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121-126.</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(2019) USDA declares United States free from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hyperlink r:id="rId234766982ad45dde3" w:history="1">
        <w:r>
          <w:rPr>
            <w:rFonts w:ascii="Calibri" w:hAnsi="Calibri" w:eastAsia="Calibri" w:cs="Calibri"/>
            <w:color w:val="0000CC"/>
            <w:sz w:val="22"/>
            <w:szCs w:val="22"/>
            <w:u w:val="single"/>
          </w:rPr>
          <w:t xml:space="preserve">https://www.aphis.usda.gov/aphis/newsroom/news/sa_by_date/sa-2019/plum-pox-declaration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Varga A, James D (2006) Use of reverse transcription loop-mediated isothermal amplification for the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Virological Methods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184-190. </w:t>
      </w:r>
    </w:p>
    <w:p>
      <w:pPr>
        <w:widowControl w:val="on"/>
        <w:pBdr/>
        <w:spacing w:before="220" w:after="220" w:line="240" w:lineRule="auto"/>
        <w:ind w:left="0" w:right="0"/>
        <w:jc w:val="left"/>
      </w:pPr>
      <w:r>
        <w:rPr>
          <w:rFonts w:ascii="Calibri" w:hAnsi="Calibri" w:eastAsia="Calibri" w:cs="Calibri"/>
          <w:color w:val="000000"/>
          <w:sz w:val="22"/>
          <w:szCs w:val="22"/>
        </w:rPr>
        <w:t xml:space="preserve">Varga A, James D (2005) Detection and differentiation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using real-time multiplex PCR with SYBR Green and melting curve analysis: a rapid method for strain typing.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213-220.</w:t>
      </w:r>
    </w:p>
    <w:p>
      <w:pPr>
        <w:widowControl w:val="on"/>
        <w:pBdr/>
        <w:spacing w:before="220" w:after="220" w:line="240" w:lineRule="auto"/>
        <w:ind w:left="0" w:right="0"/>
        <w:jc w:val="left"/>
      </w:pPr>
      <w:r>
        <w:rPr>
          <w:rFonts w:ascii="Calibri" w:hAnsi="Calibri" w:eastAsia="Calibri" w:cs="Calibri"/>
          <w:color w:val="000000"/>
          <w:sz w:val="22"/>
          <w:szCs w:val="22"/>
        </w:rPr>
        <w:t xml:space="preserve">Vidal E, Zagrai L, Milusheva S, Bozhkova V, Tasheva-Terzieva E, Kamenova I, Zagrai I, Cambra M (2013) Horticultural mineral oil treatments in nurseries during aphid flights reduce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incidence under different ecological conditions.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299-308.</w:t>
      </w:r>
    </w:p>
    <w:p>
      <w:pPr>
        <w:widowControl w:val="on"/>
        <w:pBdr/>
        <w:spacing w:before="220" w:after="220" w:line="240" w:lineRule="auto"/>
        <w:ind w:left="0" w:right="0"/>
        <w:jc w:val="left"/>
      </w:pPr>
      <w:r>
        <w:rPr>
          <w:rFonts w:ascii="Calibri" w:hAnsi="Calibri" w:eastAsia="Calibri" w:cs="Calibri"/>
          <w:color w:val="000000"/>
          <w:sz w:val="22"/>
          <w:szCs w:val="22"/>
        </w:rPr>
        <w:t xml:space="preserve">Virscek Marn M, Mavric I, Urbancic-Zemljic M, Skerlavaj V (2004) Detection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in weeds.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251-254.</w:t>
      </w:r>
    </w:p>
    <w:p>
      <w:pPr>
        <w:widowControl w:val="on"/>
        <w:pBdr/>
        <w:spacing w:before="220" w:after="220" w:line="240" w:lineRule="auto"/>
        <w:ind w:left="0" w:right="0"/>
        <w:jc w:val="left"/>
      </w:pPr>
      <w:r>
        <w:rPr>
          <w:rFonts w:ascii="Calibri" w:hAnsi="Calibri" w:eastAsia="Calibri" w:cs="Calibri"/>
          <w:color w:val="000000"/>
          <w:sz w:val="22"/>
          <w:szCs w:val="22"/>
        </w:rPr>
        <w:t xml:space="preserve">Wetzel T, Candresse T, Ravelonandro M, Delbos RP, Mazyad H, Aboul-Ata AE, Dunez J (1991) Nucleotide sequence of the 3' terminal region of the RNA of the El Amar strain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1741-1746.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2019 by Thierry Candresse and Miroslav Glasa.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Potyvirus plumpoxi</w:t>
      </w:r>
      <w:r>
        <w:rPr>
          <w:rFonts w:ascii="Calibri" w:hAnsi="Calibri" w:eastAsia="Calibri" w:cs="Calibri"/>
          <w:color w:val="000000"/>
          <w:sz w:val="22"/>
          <w:szCs w:val="22"/>
        </w:rPr>
        <w:t xml:space="preserve">. EPPO datasheets on pests recommended for regulation. Available online. </w:t>
      </w:r>
      <w:hyperlink r:id="rId825066982ad45e2c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2019.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96, </w:t>
      </w:r>
      <w:r>
        <w:rPr>
          <w:rFonts w:ascii="Calibri" w:hAnsi="Calibri" w:eastAsia="Calibri" w:cs="Calibri"/>
          <w:i/>
          <w:iCs/>
          <w:color w:val="000000"/>
          <w:sz w:val="22"/>
          <w:szCs w:val="22"/>
        </w:rPr>
        <w:t xml:space="preserve">Plum pox virus. Bulletin OEPP/EPPO Bulletin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1-7.</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990611">
    <w:multiLevelType w:val="hybridMultilevel"/>
    <w:lvl w:ilvl="0" w:tplc="29828542">
      <w:start w:val="1"/>
      <w:numFmt w:val="decimal"/>
      <w:lvlText w:val="%1."/>
      <w:lvlJc w:val="left"/>
      <w:pPr>
        <w:ind w:left="720" w:hanging="360"/>
      </w:pPr>
    </w:lvl>
    <w:lvl w:ilvl="1" w:tplc="29828542" w:tentative="1">
      <w:start w:val="1"/>
      <w:numFmt w:val="lowerLetter"/>
      <w:lvlText w:val="%2."/>
      <w:lvlJc w:val="left"/>
      <w:pPr>
        <w:ind w:left="1440" w:hanging="360"/>
      </w:pPr>
    </w:lvl>
    <w:lvl w:ilvl="2" w:tplc="29828542" w:tentative="1">
      <w:start w:val="1"/>
      <w:numFmt w:val="lowerRoman"/>
      <w:lvlText w:val="%3."/>
      <w:lvlJc w:val="right"/>
      <w:pPr>
        <w:ind w:left="2160" w:hanging="180"/>
      </w:pPr>
    </w:lvl>
    <w:lvl w:ilvl="3" w:tplc="29828542" w:tentative="1">
      <w:start w:val="1"/>
      <w:numFmt w:val="decimal"/>
      <w:lvlText w:val="%4."/>
      <w:lvlJc w:val="left"/>
      <w:pPr>
        <w:ind w:left="2880" w:hanging="360"/>
      </w:pPr>
    </w:lvl>
    <w:lvl w:ilvl="4" w:tplc="29828542" w:tentative="1">
      <w:start w:val="1"/>
      <w:numFmt w:val="lowerLetter"/>
      <w:lvlText w:val="%5."/>
      <w:lvlJc w:val="left"/>
      <w:pPr>
        <w:ind w:left="3600" w:hanging="360"/>
      </w:pPr>
    </w:lvl>
    <w:lvl w:ilvl="5" w:tplc="29828542" w:tentative="1">
      <w:start w:val="1"/>
      <w:numFmt w:val="lowerRoman"/>
      <w:lvlText w:val="%6."/>
      <w:lvlJc w:val="right"/>
      <w:pPr>
        <w:ind w:left="4320" w:hanging="180"/>
      </w:pPr>
    </w:lvl>
    <w:lvl w:ilvl="6" w:tplc="29828542" w:tentative="1">
      <w:start w:val="1"/>
      <w:numFmt w:val="decimal"/>
      <w:lvlText w:val="%7."/>
      <w:lvlJc w:val="left"/>
      <w:pPr>
        <w:ind w:left="5040" w:hanging="360"/>
      </w:pPr>
    </w:lvl>
    <w:lvl w:ilvl="7" w:tplc="29828542" w:tentative="1">
      <w:start w:val="1"/>
      <w:numFmt w:val="lowerLetter"/>
      <w:lvlText w:val="%8."/>
      <w:lvlJc w:val="left"/>
      <w:pPr>
        <w:ind w:left="5760" w:hanging="360"/>
      </w:pPr>
    </w:lvl>
    <w:lvl w:ilvl="8" w:tplc="29828542" w:tentative="1">
      <w:start w:val="1"/>
      <w:numFmt w:val="lowerRoman"/>
      <w:lvlText w:val="%9."/>
      <w:lvlJc w:val="right"/>
      <w:pPr>
        <w:ind w:left="6480" w:hanging="180"/>
      </w:pPr>
    </w:lvl>
  </w:abstractNum>
  <w:abstractNum w:abstractNumId="36990610">
    <w:multiLevelType w:val="hybridMultilevel"/>
    <w:lvl w:ilvl="0" w:tplc="493550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990610">
    <w:abstractNumId w:val="36990610"/>
  </w:num>
  <w:num w:numId="36990611">
    <w:abstractNumId w:val="3699061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5519102" Type="http://schemas.microsoft.com/office/2011/relationships/commentsExtended" Target="commentsExtended.xml"/><Relationship Id="rId767741662" Type="http://schemas.microsoft.com/office/2011/relationships/people" Target="people.xml"/><Relationship Id="rId205266982ad43c7f3" Type="http://schemas.openxmlformats.org/officeDocument/2006/relationships/hyperlink" Target="https://gd.eppo.int/taxon/PPV000/" TargetMode="External"/><Relationship Id="rId342666982ad43c85e" Type="http://schemas.openxmlformats.org/officeDocument/2006/relationships/hyperlink" Target="https://gd.eppo.int/taxon/PPV000/categorization" TargetMode="External"/><Relationship Id="rId746066982ad449d5e" Type="http://schemas.openxmlformats.org/officeDocument/2006/relationships/hyperlink" Target="https://gd.eppo.int/taxon/PPV000/photos" TargetMode="External"/><Relationship Id="rId542166982ad45c51f" Type="http://schemas.openxmlformats.org/officeDocument/2006/relationships/hyperlink" Target="http://www.dpvweb.net/dpv/showdpv.php?dpvno=410" TargetMode="External"/><Relationship Id="rId234766982ad45dde3" Type="http://schemas.openxmlformats.org/officeDocument/2006/relationships/hyperlink" Target="https://www.aphis.usda.gov/aphis/newsroom/news/sa_by_date/sa-2019/plum-pox-declaration" TargetMode="External"/><Relationship Id="rId825066982ad45e2cc" Type="http://schemas.openxmlformats.org/officeDocument/2006/relationships/hyperlink" Target="https://gd.eppo.int" TargetMode="External"/><Relationship Id="rId696366982ad43cfe2" Type="http://schemas.openxmlformats.org/officeDocument/2006/relationships/image" Target="media/imgrId696366982ad43cfe2.jpg"/><Relationship Id="rId648566982ad44bdf2" Type="http://schemas.openxmlformats.org/officeDocument/2006/relationships/image" Target="media/imgrId648566982ad44bdf2.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