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Pomacea canaliculata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Pomacea canaliculata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(Lamarck)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Mollusca: Gastropoda: Architaenioglossa: Ampullariidae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channeled apple snail, golden apple snail</w:t>
            </w:r>
            <w:hyperlink r:id="rId8756663724f7465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6851663724f74663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POMACA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416571" name="name1473663724f746e37" descr="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9.jpg"/>
                          <pic:cNvPicPr/>
                        </pic:nvPicPr>
                        <pic:blipFill>
                          <a:blip r:embed="rId3094663724f746e35" cstate="print"/>
                          <a:stretch>
                            <a:fillRect/>
                          </a:stretch>
                        </pic:blipFill>
                        <pic:spPr>
                          <a:xfrm>
                            <a:off x="0" y="0"/>
                            <a:ext cx="2160000" cy="1281600"/>
                          </a:xfrm>
                          <a:prstGeom prst="rect">
                            <a:avLst/>
                          </a:prstGeom>
                          <a:ln w="0">
                            <a:noFill/>
                          </a:ln>
                        </pic:spPr>
                      </pic:pic>
                    </a:graphicData>
                  </a:graphic>
                </wp:inline>
              </w:drawing>
            </w:r>
            <w:hyperlink r:id="rId3136663724f746f6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been confused with many other valid species of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another South American species that become a transcontinental invader) and has also suffered from numerous misspellings and invalid nomenclatural changes, especially in invaded areas of South-East Asia but also in its native range. Cowie &amp; Thiengo (2003),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analyzed in detail the extensive list of synonyms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clarified the taxonomic status of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describing their similarities and differences, and provided a list of articles in which they have been confused or correctly identified. Recent studies indicate that the taxonomic situation in South-East Asia is more complicated than previously thought since a new species (</w:t>
      </w:r>
      <w:r>
        <w:rPr>
          <w:rFonts w:ascii="Calibri" w:hAnsi="Calibri" w:eastAsia="Calibri" w:cs="Calibri"/>
          <w:i/>
          <w:iCs/>
          <w:color w:val="000000"/>
          <w:sz w:val="22"/>
          <w:szCs w:val="22"/>
        </w:rPr>
        <w:t xml:space="preserve">Pomacea occulta</w:t>
      </w:r>
      <w:r>
        <w:rPr>
          <w:rFonts w:ascii="Calibri" w:hAnsi="Calibri" w:eastAsia="Calibri" w:cs="Calibri"/>
          <w:color w:val="000000"/>
          <w:sz w:val="22"/>
          <w:szCs w:val="22"/>
        </w:rPr>
        <w:t xml:space="preserve">), not known in the native range of the genus, has been described in China (Yang &amp; Yu, 2019). In addition, there is growing evidence of extensive hybridization (up to 53% of the snails analyzed) between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maculata</w:t>
      </w:r>
      <w:r>
        <w:rPr>
          <w:rFonts w:ascii="Calibri" w:hAnsi="Calibri" w:eastAsia="Calibri" w:cs="Calibri"/>
          <w:color w:val="000000"/>
          <w:sz w:val="22"/>
          <w:szCs w:val="22"/>
        </w:rPr>
        <w:t xml:space="preserve"> in South-East Asia and in the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usually regarded as macrophytophagous</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has no host plants in a strict sense. It uses aquatic macrophytes as food and, in the case of emergent or riparian plants, as substrate for egg laying, but it can also eat plant detritus, biofilms, and animal material such as carrion, amphibian eggs and invertebrates.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can also use any natural or artificial substrate as oviposition sites, as long as it is strong enough to support the weight of a mature female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trophic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extensively studied through palatability trials (no-choice feeding trials) with the result that it feeds on almost any organic material (Saveanu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Hence the list of plants that can be attacked is very long and may include species that have been covered by research studies, but which would not normally be consumed by the snails (e.g. riparian or terrestrial species). On the other hand, multi-offer feeding trials indicate that these snails have strong preferences for some aquatic plants over others (Morrison &amp; Hay, 2011;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once preferred plants are depleted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these snails would turn to less preferred ones and can also reduce their biomass and coverage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 levels of damage to some aquatic crops, especially rice, is probably more related to a suite of factors favouring high densities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the fields (shallow water, access to air, egg laying substrates, plant detritus, algae, biofilms, etc.) than to any preference or specificity of the snail for these crops.</w:t>
      </w:r>
    </w:p>
    <w:p>
      <w:pPr>
        <w:widowControl w:val="on"/>
        <w:pBdr/>
        <w:spacing w:before="220" w:after="220" w:line="240" w:lineRule="auto"/>
        <w:ind w:left="0" w:right="0"/>
        <w:jc w:val="both"/>
      </w:pPr>
      <w:r>
        <w:rPr>
          <w:rFonts w:ascii="Calibri" w:hAnsi="Calibri" w:eastAsia="Calibri" w:cs="Calibri"/>
          <w:color w:val="000000"/>
          <w:sz w:val="22"/>
          <w:szCs w:val="22"/>
        </w:rPr>
        <w:t xml:space="preserve">In no-choice trials (Manara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Morrison &amp; Hay, 2011;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following potential aquatic plants could be eaten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 Alternanthera philoxeroides, Amaranthus tricolor, Bacopa caroliniana, Bacopa monnieri, Chara contraria, Colocasia esculenta, Commelina diffusa, Egeria densa, Hydrocotyle sibthorpioides, Ipomoea aquatica, Lemna minor, Ludwigia adscendens, Ludwigia peploides, Myriophyllum aquaticum, Myriophyllum quitense, Nasturtium officinale, Nelumbo nucifera, Nymphaea alba, Nymphaea odorata, Persicaria barbata, Phragmites australis, Pistia stratiotes, Pontederia crassipes, Ranunculus sceleratus, Sagittaria latifolia, Stuckenia striata, Utricularia sp., Vallisneria natans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Zannichellia palustris.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monnieri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Chara contraria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Egeria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sibthorpioides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Lemna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peploides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quitense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Nymphaea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Phragmites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crassipes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sceleratus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Stuckenia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Utricularia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Vallisneria natans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Zannichellia palustris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area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comprises most of Río de la Plata basin in Southern South America, including parts of Argentina, Brazil, Uruguay, Paraguay and probably also Bolivia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last decades,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expanded to new contiguous and disjunct areas in Argentina (Seuffert &amp; Martín, 2021) and has been introduced to other countries in South America, such as Chile (Letelier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Ecuador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Brazil (hybridizing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also been introduced to many countries in different continents, mainly as potential aquaculture organism, and also as an aquarium pet.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updated the extensive list of countries where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together with the dates of introduction or first record. It established extensively in rice fields and other managed waterbodies and also in natural wetlands in South-Eastern Asia, where it was first introduced in Taiwan in 1979, and rapidly spread to the Philippines (1980), Japan, China, South Korea, Indonesia (1981), Thailand (1982), Malaysia (1987) and Vietnam (1988). In the 1990s it reached Laos, Papua-New Guinea, Singapore and since 2000 it has also reached Cambodia and Myanmar. Genetic molecular analyses indicate that Argentinian populations were the source of these South-East Asian populations in most cases but also that there have been multiple introductions in the same area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2021). There are also reports of the pest in other regions of Asia, such as Israel (Roll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Siberia (Vinarski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North America and the Caribbean, it has been reported in the Dominican Republic (1991), the USA (1997), Mexico (2009) and Trinidad (2014). It has been reported in oceanic islands such as Guam and Hawaii (1989). In Europe one specimen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been reported in Spain together with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(Andree &amp; López, 2013), but this isolated record remains unconfirmed. In Africa its presence has been confirmed only recently in rice fields from Kenya (Buddie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r>
        <w:drawing>
          <wp:inline distT="0" distB="0" distL="0" distR="0">
            <wp:extent cx="6120000" cy="3067200"/>
            <wp:docPr id="70036447" name="name6521663724f748bde" descr="POMA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CA_distribution_map.jpg"/>
                    <pic:cNvPicPr/>
                  </pic:nvPicPr>
                  <pic:blipFill>
                    <a:blip r:embed="rId7189663724f748b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Russia (Western Siberia)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Cambodia, China (Anhui, Chongqing, Fujian, Guangdong, Guangxi, Guizhou, Hainan, Hunan, Jiangsu, Jiangxi, Sichuan, Yunnan, Zhejiang), Indonesia (Irian Jaya, Java, Kalimantan, Sulawesi, Sumatra), Israel, Japan (Honshu, Kyushu, Ryukyu Archipelago), Korea, Republic, Laos, Malaysia (Sabah, West), Myanmar, Philippines, Singapore,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(Amazonas, Bahia, Goias, Mato Grosso, Mato Grosso do Sul, Minas Gerais, Para, Pernambuco, Rio de Janeiro, Rio Grande do Sul, Rondonia, Santa Catarina, Sao Paulo), Chile, Ecuador,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 </w:t>
      </w:r>
      <w:r>
        <w:rPr>
          <w:rFonts w:ascii="Calibri" w:hAnsi="Calibri" w:eastAsia="Calibri" w:cs="Calibri"/>
          <w:color w:val="000000"/>
          <w:sz w:val="22"/>
          <w:szCs w:val="22"/>
        </w:rPr>
        <w:t xml:space="preserve">is a large freshwater snail, which is oviparous and dioecious, and with females being usually larger than males.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inhabits a great variety of habitats (lakes, ponds, rivers, streams, reservoirs, paddy fields, channels, etc.; Seuffert &amp; Martín, 2013, 2021; Kwong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usually regarded as a lotic dweller but it can be very abundant in slow flowing streams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Seuffert &amp; Martín, 2012). It can be found underwater on muddy sediment, bedrock or on aquatic plants that are submerged, floating or emergent.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has a dual respiratory system composed of a well-developed aquatic gill or ctenidium and an aerial lung. It is able to perform aquatic and aerial respiration simultaneously and hence to dwell in hypoxic waters; aerial respiration is obligatory under most circumstances and the dependence on it increases with water temperature and snail size, being higher for females (Seuffert &amp; Martín, 2010). The aerial lung is probably crucial for the notable capacity to survive out of water when the snails became stranded by water recession or self-bury during dry periods. Self-buried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survived up to 11 months and 29 months in dry and moist soil, respectively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air in the lung increases the buoyancy of these snails and so their movements are greatly impeded when water depth is below their shell height.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reproductive habits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congeners are quite unusual for a freshwater snail: although they perform all their activities underwater (crawling, feeding, respiration, copulation, etc.), egg laying occurs on emergent substrates onto which the female climbs and deposits a conspicuous pink egg mass formed by hundreds of eggs with a calcareous shell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All the embryonic development takes place aerially inside the cleidoic egg until the eggshell cracks (usually after two weeks at 25°C) and the hatchlings fall into the water. The egg masses can endure submersion at the expense of an extended development period and lower embryo viability, but they cannot develop successfully if permanently submersed (Pizani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Due to their bright pink colour, size and location well above water level, the egg masses are conspicuous but seldom attacked by predators, probably due to the antidigestive, neurotoxic and antinutritive properties on the perivitelline fluid that surrounds the embryo inside the egg shell and serves as nutritional reserve and protective envelope (Heras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direct and quite simple but the life history traits are very plastic and in some cases sexually dimorphic (Estebenet &amp; Martín, 2002;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Once the aerial eggs hatch, the hatchlings drop into the water and immediately try to reach the water surface and begin to breathe air and to eat; once they have consumed all the reserves of perivitelline fluid in their guts they can be considered as juveniles which develop quickly into males and females if food and temperature are adequate. At 25°C males mature at 15 weeks of age, irrespective of size and food availability, whereas females mature at sizes of ca. 32 mm, which are attained at 15 weeks of age when fed freely and at 50 weeks when food availability is reduced to 20 % of the amount consumed when fed freely. The age at which females lay their first egg mass is inversely related to water temperature and varies between 90 weeks at 20°C to 12.86 weeks at 30°C (Seuffert &amp; Martín, 2017). The life cycle is annual and semelparous (one reproductive period) at a constant temperature of 25°C but a seasonal variation in temperature (9-32°C) induces an extended iteroparous life cycle with up to four reproductive seasons (Estebenet &amp; Martín, 2002).</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has an outstanding importance in the biology and ecology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is probably the main determinant of its distribution on a global scale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snails are active above water temperatures of 15°C and up to 38-40°C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Reproduction is possible between 20 and 30°C but sexual maturity is highly delayed in the lower limit and egg viability is reduced in the upper limit; survival and growth are good at 35°C but copulation is infrequent and females do not lay eggs (Seuffert &amp; Martín, 2017). Degree days (DD) were estimated for egg development from 88.8 to 133.8 DD (Seuffert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at 1440 DD for the entire life cycle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with threshold temperatures of 15.8-18.3°C and 11.7°C,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attacks on aquatic plants are quite unspecific and depend on the interaction of the feeding mechanism (combined action of the radula, a flexible ribbon with up to 35 seven-teeth rows, and a pair of stout jaws) with plant anatomy. The size structure of the apple snail population can also influence the effects on aquatic vegetation or aquatic crops, as small snails have less capacity to chew vegetal tissues but have a greater specific ingestion rate (Carlsson &amp; Brönmark,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attacks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usually concentrated in floating or submersed leaves and stems. The leaf blades show irregularly chewed margins, sometimes leaving only the main veins, but they could also appear as irregular holes; when the adaxial surface is too tough they gnaw the abaxial surface first and ingest the mesophyll, leaving clear translucent “windows” in the blade; this is common when the snails are small compared to the leaves. On the other hand, small snails can penetrate inside hollow but tough stems that adult snails cannot chew and eat them from inside (Carlsson &amp; Brönmark, 2006). Small floating plants such as duckweeds can be ingested in one bite by an adult snail but large plants such as water hyacinth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ontederia crassipes</w:t>
      </w:r>
      <w:r>
        <w:rPr>
          <w:rFonts w:ascii="Calibri" w:hAnsi="Calibri" w:eastAsia="Calibri" w:cs="Calibri"/>
          <w:color w:val="000000"/>
          <w:sz w:val="22"/>
          <w:szCs w:val="22"/>
        </w:rPr>
        <w:t xml:space="preserve">) are attacked from underwater, ingesting first the roots, then the lowest part of the spongy air-filled petioles and when, they fall to water, the leaf blades (Carlsson &amp; Lacoursière,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agricultural concern raised by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grazing is for rice, especially when directly seeded, as apple snails of all sizes can eat the seedlings up to the three-leaf stage. Transplanted rice is far more resistant to apple snail grazing, especially by small individuals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Damage in rice fields also depends strongly on water depth in rice fields and damage, even to seedlings, can be avoided if soil is maintained saturated with water but with no free water above it. Even if apple snail infestation in rice fields is already high in terms of population density or biomass, symptoms appear late as round areas with no rice. Egg masses on plants or other emergent substrates in the fields or channels are an early warning of an increasing apple snail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is a large snail, reaching up to 6 cm from the apex of the shell to the farthest point of the aperture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shell is thin and smooth, globose to subglobose, with an oval to kidney-shaped aperture and a low spire; the suture is usually deeply channeled. The shell is brown-green, showing up to 30 dark spiral bands of variable width and transverse growth lines. The operculum is corneous and flexible, with concentric growth lines around an eccentric nucleus, and tightly closes the shell aperture.</w:t>
      </w:r>
    </w:p>
    <w:p>
      <w:pPr>
        <w:widowControl w:val="on"/>
        <w:pBdr/>
        <w:spacing w:before="220" w:after="220" w:line="240" w:lineRule="auto"/>
        <w:ind w:left="0" w:right="0"/>
        <w:jc w:val="both"/>
      </w:pPr>
      <w:r>
        <w:rPr>
          <w:rFonts w:ascii="Calibri" w:hAnsi="Calibri" w:eastAsia="Calibri" w:cs="Calibri"/>
          <w:color w:val="000000"/>
          <w:sz w:val="22"/>
          <w:szCs w:val="22"/>
        </w:rPr>
        <w:t xml:space="preserve">Shell morphology, including shape, size, thickness and colouration, is the most frequently used indicator for species identification but at the same time it is one of the less reliable since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shells are similar and there is ample intraspecific variability in many of them. In particular, ontogenetic, sexual, genetic and ecophenotypic components of inter- and intrapopulation variation have been described in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(Estebenet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food availability and presence of predators can induce changes in shell morphology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colour, shape and size of eggs, as well as the number of eggs per egg mass, although variable, are useful to distinguish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and other apple snails (Hayes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eggs are spherical, usually pink but sometimes with a reddish or orange taint, and around 3 mm in diameter; the egg masses usually contain hundreds of eggs (12-1000). A simple colorimetric test based on egg perivitellins has been developed to distinguish between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(Pasquevich &amp; Heras, 2020). Hybridization between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results in homogenization in terms of size of eggs and egg masses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congeners like </w:t>
      </w:r>
      <w:r>
        <w:rPr>
          <w:rFonts w:ascii="Calibri" w:hAnsi="Calibri" w:eastAsia="Calibri" w:cs="Calibri"/>
          <w:i/>
          <w:iCs/>
          <w:color w:val="000000"/>
          <w:sz w:val="22"/>
          <w:szCs w:val="22"/>
        </w:rPr>
        <w:t xml:space="preserve">P. maculata</w:t>
      </w:r>
      <w:r>
        <w:rPr>
          <w:rFonts w:ascii="Calibri" w:hAnsi="Calibri" w:eastAsia="Calibri" w:cs="Calibri"/>
          <w:color w:val="000000"/>
          <w:sz w:val="22"/>
          <w:szCs w:val="22"/>
        </w:rPr>
        <w:t xml:space="preserve"> are most easily detected (e.g. allowing early detection) by the observation of their conspicuous aerial pink eggs-masses, even at low adult densities (EFSA, 2020). Egg masses can be found on almost any object emerging a few centimetres from the water surface (e.g. emergent plants, trees, poles, piers, rocks, boats, etc.), especially if they are touching the bottom of the water body or other submerged objects. However, floating objects usually cannot be reached by egg-laying females. Areas with still or slow flowing water are the sites most suited for inspection, which can be done by wading or boating personnel; inspection can be done also from the shore if emergent vegetation is sparse. Detection surveys of egg masses should take place at least once during the warm season in temperate climates or when water temperature exceeds 20°C in tropical ones. Surveys soon after sunrise are likely to find bright pink recently-laid egg masses, and also egg-laying females, as this behaviour is mostly nocturnal. The bright pink colour fades as egg development proceeds, becoming whitish and later brownish, when the embryo consumes the coloured perivitelline fluid and grows to occupy most of the eggshell. As eggs hatch, the egg mass losses its integrity and only a white mark with a few unhatched eggs remain. Unhatched egg masses or egg mass remains can last for a year or more if protected from rain and therefore, culverts, pipes and pillars under bridges are suitable places to search for them outside the reproductive season. Detection of egg masses could be aided by the use of binoculars and/or drones.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juveniles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detected by visual examination while wading or boating if water depth and turbidity are low. In turbid waters or among vegetation, adults can be detected underwater by touch and net scoops through submerged vegetation or bottom surface can be used to detect juveniles (Seuffert &amp; Martín, 2013). Under warm and hypoxic conditions, the need for ventilation of the aerial lung increases which increases the likelihood of seeing a snail taking air through their snorkel or siphon just below the water surface (Seuffert &amp; Martín, 2010). Snail activity decreases as temperature decreases and they become inactive when water temperature drops below 15°C, when they may bury in the sediments or hide beneath rocks. Baited traps can be used to attract apple snails, but their effectiveness depends on the availability of other food sources and on habitat type. Inspection of old strandlines could reveal the presence of empty shells and opercula, even if snails are inactive or buried at that time.</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can be done on empty shells and egg masses and even high quality photographs can be used, especially to avoid misidentification with other genera of apple snails (</w:t>
      </w:r>
      <w:r>
        <w:rPr>
          <w:rFonts w:ascii="Calibri" w:hAnsi="Calibri" w:eastAsia="Calibri" w:cs="Calibri"/>
          <w:i/>
          <w:iCs/>
          <w:color w:val="000000"/>
          <w:sz w:val="22"/>
          <w:szCs w:val="22"/>
        </w:rPr>
        <w:t xml:space="preserve">Pila, Lanistes, Asolene, Felipponea</w:t>
      </w:r>
      <w:r>
        <w:rPr>
          <w:rFonts w:ascii="Calibri" w:hAnsi="Calibri" w:eastAsia="Calibri" w:cs="Calibri"/>
          <w:color w:val="000000"/>
          <w:sz w:val="22"/>
          <w:szCs w:val="22"/>
        </w:rPr>
        <w:t xml:space="preserve">, etc.) or other large freshwater snails (mostly Viviparidae). Anatomical examination of soft parts of live or preserved adults, preferably males larger than 25 mm, by a trained malacologist is required for species confirmation. Mitochondrial genetic markers (mostly COI) are usually used to further confirm identification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to investigate the geographical origin of the apple snails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the use of nuclear markers may be necessary to disentangle the origin of the snails since there is evidence of hybridization both in the invaded and native range (Glasheen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can disperse through a variety of natural mechanisms that allow displacement at different spatial scales (Smith, 2006; Seuffert &amp; Martín, 2012). Crawling and climbing are the only two modes of active snail movements, mostly within a waterbody or between contiguous ones. Snails can crawl at speeds of up to 10 cm/minute and move up to 6 m upstream and 18 m downstream in one day (Seuffert &amp; Martín, 2012). Climbing out of water to lay eggs or to avoid fouled water is a common way in which the snails may leave a tank or channel and later drop outside; they may be able to crawl outside water for a few metres and reach another mass of water or bury themselves in wet sediment. Floating and drifting are two ways in which apple snails can disperse passively within a water body or water course, probably at a scale from a few metres to hundreds of metres (if aided by wind or water currents). Floating is favoured by the air inside the lung which increases snail’s buoyancy.  Snails partially dried and well withdrawn inside the shell can also float for several hours until they rehydrate and sink. Snail dislodgement in flowing water occurs at relatively low velocities (Seuffert &amp; Martín, 2012) and thereafter they drift downstream until the current is sufficiently slow so that they can adhere to the substrate with their foot. Flooding facilitates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(Ip &amp; Qiu, 2017), probably through these passive mechanisms.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 of anthropogenic transport, either incidental or intentional, is greatly enhanced by the capacity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endure desiccation and starvation (Smith, 2006; Yusa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Tamburi &amp; Martín, 2016) and by the aerial development of eggs. The female’s capacity to store sperm and to lay thousands of viable eggs after a single copulation increases the chances of establishment of new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has taken place through legal pathways and has even been supported by government agencies but unregulated and illegal transport is common (Smith, 2006; Carlsson, 2017;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Horgan, 2017, 2018). The aquarium pet trade and aquaculture projects are the main causes of intentional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across international borders and between continents.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also transported as a biological control agent against weeds in rice fields. Juveniles and adults can be easily transported without water over several days and even weeks in luggage or cloths, which greatly facilitates smuggling. Recently laid egg masses can be transported in a match box, small flask or paper towel for up to two weeks until the eggs hatch and even after this the hatchlings would survive easily for another week without water. Apple snails are used as fishing bait as they can be easily captured and maintained for use in a fishing trip (Seuffert &amp; Martín,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Incidental transport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probably occurs most frequently through small hatchlings and remains of egg masses. The aquatic plants trade is a likely pathway for long distance movement of both life stages (Cowie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Eggs masses deposited at night on the hull of boats located on or near the shore (Carlsson, 2017) can be transported during navigation or transported overland to a different waterbody until the eggs hatch. Egg masses and hatchlings can also be inadvertently transported with machinery used for agricultural activities or channel construction and maintenance. Hatchlings and small juveniles can be captured accidentally when netting for small fish (e.g. to be used as live bait or for restocking) and later transported to a new waterbody (Seuffert &amp; Martín,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mainly rice, is twofold: direct productivity losses due to the damage to crops and the costs of control measures against the snail. The economic impacts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on agriculture are huge, especially in tropical countries where rice is one of the main crops, such as in South-East Asia. Costs associated with apple snail damage in Malaysia were estimated at 28 million USD in 2010 (Yahaya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Taiwan annual economic losses were estimated as 3.89 million USD but the potential agricultural and ecological impacts could reach 176 million USD per year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total annual cost between 806–2138 million USD was estimated for the rice sector of Philippines, Vietnam and Thailand (Nghiem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total accumulated costs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to Ecuador’s rice sector in ten years (2005-2015) have been recently estimated at 155 million USD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the recent discovery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Kenya, Djeddour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estimated projected annual losses in the rice sector of Kenya, Tanzania, Uganda, and Ethiopia reach between 67–116 million USD.</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impacts of apple snail invasions, especially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are multiple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Carlsson, 2017;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involve emerging human diseases like eosinophilic meningoencephalitis (mostly due to an increased transmission of the rat lung-worm; Lv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the loss or deterioration of ecosystem services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for which economic estimations are not available yet.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have been proposed and applied in aquatic crops and only exceptionally in natural or man-managed wetlands (Martín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Damage to rice is of outstanding importance and concerns several continents and thus, the control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is one of the most studied aspects of this apple snail (Horgan, 2017;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control methods aim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damage to rice through a restriction of the snail activities and of the opportunities to encounter seedlings, the most vulnerable stage (Horgan, 2017). The manipulation of water depth, timing of inundation and drainage of rice, method of rice implantation (direct seeding or transplant) and crop density are the main variables that should be managed to reduce damage to rice. Local climate plays a crucial role as apple snails may hibernate if winters are cold enough or be active and reproduce throughout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aimed directly to reduce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populations in rice crops include manual, mechanical, chemical and biological methods (Horgan, 2017). Control measures can be directed to the aerial (egg masses) or to the aquatic stages (hatchlings, juveniles and adults). Handpicking or crushing the aerial egg masses is often used as a control method in small farms; planting stakes that serve as egg laying substrates for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in rice fields facilitates this task. Spraying egg masses with different substances reduces or impedes egg development and hatching, if applied at the right moment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Biological control with egg masses as targets has been investigated and only the fire ant </w:t>
      </w:r>
      <w:r>
        <w:rPr>
          <w:rFonts w:ascii="Calibri" w:hAnsi="Calibri" w:eastAsia="Calibri" w:cs="Calibri"/>
          <w:i/>
          <w:iCs/>
          <w:color w:val="000000"/>
          <w:sz w:val="22"/>
          <w:szCs w:val="22"/>
        </w:rPr>
        <w:t xml:space="preserve">Solenopsis invicta</w:t>
      </w:r>
      <w:r>
        <w:rPr>
          <w:rFonts w:ascii="Calibri" w:hAnsi="Calibri" w:eastAsia="Calibri" w:cs="Calibri"/>
          <w:color w:val="000000"/>
          <w:sz w:val="22"/>
          <w:szCs w:val="22"/>
        </w:rPr>
        <w:t xml:space="preserve"> predates them, but it is also a rice pest (Yusa, 2001).</w:t>
      </w:r>
    </w:p>
    <w:p>
      <w:pPr>
        <w:widowControl w:val="on"/>
        <w:pBdr/>
        <w:spacing w:before="220" w:after="220" w:line="240" w:lineRule="auto"/>
        <w:ind w:left="0" w:right="0"/>
        <w:jc w:val="both"/>
      </w:pPr>
      <w:r>
        <w:rPr>
          <w:rFonts w:ascii="Calibri" w:hAnsi="Calibri" w:eastAsia="Calibri" w:cs="Calibri"/>
          <w:color w:val="000000"/>
          <w:sz w:val="22"/>
          <w:szCs w:val="22"/>
        </w:rPr>
        <w:t xml:space="preserve">Handpicking of juvenile and adult snails is an effective but time-consuming control method that can be improved by using plant baits and digging furrows inside the fields where snails congregate. Mechanical methods include the intensification of customary cultural practices, such as tillage and puddling of rice fields, which can crush a high percentage of the snail population, especially hibernating ones. Chemical methods are frequently used because, although they are not specific, they are effective and include application of methaldehyde, niclosamide and diverse insecticides; baits with metaldehyde are also used. Plant extracts and plant based molluscicides are also gaining favour because of their lower side effects on other animals. Fertilizers commonly used in rice field (urea, calcium cyanamide and complete fertilizer) can also have a negative effect on apple snail populations, especially if used at high doses during low water periods.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fish, crustaceans and birds have been investigated or used as biological control agents against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(Yusa, 2006). Farming ducks and fish in rice fields are effective ways of controlling snail populations. Populations of predatory prawns (</w:t>
      </w:r>
      <w:r>
        <w:rPr>
          <w:rFonts w:ascii="Calibri" w:hAnsi="Calibri" w:eastAsia="Calibri" w:cs="Calibri"/>
          <w:i/>
          <w:iCs/>
          <w:color w:val="000000"/>
          <w:sz w:val="22"/>
          <w:szCs w:val="22"/>
        </w:rPr>
        <w:t xml:space="preserve">Macrobrachium rosenbergii</w:t>
      </w:r>
      <w:r>
        <w:rPr>
          <w:rFonts w:ascii="Calibri" w:hAnsi="Calibri" w:eastAsia="Calibri" w:cs="Calibri"/>
          <w:color w:val="000000"/>
          <w:sz w:val="22"/>
          <w:szCs w:val="22"/>
        </w:rPr>
        <w:t xml:space="preserve">) developed biotechnologically to obtain only males have been tried for inundative biocontrol of apple snails with promising results (Savaya-Alkalay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Ecuador, which is in the native range of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predation by the highly specialized snail kites (birds of prey) has been enhanced by farmers in order to control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(Horgan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wild native bird species, such as storks, crows and ibises, can also cause high levels of predation on </w:t>
      </w:r>
      <w:r>
        <w:rPr>
          <w:rFonts w:ascii="Calibri" w:hAnsi="Calibri" w:eastAsia="Calibri" w:cs="Calibri"/>
          <w:i/>
          <w:iCs/>
          <w:color w:val="000000"/>
          <w:sz w:val="22"/>
          <w:szCs w:val="22"/>
        </w:rPr>
        <w:t xml:space="preserve">P. canaliculata </w:t>
      </w:r>
      <w:r>
        <w:rPr>
          <w:rFonts w:ascii="Calibri" w:hAnsi="Calibri" w:eastAsia="Calibri" w:cs="Calibri"/>
          <w:color w:val="000000"/>
          <w:sz w:val="22"/>
          <w:szCs w:val="22"/>
        </w:rPr>
        <w:t xml:space="preserve">and its congeners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(Bertolero &amp; Navarro, 2018; Uehara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Sawangproh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some habitat amelioration measures to increase their use of rice fields may help to reduce snail numbers.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Pest Risks Analysis studies have concluded that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presented risks to plant health in the EPPO region (EFSA, 2012; EPPO, 2018). Due to difficulties in precise taxonomic determination and to uncertainty on the potential agricultural and environmental impacts of most species, apple snails from the whole genus</w:t>
      </w:r>
      <w:r>
        <w:rPr>
          <w:rFonts w:ascii="Calibri" w:hAnsi="Calibri" w:eastAsia="Calibri" w:cs="Calibri"/>
          <w:i/>
          <w:iCs/>
          <w:color w:val="000000"/>
          <w:sz w:val="22"/>
          <w:szCs w:val="22"/>
        </w:rPr>
        <w:t xml:space="preserve"> Pomacea</w:t>
      </w:r>
      <w:r>
        <w:rPr>
          <w:rFonts w:ascii="Calibri" w:hAnsi="Calibri" w:eastAsia="Calibri" w:cs="Calibri"/>
          <w:color w:val="000000"/>
          <w:sz w:val="22"/>
          <w:szCs w:val="22"/>
        </w:rPr>
        <w:t xml:space="preserve"> are considered quarantine pests in the EU, their introduction is prohibited and official inspections for the import and movement of aquatic plants within EU have been set to prevent their introduction and spread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Many countries such as Australia, China, Malaysia, Japan, USA and Vietnam also consider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a quarantine pest. To avoid any further spread of apple snails, the implementation of quarantine measures is recommended for countries that are vulnerable to exotic apple snails, in particular for tropical countries (Horgan,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is the first measure to avoid the multiple negative impacts associated with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as once established their eradication is very difficult and costly, from both economic and environmental viewpoints (Horgan, 2017, 2018). To prevent the entry and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Pomacea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their import and trade should be banned. Aestivating adult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with their opercula tightly closed may be mistaken for empty shells and be easily smuggled, as well as egg masses hidden in paper towels or match boxes. To prevent or slow the spread of </w:t>
      </w:r>
      <w:r>
        <w:rPr>
          <w:rFonts w:ascii="Calibri" w:hAnsi="Calibri" w:eastAsia="Calibri" w:cs="Calibri"/>
          <w:i/>
          <w:iCs/>
          <w:color w:val="000000"/>
          <w:sz w:val="22"/>
          <w:szCs w:val="22"/>
        </w:rPr>
        <w:t xml:space="preserve">P. canaliculata</w:t>
      </w:r>
      <w:r>
        <w:rPr>
          <w:rFonts w:ascii="Calibri" w:hAnsi="Calibri" w:eastAsia="Calibri" w:cs="Calibri"/>
          <w:color w:val="000000"/>
          <w:sz w:val="22"/>
          <w:szCs w:val="22"/>
        </w:rPr>
        <w:t xml:space="preserve"> from already infested places, boats and agricultural machinery should be thoroughly washed or inspected. It is recommended that plants for planting that can grow in water or soil that is permanently saturated with water should come from a pest-free area or a place of production which has been maintained free from the pest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Andree KB &amp; López MA (2013) Species identification from archived snail shells via genetic analysis: a method for DNA extraction from empty shells. </w:t>
      </w:r>
      <w:r>
        <w:rPr>
          <w:rFonts w:ascii="Calibri" w:hAnsi="Calibri" w:eastAsia="Calibri" w:cs="Calibri"/>
          <w:i/>
          <w:iCs/>
          <w:color w:val="000000"/>
          <w:sz w:val="22"/>
          <w:szCs w:val="22"/>
        </w:rPr>
        <w:t xml:space="preserve">Molluscan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Bertolero A, Navarro J (2018) A native bird as a predator for the invasive apple snail, a novel rice field invader in Europe. </w:t>
      </w:r>
      <w:r>
        <w:rPr>
          <w:rFonts w:ascii="Calibri" w:hAnsi="Calibri" w:eastAsia="Calibri" w:cs="Calibri"/>
          <w:i/>
          <w:iCs/>
          <w:color w:val="000000"/>
          <w:sz w:val="22"/>
          <w:szCs w:val="22"/>
        </w:rPr>
        <w:t xml:space="preserve">Aquatic Conservation: Marine and Freshwater Ecosystem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(5), 1-6.</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NOH (2017) lnvasive apple snails are threatening natural ecosystems in Southeast Asia, Europe and North America.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45-62.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Brönmark C (2006) Size‐dependent effects of an invasive herbivorous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on macrophytes and periphyton in Asian wetlands.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(4), 695-704.</w:t>
      </w:r>
    </w:p>
    <w:p>
      <w:pPr>
        <w:widowControl w:val="on"/>
        <w:pBdr/>
        <w:spacing w:before="220" w:after="220" w:line="240" w:lineRule="auto"/>
        <w:ind w:left="0" w:right="0"/>
        <w:jc w:val="left"/>
      </w:pPr>
      <w:r>
        <w:rPr>
          <w:rFonts w:ascii="Calibri" w:hAnsi="Calibri" w:eastAsia="Calibri" w:cs="Calibri"/>
          <w:color w:val="000000"/>
          <w:sz w:val="22"/>
          <w:szCs w:val="22"/>
        </w:rPr>
        <w:t xml:space="preserve">Carlsson NO &amp; Lacoursière JO (2005) Herbivory on aquatic vascular plants by the introduced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Lao PDR.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233-241.</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 Johnson D &amp; Merino S (2018) Exotic invasive </w:t>
      </w:r>
      <w:r>
        <w:rPr>
          <w:rFonts w:ascii="Calibri" w:hAnsi="Calibri" w:eastAsia="Calibri" w:cs="Calibri"/>
          <w:i/>
          <w:iCs/>
          <w:color w:val="000000"/>
          <w:sz w:val="22"/>
          <w:szCs w:val="22"/>
        </w:rPr>
        <w:t xml:space="preserve">Pomacea maculata</w:t>
      </w:r>
      <w:r>
        <w:rPr>
          <w:rFonts w:ascii="Calibri" w:hAnsi="Calibri" w:eastAsia="Calibri" w:cs="Calibri"/>
          <w:color w:val="000000"/>
          <w:sz w:val="22"/>
          <w:szCs w:val="22"/>
        </w:rPr>
        <w:t xml:space="preserve"> (Giant Apple Snail) will depredate eggs of frog and toad species of the Southeastern US.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470-475.</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RH, Hayes KA, Strong EE &amp; Thiengo SC (2017) Non-native apple snails: systematics, distribution, invasion history and reasons for introduction. </w:t>
      </w:r>
      <w:r>
        <w:rPr>
          <w:rFonts w:ascii="Calibri" w:hAnsi="Calibri" w:eastAsia="Calibri" w:cs="Calibri"/>
          <w:i/>
          <w:iCs/>
          <w:color w:val="000000"/>
          <w:sz w:val="22"/>
          <w:szCs w:val="22"/>
        </w:rPr>
        <w:t xml:space="preserve">Biology and management of invasive apple snails.</w:t>
      </w:r>
      <w:r>
        <w:rPr>
          <w:rFonts w:ascii="Calibri" w:hAnsi="Calibri" w:eastAsia="Calibri" w:cs="Calibri"/>
          <w:color w:val="000000"/>
          <w:sz w:val="22"/>
          <w:szCs w:val="22"/>
        </w:rPr>
        <w:t xml:space="preserve"> Philippine Rice Research Institute (PhilRice), Maligaya, Science City of Muñoz, Nueva Ecija, 3119, 3-32.</w:t>
      </w:r>
    </w:p>
    <w:p>
      <w:pPr>
        <w:widowControl w:val="on"/>
        <w:pBdr/>
        <w:spacing w:before="220" w:after="220" w:line="240" w:lineRule="auto"/>
        <w:ind w:left="0" w:right="0"/>
        <w:jc w:val="left"/>
      </w:pPr>
      <w:r>
        <w:rPr>
          <w:rFonts w:ascii="Calibri" w:hAnsi="Calibri" w:eastAsia="Calibri" w:cs="Calibri"/>
          <w:color w:val="000000"/>
          <w:sz w:val="22"/>
          <w:szCs w:val="22"/>
        </w:rPr>
        <w:t xml:space="preserve">Cowie R &amp; Thiengo S (2003) The apple snails of the Americas (Mollusca: Gastropoda: Ampullariidae: </w:t>
      </w:r>
      <w:r>
        <w:rPr>
          <w:rFonts w:ascii="Calibri" w:hAnsi="Calibri" w:eastAsia="Calibri" w:cs="Calibri"/>
          <w:i/>
          <w:iCs/>
          <w:color w:val="000000"/>
          <w:sz w:val="22"/>
          <w:szCs w:val="22"/>
        </w:rPr>
        <w:t xml:space="preserve">Asolene, Felipponea, Marisa, Pomacea, Pomella</w:t>
      </w:r>
      <w:r>
        <w:rPr>
          <w:rFonts w:ascii="Calibri" w:hAnsi="Calibri" w:eastAsia="Calibri" w:cs="Calibri"/>
          <w:color w:val="000000"/>
          <w:sz w:val="22"/>
          <w:szCs w:val="22"/>
        </w:rPr>
        <w:t xml:space="preserve">): a nomenclatural and type catalog.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41–100.</w:t>
      </w:r>
    </w:p>
    <w:p>
      <w:pPr>
        <w:widowControl w:val="on"/>
        <w:pBdr/>
        <w:spacing w:before="220" w:after="220" w:line="240" w:lineRule="auto"/>
        <w:ind w:left="0" w:right="0"/>
        <w:jc w:val="left"/>
      </w:pPr>
      <w:r>
        <w:rPr>
          <w:rFonts w:ascii="Calibri" w:hAnsi="Calibri" w:eastAsia="Calibri" w:cs="Calibri"/>
          <w:color w:val="000000"/>
          <w:sz w:val="22"/>
          <w:szCs w:val="22"/>
        </w:rPr>
        <w:t xml:space="preserve">Djeddour D, Pratt C, Makale F, Rwomushana I &amp; Day R (2021)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 evidence note on invasiveness and potential economic impacts for East Africa. </w:t>
      </w:r>
      <w:r>
        <w:rPr>
          <w:rFonts w:ascii="Calibri" w:hAnsi="Calibri" w:eastAsia="Calibri" w:cs="Calibri"/>
          <w:i/>
          <w:iCs/>
          <w:color w:val="000000"/>
          <w:sz w:val="22"/>
          <w:szCs w:val="22"/>
        </w:rPr>
        <w:t xml:space="preserve">CABI Working Paper</w:t>
      </w:r>
      <w:r>
        <w:rPr>
          <w:rFonts w:ascii="Calibri" w:hAnsi="Calibri" w:eastAsia="Calibri" w:cs="Calibri"/>
          <w:color w:val="000000"/>
          <w:sz w:val="22"/>
          <w:szCs w:val="22"/>
        </w:rPr>
        <w:t xml:space="preserve"> 21, 77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 Scientific Opinion on the evaluation of the pest risk analysis on </w:t>
      </w:r>
      <w:r>
        <w:rPr>
          <w:rFonts w:ascii="Calibri" w:hAnsi="Calibri" w:eastAsia="Calibri" w:cs="Calibri"/>
          <w:i/>
          <w:iCs/>
          <w:color w:val="000000"/>
          <w:sz w:val="22"/>
          <w:szCs w:val="22"/>
        </w:rPr>
        <w:t xml:space="preserve">Pomacea insularum</w:t>
      </w:r>
      <w:r>
        <w:rPr>
          <w:rFonts w:ascii="Calibri" w:hAnsi="Calibri" w:eastAsia="Calibri" w:cs="Calibri"/>
          <w:color w:val="000000"/>
          <w:sz w:val="22"/>
          <w:szCs w:val="22"/>
        </w:rPr>
        <w:t xml:space="preserve">, the island apple snail, prepared by the Spanish Ministry of Environment and Rural and Marine Affairs.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2552, 57 pp. </w:t>
      </w:r>
      <w:hyperlink r:id="rId7688663724f74a4f0" w:history="1">
        <w:r>
          <w:rPr>
            <w:rFonts w:ascii="Calibri" w:hAnsi="Calibri" w:eastAsia="Calibri" w:cs="Calibri"/>
            <w:color w:val="0000CC"/>
            <w:sz w:val="22"/>
            <w:szCs w:val="22"/>
            <w:u w:val="single"/>
          </w:rPr>
          <w:t xml:space="preserve">https://doi/org/10.2903/j.efsa.2012.2552</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Delbianco A &amp; Vos S (2020)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2020: EN-1877. 37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Report of a Pest Risk Analysis for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species in the ‘</w:t>
      </w:r>
      <w:r>
        <w:rPr>
          <w:rFonts w:ascii="Calibri" w:hAnsi="Calibri" w:eastAsia="Calibri" w:cs="Calibri"/>
          <w:i/>
          <w:iCs/>
          <w:color w:val="000000"/>
          <w:sz w:val="22"/>
          <w:szCs w:val="22"/>
        </w:rPr>
        <w:t xml:space="preserve">canaliculata</w:t>
      </w:r>
      <w:r>
        <w:rPr>
          <w:rFonts w:ascii="Calibri" w:hAnsi="Calibri" w:eastAsia="Calibri" w:cs="Calibri"/>
          <w:color w:val="000000"/>
          <w:sz w:val="22"/>
          <w:szCs w:val="22"/>
        </w:rPr>
        <w:t xml:space="preserve"> complex’.: </w:t>
      </w:r>
      <w:hyperlink r:id="rId5582663724f74a5e0" w:history="1">
        <w:r>
          <w:rPr>
            <w:rFonts w:ascii="Calibri" w:hAnsi="Calibri" w:eastAsia="Calibri" w:cs="Calibri"/>
            <w:color w:val="0000CC"/>
            <w:sz w:val="22"/>
            <w:szCs w:val="22"/>
            <w:u w:val="single"/>
          </w:rPr>
          <w:t xml:space="preserve">https://pra.eppo.int/pra/cfba256e-2652-4c75-b4ff-53e7311c9e4d</w:t>
        </w:r>
      </w:hyperlink>
      <w:r>
        <w:rPr>
          <w:rFonts w:ascii="Calibri" w:hAnsi="Calibri" w:eastAsia="Calibri" w:cs="Calibri"/>
          <w:color w:val="000000"/>
          <w:sz w:val="22"/>
          <w:szCs w:val="22"/>
        </w:rPr>
        <w:t xml:space="preserve"> (last accessed 2022-02).</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&amp; Martín PR (2002)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Life-history traits and their plasticity.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83-89.</w:t>
      </w:r>
    </w:p>
    <w:p>
      <w:pPr>
        <w:widowControl w:val="on"/>
        <w:pBdr/>
        <w:spacing w:before="220" w:after="220" w:line="240" w:lineRule="auto"/>
        <w:ind w:left="0" w:right="0"/>
        <w:jc w:val="left"/>
      </w:pPr>
      <w:r>
        <w:rPr>
          <w:rFonts w:ascii="Calibri" w:hAnsi="Calibri" w:eastAsia="Calibri" w:cs="Calibri"/>
          <w:color w:val="000000"/>
          <w:sz w:val="22"/>
          <w:szCs w:val="22"/>
        </w:rPr>
        <w:t xml:space="preserve">Estebenet AL, Martín PR &amp; Silvana B (2006) Conchological variation in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and other South American Ampullariidae (Caenogastropoda, Architaenioglossa). </w:t>
      </w:r>
      <w:r>
        <w:rPr>
          <w:rFonts w:ascii="Calibri" w:hAnsi="Calibri" w:eastAsia="Calibri" w:cs="Calibri"/>
          <w:i/>
          <w:iCs/>
          <w:color w:val="000000"/>
          <w:sz w:val="22"/>
          <w:szCs w:val="22"/>
        </w:rPr>
        <w:t xml:space="preserve">Biocell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 329-335.</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Martín PR, Carlsson N &amp; Mariani L (2017a) A temperature-dependent physiologically based model for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Biometeorology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(11), 1899-1911.</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Schrader G, Carlsson N, van Donk E, van Leeuwen CH, Martín PR &amp; Vos S (2017b) Environmental risk assessment for invasive alien species: A case study of apple snails affecting ecosystem services in Europe. </w:t>
      </w:r>
      <w:r>
        <w:rPr>
          <w:rFonts w:ascii="Calibri" w:hAnsi="Calibri" w:eastAsia="Calibri" w:cs="Calibri"/>
          <w:i/>
          <w:iCs/>
          <w:color w:val="000000"/>
          <w:sz w:val="22"/>
          <w:szCs w:val="22"/>
        </w:rPr>
        <w:t xml:space="preserve">Environmental Impact Assessment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Glasheen PM, Burks RL, Campos SR &amp; Hayes KA (2020) First evidence of introgressive hybridization of apple snails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in their native range.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96-103.</w:t>
      </w:r>
    </w:p>
    <w:p>
      <w:pPr>
        <w:widowControl w:val="on"/>
        <w:pBdr/>
        <w:spacing w:before="220" w:after="220" w:line="240" w:lineRule="auto"/>
        <w:ind w:left="0" w:right="0"/>
        <w:jc w:val="left"/>
      </w:pPr>
      <w:r>
        <w:rPr>
          <w:rFonts w:ascii="Calibri" w:hAnsi="Calibri" w:eastAsia="Calibri" w:cs="Calibri"/>
          <w:color w:val="000000"/>
          <w:sz w:val="22"/>
          <w:szCs w:val="22"/>
        </w:rPr>
        <w:t xml:space="preserve">Guo J, Zhang C, Zhang J, &amp; Zhao B (2019) Sex differences in the morphological defenses of an invasive snail: dimorphism and predator-induced plasticity. </w:t>
      </w:r>
      <w:r>
        <w:rPr>
          <w:rFonts w:ascii="Calibri" w:hAnsi="Calibri" w:eastAsia="Calibri" w:cs="Calibri"/>
          <w:i/>
          <w:iCs/>
          <w:color w:val="000000"/>
          <w:sz w:val="22"/>
          <w:szCs w:val="22"/>
        </w:rPr>
        <w:t xml:space="preserve">Freshwater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Burks RL, Castro-Vazquez A, Darby PC, Heras H, Martín PR &amp; Cowie RH (2015) Insights from an integrated view of the biology of apple snails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 245-302.</w:t>
      </w:r>
    </w:p>
    <w:p>
      <w:pPr>
        <w:widowControl w:val="on"/>
        <w:pBdr/>
        <w:spacing w:before="220" w:after="220" w:line="240" w:lineRule="auto"/>
        <w:ind w:left="0" w:right="0"/>
        <w:jc w:val="left"/>
      </w:pPr>
      <w:r>
        <w:rPr>
          <w:rFonts w:ascii="Calibri" w:hAnsi="Calibri" w:eastAsia="Calibri" w:cs="Calibri"/>
          <w:color w:val="000000"/>
          <w:sz w:val="22"/>
          <w:szCs w:val="22"/>
        </w:rPr>
        <w:t xml:space="preserve">Hayes KA, Cowie RH, Thiengo SC &amp; Strong EE (2012) Comparing apples with apples: clarifying the identities of two highly invasive Neotropical Ampullariidae (Caenogastropoda).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(4), 723-753.</w:t>
      </w:r>
    </w:p>
    <w:p>
      <w:pPr>
        <w:widowControl w:val="on"/>
        <w:pBdr/>
        <w:spacing w:before="220" w:after="220" w:line="240" w:lineRule="auto"/>
        <w:ind w:left="0" w:right="0"/>
        <w:jc w:val="left"/>
      </w:pPr>
      <w:r>
        <w:rPr>
          <w:rFonts w:ascii="Calibri" w:hAnsi="Calibri" w:eastAsia="Calibri" w:cs="Calibri"/>
          <w:color w:val="000000"/>
          <w:sz w:val="22"/>
          <w:szCs w:val="22"/>
        </w:rPr>
        <w:t xml:space="preserve">Heras H, Dreon MS, Ituarte S, Pasquevich MY &amp; Cadierno MP (2017) Apple snail perivitellins, multifunctional egg proteins.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99-117.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(2017) Ecology and management of apple snails in rice. In: Chauhan BS, Jabran K, Mahajan G (eds.) </w:t>
      </w:r>
      <w:r>
        <w:rPr>
          <w:rFonts w:ascii="Calibri" w:hAnsi="Calibri" w:eastAsia="Calibri" w:cs="Calibri"/>
          <w:i/>
          <w:iCs/>
          <w:color w:val="000000"/>
          <w:sz w:val="22"/>
          <w:szCs w:val="22"/>
        </w:rPr>
        <w:t xml:space="preserve">Rice production worldwide</w:t>
      </w:r>
      <w:r>
        <w:rPr>
          <w:rFonts w:ascii="Calibri" w:hAnsi="Calibri" w:eastAsia="Calibri" w:cs="Calibri"/>
          <w:color w:val="000000"/>
          <w:sz w:val="22"/>
          <w:szCs w:val="22"/>
        </w:rPr>
        <w:t xml:space="preserve">. Springer, Switzerland, pp 393-418.</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(2018) The ecophysiology of apple snails in rice: implications for crop management and policy.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(3), 245-267.</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Felix MI, Portalanza DE, Sánchez L, Rios WMM, Farah SE &amp; Espin EB (2014) Responses by farmers to the apple snail invasion of Ecuador's rice fields and attitudes toward predatory snail kites.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135-143.</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Stuart AM &amp; Kudavidanage EP (2014) Impact of invasive apple snails on the functioning and services of natural and managed wetlands.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90-100.</w:t>
      </w:r>
    </w:p>
    <w:p>
      <w:pPr>
        <w:widowControl w:val="on"/>
        <w:pBdr/>
        <w:spacing w:before="220" w:after="220" w:line="240" w:lineRule="auto"/>
        <w:ind w:left="0" w:right="0"/>
        <w:jc w:val="left"/>
      </w:pPr>
      <w:r>
        <w:rPr>
          <w:rFonts w:ascii="Calibri" w:hAnsi="Calibri" w:eastAsia="Calibri" w:cs="Calibri"/>
          <w:color w:val="000000"/>
          <w:sz w:val="22"/>
          <w:szCs w:val="22"/>
        </w:rPr>
        <w:t xml:space="preserve">Horgan FG, Zhu Q, Portalanza DE &amp; Felix MI (2021) Costs to Ecuador's rice sector during the first decade of an apple snail invasion and policy recommendations for regions at risk.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105746.</w:t>
      </w:r>
    </w:p>
    <w:p>
      <w:pPr>
        <w:widowControl w:val="on"/>
        <w:pBdr/>
        <w:spacing w:before="220" w:after="220" w:line="240" w:lineRule="auto"/>
        <w:ind w:left="0" w:right="0"/>
        <w:jc w:val="left"/>
      </w:pPr>
      <w:r>
        <w:rPr>
          <w:rFonts w:ascii="Calibri" w:hAnsi="Calibri" w:eastAsia="Calibri" w:cs="Calibri"/>
          <w:color w:val="000000"/>
          <w:sz w:val="22"/>
          <w:szCs w:val="22"/>
        </w:rPr>
        <w:t xml:space="preserve">Ip KKL &amp; Qiu J (2017) Invasive apple snails: ecology and management in Hong Kong.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145-165.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Kwong KL, Wong PK, Lau SS &amp; Qiu JW (2008) Determinants of the distribution of apple snails in Hong Kong two decades after their initial invasion.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(1–2), 293–302.</w:t>
      </w:r>
    </w:p>
    <w:p>
      <w:pPr>
        <w:widowControl w:val="on"/>
        <w:pBdr/>
        <w:spacing w:before="220" w:after="220" w:line="240" w:lineRule="auto"/>
        <w:ind w:left="0" w:right="0"/>
        <w:jc w:val="left"/>
      </w:pPr>
      <w:r>
        <w:rPr>
          <w:rFonts w:ascii="Calibri" w:hAnsi="Calibri" w:eastAsia="Calibri" w:cs="Calibri"/>
          <w:color w:val="000000"/>
          <w:sz w:val="22"/>
          <w:szCs w:val="22"/>
        </w:rPr>
        <w:t xml:space="preserve">Letelier S, Rebolledo A, Báez P, Fabres A, Soto-Acuña S &amp; Jackson D (2016) The highly invasive freshwater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in Northern Chile: morphological and molecular confirmation. </w:t>
      </w:r>
      <w:r>
        <w:rPr>
          <w:rFonts w:ascii="Calibri" w:hAnsi="Calibri" w:eastAsia="Calibri" w:cs="Calibri"/>
          <w:i/>
          <w:iCs/>
          <w:color w:val="000000"/>
          <w:sz w:val="22"/>
          <w:szCs w:val="22"/>
        </w:rPr>
        <w:t xml:space="preserve">Journal of 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Lv S, Zhang YI, Steinmann P, Yang GJ, Yang KUN, Zhou XN &amp; Utzinger J (2011) The emergence of angiostrongyliasis in the People’s Republic of China: the interplay between invasive snails, climate change and transmission dynamics.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(4), 717-734.</w:t>
      </w:r>
    </w:p>
    <w:p>
      <w:pPr>
        <w:widowControl w:val="on"/>
        <w:pBdr/>
        <w:spacing w:before="220" w:after="220" w:line="240" w:lineRule="auto"/>
        <w:ind w:left="0" w:right="0"/>
        <w:jc w:val="left"/>
      </w:pPr>
      <w:r>
        <w:rPr>
          <w:rFonts w:ascii="Calibri" w:hAnsi="Calibri" w:eastAsia="Calibri" w:cs="Calibri"/>
          <w:color w:val="000000"/>
          <w:sz w:val="22"/>
          <w:szCs w:val="22"/>
        </w:rPr>
        <w:t xml:space="preserve">Manara E, Maldonado MA &amp; Martín PR (2019) The role of an invader in its native range: could differential grazing by apple snails structure the submersed macrophytes assemblages in Southern Pampas (Argentina)?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828</w:t>
      </w:r>
      <w:r>
        <w:rPr>
          <w:rFonts w:ascii="Calibri" w:hAnsi="Calibri" w:eastAsia="Calibri" w:cs="Calibri"/>
          <w:color w:val="000000"/>
          <w:sz w:val="22"/>
          <w:szCs w:val="22"/>
        </w:rPr>
        <w:t xml:space="preserve">(1),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Burela S, Seuffert ME, Tamburi NE &amp; Saveanu L (2019) Invasive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snails: actual and potential environmental impacts and their underlying mechanisms.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 PR, Seuffert ME, Tamburi NE, Burela S &amp; Saveanu L (2017) Behaviour and ecology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from Southern Pampas (Argentina).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241-256.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WE &amp; Hay ME (2011) Feeding and growth of native, invasive and non-invasive alien apple snails (Ampullariidae) in the United States: invasives eat more and grow more.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945-955.</w:t>
      </w:r>
    </w:p>
    <w:p>
      <w:pPr>
        <w:widowControl w:val="on"/>
        <w:pBdr/>
        <w:spacing w:before="220" w:after="220" w:line="240" w:lineRule="auto"/>
        <w:ind w:left="0" w:right="0"/>
        <w:jc w:val="left"/>
      </w:pPr>
      <w:r>
        <w:rPr>
          <w:rFonts w:ascii="Calibri" w:hAnsi="Calibri" w:eastAsia="Calibri" w:cs="Calibri"/>
          <w:color w:val="000000"/>
          <w:sz w:val="22"/>
          <w:szCs w:val="22"/>
        </w:rPr>
        <w:t xml:space="preserve">Nghiem LT, Soliman T, Yeo DC, Tan HT, Evans TA, Mumford JD &amp; Carrasco LR (2013) Economic and environmental impacts of harmful non-indigenous species in Southeast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e71255.</w:t>
      </w:r>
    </w:p>
    <w:p>
      <w:pPr>
        <w:widowControl w:val="on"/>
        <w:pBdr/>
        <w:spacing w:before="220" w:after="220" w:line="240" w:lineRule="auto"/>
        <w:ind w:left="0" w:right="0"/>
        <w:jc w:val="left"/>
      </w:pPr>
      <w:r>
        <w:rPr>
          <w:rFonts w:ascii="Calibri" w:hAnsi="Calibri" w:eastAsia="Calibri" w:cs="Calibri"/>
          <w:color w:val="000000"/>
          <w:sz w:val="22"/>
          <w:szCs w:val="22"/>
        </w:rPr>
        <w:t xml:space="preserve">Pasquevich MY &amp; Heras H (2020) Apple snail egg perivitellin coloration, as a taxonomic character for invasive </w:t>
      </w:r>
      <w:r>
        <w:rPr>
          <w:rFonts w:ascii="Calibri" w:hAnsi="Calibri" w:eastAsia="Calibri" w:cs="Calibri"/>
          <w:i/>
          <w:iCs/>
          <w:color w:val="000000"/>
          <w:sz w:val="22"/>
          <w:szCs w:val="22"/>
        </w:rPr>
        <w:t xml:space="preserve">Pomacea maculata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canaliculata</w:t>
      </w:r>
      <w:r>
        <w:rPr>
          <w:rFonts w:ascii="Calibri" w:hAnsi="Calibri" w:eastAsia="Calibri" w:cs="Calibri"/>
          <w:color w:val="000000"/>
          <w:sz w:val="22"/>
          <w:szCs w:val="22"/>
        </w:rPr>
        <w:t xml:space="preserve">, determined by a simple method.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(7), 2299-2307.</w:t>
      </w:r>
    </w:p>
    <w:p>
      <w:pPr>
        <w:widowControl w:val="on"/>
        <w:pBdr/>
        <w:spacing w:before="220" w:after="220" w:line="240" w:lineRule="auto"/>
        <w:ind w:left="0" w:right="0"/>
        <w:jc w:val="left"/>
      </w:pPr>
      <w:r>
        <w:rPr>
          <w:rFonts w:ascii="Calibri" w:hAnsi="Calibri" w:eastAsia="Calibri" w:cs="Calibri"/>
          <w:color w:val="000000"/>
          <w:sz w:val="22"/>
          <w:szCs w:val="22"/>
        </w:rPr>
        <w:t xml:space="preserve">Pizani NV, Estebenet AL &amp; Martín PR (2005) Effects of submersion and aerial exposure on clutches and hatchlings of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American Malacological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(1-2), 55-63.</w:t>
      </w:r>
    </w:p>
    <w:p>
      <w:pPr>
        <w:widowControl w:val="on"/>
        <w:pBdr/>
        <w:spacing w:before="220" w:after="220" w:line="240" w:lineRule="auto"/>
        <w:ind w:left="0" w:right="0"/>
        <w:jc w:val="left"/>
      </w:pPr>
      <w:r>
        <w:rPr>
          <w:rFonts w:ascii="Calibri" w:hAnsi="Calibri" w:eastAsia="Calibri" w:cs="Calibri"/>
          <w:color w:val="000000"/>
          <w:sz w:val="22"/>
          <w:szCs w:val="22"/>
        </w:rPr>
        <w:t xml:space="preserve">Roll U, Dayan T, Simberloff D &amp; Mienis HK (2009) Non-indigenous land and freshwater gastropods in Israel.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1963-1972.</w:t>
      </w:r>
    </w:p>
    <w:p>
      <w:pPr>
        <w:widowControl w:val="on"/>
        <w:pBdr/>
        <w:spacing w:before="220" w:after="220" w:line="240" w:lineRule="auto"/>
        <w:ind w:left="0" w:right="0"/>
        <w:jc w:val="left"/>
      </w:pPr>
      <w:r>
        <w:rPr>
          <w:rFonts w:ascii="Calibri" w:hAnsi="Calibri" w:eastAsia="Calibri" w:cs="Calibri"/>
          <w:color w:val="000000"/>
          <w:sz w:val="22"/>
          <w:szCs w:val="22"/>
        </w:rPr>
        <w:t xml:space="preserve">Savaya-Alkalay A, Ovadia O, Barki A, Sagi A (2018) Size-selective predation by all-male prawns: implications for sustainable biocontrol of snail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137–49.</w:t>
      </w:r>
    </w:p>
    <w:p>
      <w:pPr>
        <w:widowControl w:val="on"/>
        <w:pBdr/>
        <w:spacing w:before="220" w:after="220" w:line="240" w:lineRule="auto"/>
        <w:ind w:left="0" w:right="0"/>
        <w:jc w:val="left"/>
      </w:pPr>
      <w:r>
        <w:rPr>
          <w:rFonts w:ascii="Calibri" w:hAnsi="Calibri" w:eastAsia="Calibri" w:cs="Calibri"/>
          <w:color w:val="000000"/>
          <w:sz w:val="22"/>
          <w:szCs w:val="22"/>
        </w:rPr>
        <w:t xml:space="preserve">Saveanu L, Manara E &amp; Martín PR (2017) Carrion consumption and its importance in a freshwater trophic generalist: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Marine and Freshwater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Sawangproh W, Round PD, Poonswad P (2012) Asian openbill stork </w:t>
      </w:r>
      <w:r>
        <w:rPr>
          <w:rFonts w:ascii="Calibri" w:hAnsi="Calibri" w:eastAsia="Calibri" w:cs="Calibri"/>
          <w:i/>
          <w:iCs/>
          <w:color w:val="000000"/>
          <w:sz w:val="22"/>
          <w:szCs w:val="22"/>
        </w:rPr>
        <w:t xml:space="preserve">Anastomus oscitans</w:t>
      </w:r>
      <w:r>
        <w:rPr>
          <w:rFonts w:ascii="Calibri" w:hAnsi="Calibri" w:eastAsia="Calibri" w:cs="Calibri"/>
          <w:color w:val="000000"/>
          <w:sz w:val="22"/>
          <w:szCs w:val="22"/>
        </w:rPr>
        <w:t xml:space="preserve"> as a predator of the invasive alien gastropod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Iberus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111–117.</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(2010) Dependence on aerial respiration and its influence on microdistribution in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1695-1708.</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(2012) A lentic dweller in lotic habitats: the behavior of the invasive South American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flowing water. </w:t>
      </w:r>
      <w:r>
        <w:rPr>
          <w:rFonts w:ascii="Calibri" w:hAnsi="Calibri" w:eastAsia="Calibri" w:cs="Calibri"/>
          <w:i/>
          <w:iCs/>
          <w:color w:val="000000"/>
          <w:sz w:val="22"/>
          <w:szCs w:val="22"/>
        </w:rPr>
        <w:t xml:space="preserve">Aquatic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129-142.</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(2013) Distribution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Pampean streams (Argentina) at different spatial scales. </w:t>
      </w:r>
      <w:r>
        <w:rPr>
          <w:rFonts w:ascii="Calibri" w:hAnsi="Calibri" w:eastAsia="Calibri" w:cs="Calibri"/>
          <w:i/>
          <w:iCs/>
          <w:color w:val="000000"/>
          <w:sz w:val="22"/>
          <w:szCs w:val="22"/>
        </w:rPr>
        <w:t xml:space="preserve">Limnologica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91-99.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(2017) Thermal limits for the establishment and growth of populations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1169.</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&amp; Martín PR (2021) Exceeding its own limits: range expansion in Argentina of the globally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848</w:t>
      </w:r>
      <w:r>
        <w:rPr>
          <w:rFonts w:ascii="Calibri" w:hAnsi="Calibri" w:eastAsia="Calibri" w:cs="Calibri"/>
          <w:color w:val="000000"/>
          <w:sz w:val="22"/>
          <w:szCs w:val="22"/>
        </w:rPr>
        <w:t xml:space="preserve">(2), 385-401.</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Burela S &amp; Martín PR (2010) Influence of water temperature on the activity of the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at its southernmost limit (Southern Pampas, Argentina). </w:t>
      </w:r>
      <w:r>
        <w:rPr>
          <w:rFonts w:ascii="Calibri" w:hAnsi="Calibri" w:eastAsia="Calibri" w:cs="Calibri"/>
          <w:i/>
          <w:iCs/>
          <w:color w:val="000000"/>
          <w:sz w:val="22"/>
          <w:szCs w:val="22"/>
        </w:rPr>
        <w:t xml:space="preserve">Journal of Thermal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77-84.</w:t>
      </w:r>
    </w:p>
    <w:p>
      <w:pPr>
        <w:widowControl w:val="on"/>
        <w:pBdr/>
        <w:spacing w:before="220" w:after="220" w:line="240" w:lineRule="auto"/>
        <w:ind w:left="0" w:right="0"/>
        <w:jc w:val="left"/>
      </w:pPr>
      <w:r>
        <w:rPr>
          <w:rFonts w:ascii="Calibri" w:hAnsi="Calibri" w:eastAsia="Calibri" w:cs="Calibri"/>
          <w:color w:val="000000"/>
          <w:sz w:val="22"/>
          <w:szCs w:val="22"/>
        </w:rPr>
        <w:t xml:space="preserve">Seuffert ME, Saveanu L &amp; Martín PR (2012) Threshold temperatures and degree-day estimates for embryonic development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(Caenogastropoda: Ampullariidae). </w:t>
      </w:r>
      <w:r>
        <w:rPr>
          <w:rFonts w:ascii="Calibri" w:hAnsi="Calibri" w:eastAsia="Calibri" w:cs="Calibri"/>
          <w:i/>
          <w:iCs/>
          <w:color w:val="000000"/>
          <w:sz w:val="22"/>
          <w:szCs w:val="22"/>
        </w:rPr>
        <w:t xml:space="preserve">Malacologia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(2006) Ampullariidae pathways.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113-120.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Tamburi NE &amp; Martín PR (2016) Effects of absolute fasting on reproduction and survival of the invasive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in its native range. </w:t>
      </w:r>
      <w:r>
        <w:rPr>
          <w:rFonts w:ascii="Calibri" w:hAnsi="Calibri" w:eastAsia="Calibri" w:cs="Calibri"/>
          <w:i/>
          <w:iCs/>
          <w:color w:val="000000"/>
          <w:sz w:val="22"/>
          <w:szCs w:val="22"/>
        </w:rPr>
        <w:t xml:space="preserve">Current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Uehara H, Murakami H &amp; Yusa Y (2021) Predation by the carrion crow </w:t>
      </w:r>
      <w:r>
        <w:rPr>
          <w:rFonts w:ascii="Calibri" w:hAnsi="Calibri" w:eastAsia="Calibri" w:cs="Calibri"/>
          <w:i/>
          <w:iCs/>
          <w:color w:val="000000"/>
          <w:sz w:val="22"/>
          <w:szCs w:val="22"/>
        </w:rPr>
        <w:t xml:space="preserve">Corvus corone</w:t>
      </w:r>
      <w:r>
        <w:rPr>
          <w:rFonts w:ascii="Calibri" w:hAnsi="Calibri" w:eastAsia="Calibri" w:cs="Calibri"/>
          <w:color w:val="000000"/>
          <w:sz w:val="22"/>
          <w:szCs w:val="22"/>
        </w:rPr>
        <w:t xml:space="preserve"> (Passeriformes: Corvidae) on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(Architaenioglossa: Ampullariidae) in different locations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Vinarski MV, Andreev NI, Andreeva SI, Kazantsev IE, Karimov AV &amp; Lazutkina EA (2015) Alien mollusk species in the aquatic ecosystems of Western Siberia: a review</w:t>
      </w:r>
      <w:r>
        <w:rPr>
          <w:rFonts w:ascii="Calibri" w:hAnsi="Calibri" w:eastAsia="Calibri" w:cs="Calibri"/>
          <w:i/>
          <w:iCs/>
          <w:color w:val="000000"/>
          <w:sz w:val="22"/>
          <w:szCs w:val="22"/>
        </w:rPr>
        <w:t xml:space="preserve">. 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Wong PK, Liang YAN, Liu NY, &amp; Qiu JW (2010) Palatability of macrophytes to the invasive freshwater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differential effects of multiple plant traits. </w:t>
      </w:r>
      <w:r>
        <w:rPr>
          <w:rFonts w:ascii="Calibri" w:hAnsi="Calibri" w:eastAsia="Calibri" w:cs="Calibri"/>
          <w:i/>
          <w:iCs/>
          <w:color w:val="000000"/>
          <w:sz w:val="22"/>
          <w:szCs w:val="22"/>
        </w:rPr>
        <w:t xml:space="preserve">Freshwater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(10), 2023-2031.</w:t>
      </w:r>
    </w:p>
    <w:p>
      <w:pPr>
        <w:widowControl w:val="on"/>
        <w:pBdr/>
        <w:spacing w:before="220" w:after="220" w:line="240" w:lineRule="auto"/>
        <w:ind w:left="0" w:right="0"/>
        <w:jc w:val="left"/>
      </w:pPr>
      <w:r>
        <w:rPr>
          <w:rFonts w:ascii="Calibri" w:hAnsi="Calibri" w:eastAsia="Calibri" w:cs="Calibri"/>
          <w:color w:val="000000"/>
          <w:sz w:val="22"/>
          <w:szCs w:val="22"/>
        </w:rPr>
        <w:t xml:space="preserve">Wu DC, Yu JZ, Chen BH, Lin CY &amp; Ko WH (2005) Inhibition of egg hatching with apple wax solvent as a novel method for controlling golden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(5), 483-486.</w:t>
      </w:r>
    </w:p>
    <w:p>
      <w:pPr>
        <w:widowControl w:val="on"/>
        <w:pBdr/>
        <w:spacing w:before="220" w:after="220" w:line="240" w:lineRule="auto"/>
        <w:ind w:left="0" w:right="0"/>
        <w:jc w:val="left"/>
      </w:pPr>
      <w:r>
        <w:rPr>
          <w:rFonts w:ascii="Calibri" w:hAnsi="Calibri" w:eastAsia="Calibri" w:cs="Calibri"/>
          <w:color w:val="000000"/>
          <w:sz w:val="22"/>
          <w:szCs w:val="22"/>
        </w:rPr>
        <w:t xml:space="preserve">Yahaya H, Nordin M, Hisham MNM, Sivapragasam A, Joshi RC, Cowie RH &amp; Sebastian LS (2017) Invasive apple snails in Malaysia. In </w:t>
      </w:r>
      <w:r>
        <w:rPr>
          <w:rFonts w:ascii="Calibri" w:hAnsi="Calibri" w:eastAsia="Calibri" w:cs="Calibri"/>
          <w:i/>
          <w:iCs/>
          <w:color w:val="000000"/>
          <w:sz w:val="22"/>
          <w:szCs w:val="22"/>
        </w:rPr>
        <w:t xml:space="preserve">Biology and management of invasive apple snails </w:t>
      </w:r>
      <w:r>
        <w:rPr>
          <w:rFonts w:ascii="Calibri" w:hAnsi="Calibri" w:eastAsia="Calibri" w:cs="Calibri"/>
          <w:color w:val="000000"/>
          <w:sz w:val="22"/>
          <w:szCs w:val="22"/>
        </w:rPr>
        <w:t xml:space="preserve">(eds. Joshi RC, Cowie RH &amp; Sebastian LS), pp. 169-195.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P, Chen Y, Lee W &amp; Chen Y (2006) Golden apple snail management and prevention in Taiwan.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169-179.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&amp; Yu XP (2019) A new species of apple snail in the genus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(Gastropoda: Caenogastropoda: Ampullariidae). </w:t>
      </w:r>
      <w:r>
        <w:rPr>
          <w:rFonts w:ascii="Calibri" w:hAnsi="Calibri" w:eastAsia="Calibri" w:cs="Calibri"/>
          <w:i/>
          <w:iCs/>
          <w:color w:val="000000"/>
          <w:sz w:val="22"/>
          <w:szCs w:val="22"/>
        </w:rPr>
        <w:t xml:space="preserve">Zoological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e13.</w:t>
      </w:r>
    </w:p>
    <w:p>
      <w:pPr>
        <w:widowControl w:val="on"/>
        <w:pBdr/>
        <w:spacing w:before="220" w:after="220" w:line="240" w:lineRule="auto"/>
        <w:ind w:left="0" w:right="0"/>
        <w:jc w:val="left"/>
      </w:pPr>
      <w:r>
        <w:rPr>
          <w:rFonts w:ascii="Calibri" w:hAnsi="Calibri" w:eastAsia="Calibri" w:cs="Calibri"/>
          <w:color w:val="000000"/>
          <w:sz w:val="22"/>
          <w:szCs w:val="22"/>
        </w:rPr>
        <w:t xml:space="preserve">Yang QQ, He C, Liu GF, Yin CL, Xu YP, Liu SW. &amp; Yu XP (2020) Introgressive hybridization between two non‐native apple snails in China: widespread hybridization and homogenization in egg morphology.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(12), 4231-4239.</w:t>
      </w:r>
    </w:p>
    <w:p>
      <w:pPr>
        <w:widowControl w:val="on"/>
        <w:pBdr/>
        <w:spacing w:before="220" w:after="220" w:line="240" w:lineRule="auto"/>
        <w:ind w:left="0" w:right="0"/>
        <w:jc w:val="left"/>
      </w:pPr>
      <w:r>
        <w:rPr>
          <w:rFonts w:ascii="Calibri" w:hAnsi="Calibri" w:eastAsia="Calibri" w:cs="Calibri"/>
          <w:color w:val="000000"/>
          <w:sz w:val="22"/>
          <w:szCs w:val="22"/>
        </w:rPr>
        <w:t xml:space="preserve">Yang Q, Liu S, He C, Cowie RH, Yu X &amp; Hayes KA (2019) Invisible apple snail invasions: importance of continued vigilance and rigorous taxonomic assessments. </w:t>
      </w:r>
      <w:r>
        <w:rPr>
          <w:rFonts w:ascii="Calibri" w:hAnsi="Calibri" w:eastAsia="Calibri" w:cs="Calibri"/>
          <w:i/>
          <w:iCs/>
          <w:color w:val="000000"/>
          <w:sz w:val="22"/>
          <w:szCs w:val="22"/>
        </w:rPr>
        <w:t xml:space="preserve">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(5), 1277-1286.</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(2001) Predation on eggs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by the fire ant </w:t>
      </w:r>
      <w:r>
        <w:rPr>
          <w:rFonts w:ascii="Calibri" w:hAnsi="Calibri" w:eastAsia="Calibri" w:cs="Calibri"/>
          <w:i/>
          <w:iCs/>
          <w:color w:val="000000"/>
          <w:sz w:val="22"/>
          <w:szCs w:val="22"/>
        </w:rPr>
        <w:t xml:space="preserve">Solenopsis geminata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Molluscan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(3), 275-279.</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(2006) Predators of the introduced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their effectiveness and utilization in biological control. In </w:t>
      </w:r>
      <w:r>
        <w:rPr>
          <w:rFonts w:ascii="Calibri" w:hAnsi="Calibri" w:eastAsia="Calibri" w:cs="Calibri"/>
          <w:i/>
          <w:iCs/>
          <w:color w:val="000000"/>
          <w:sz w:val="22"/>
          <w:szCs w:val="22"/>
        </w:rPr>
        <w:t xml:space="preserve">Global advances in ecology and management of golden apple snails</w:t>
      </w:r>
      <w:r>
        <w:rPr>
          <w:rFonts w:ascii="Calibri" w:hAnsi="Calibri" w:eastAsia="Calibri" w:cs="Calibri"/>
          <w:color w:val="000000"/>
          <w:sz w:val="22"/>
          <w:szCs w:val="22"/>
        </w:rPr>
        <w:t xml:space="preserve">, (eds. Joshi RC &amp; Sebastian LS), pp. 345-361. Philippine Rice Research Institute,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Yusa Y, Wada T &amp; Takahashi S (2006) Effects of dormant duration, body size, self-burial and water condition on the long-term survival of the apple snail,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(Gastropoda: Ampullariidae).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(4), 627-632.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Pomacea canaliculata. </w:t>
      </w:r>
      <w:hyperlink r:id="rId8473663724f74baf5" w:history="1">
        <w:r>
          <w:rPr>
            <w:rFonts w:ascii="Calibri" w:hAnsi="Calibri" w:eastAsia="Calibri" w:cs="Calibri"/>
            <w:color w:val="0000CC"/>
            <w:sz w:val="22"/>
            <w:szCs w:val="22"/>
            <w:u w:val="single"/>
          </w:rPr>
          <w:t xml:space="preserve">https://www.cabi.org/isc/datasheet/68490#CDDB33ED-EC00-452E-A471-ACEFCE479041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Pomacea</w:t>
      </w:r>
      <w:r>
        <w:rPr>
          <w:rFonts w:ascii="Calibri" w:hAnsi="Calibri" w:eastAsia="Calibri" w:cs="Calibri"/>
          <w:color w:val="000000"/>
          <w:sz w:val="22"/>
          <w:szCs w:val="22"/>
        </w:rPr>
        <w:t xml:space="preserve"> spp. </w:t>
      </w:r>
      <w:hyperlink r:id="rId1995663724f74bb49" w:history="1">
        <w:r>
          <w:rPr>
            <w:rFonts w:ascii="Calibri" w:hAnsi="Calibri" w:eastAsia="Calibri" w:cs="Calibri"/>
            <w:color w:val="0000CC"/>
            <w:sz w:val="22"/>
            <w:szCs w:val="22"/>
            <w:u w:val="single"/>
          </w:rPr>
          <w:t xml:space="preserve">https://efsa.onlinelibrary.wiley.com/doi/abs/10.2903/sp.efsa.2020.EN-1877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Dr Pablo R. Martín [Departamento de Biología, Bioquímica y Farmacia, Universidad Nacional del Sur and Instituto de Ciencias Biológicas y Biomédicas del Sur (UNS-CONICET), Argentina].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Pomacea canaliculata</w:t>
      </w:r>
      <w:r>
        <w:rPr>
          <w:rFonts w:ascii="Calibri" w:hAnsi="Calibri" w:eastAsia="Calibri" w:cs="Calibri"/>
          <w:color w:val="000000"/>
          <w:sz w:val="22"/>
          <w:szCs w:val="22"/>
        </w:rPr>
        <w:t xml:space="preserve">. EPPO datasheets on pests recommended for regulation. Available online. </w:t>
      </w:r>
      <w:hyperlink r:id="rId9213663724f74bb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2096767" name="name5139663724f74be7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19663724f74be7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96191">
    <w:multiLevelType w:val="hybridMultilevel"/>
    <w:lvl w:ilvl="0" w:tplc="30609808">
      <w:start w:val="1"/>
      <w:numFmt w:val="decimal"/>
      <w:lvlText w:val="%1."/>
      <w:lvlJc w:val="left"/>
      <w:pPr>
        <w:ind w:left="720" w:hanging="360"/>
      </w:pPr>
    </w:lvl>
    <w:lvl w:ilvl="1" w:tplc="30609808" w:tentative="1">
      <w:start w:val="1"/>
      <w:numFmt w:val="lowerLetter"/>
      <w:lvlText w:val="%2."/>
      <w:lvlJc w:val="left"/>
      <w:pPr>
        <w:ind w:left="1440" w:hanging="360"/>
      </w:pPr>
    </w:lvl>
    <w:lvl w:ilvl="2" w:tplc="30609808" w:tentative="1">
      <w:start w:val="1"/>
      <w:numFmt w:val="lowerRoman"/>
      <w:lvlText w:val="%3."/>
      <w:lvlJc w:val="right"/>
      <w:pPr>
        <w:ind w:left="2160" w:hanging="180"/>
      </w:pPr>
    </w:lvl>
    <w:lvl w:ilvl="3" w:tplc="30609808" w:tentative="1">
      <w:start w:val="1"/>
      <w:numFmt w:val="decimal"/>
      <w:lvlText w:val="%4."/>
      <w:lvlJc w:val="left"/>
      <w:pPr>
        <w:ind w:left="2880" w:hanging="360"/>
      </w:pPr>
    </w:lvl>
    <w:lvl w:ilvl="4" w:tplc="30609808" w:tentative="1">
      <w:start w:val="1"/>
      <w:numFmt w:val="lowerLetter"/>
      <w:lvlText w:val="%5."/>
      <w:lvlJc w:val="left"/>
      <w:pPr>
        <w:ind w:left="3600" w:hanging="360"/>
      </w:pPr>
    </w:lvl>
    <w:lvl w:ilvl="5" w:tplc="30609808" w:tentative="1">
      <w:start w:val="1"/>
      <w:numFmt w:val="lowerRoman"/>
      <w:lvlText w:val="%6."/>
      <w:lvlJc w:val="right"/>
      <w:pPr>
        <w:ind w:left="4320" w:hanging="180"/>
      </w:pPr>
    </w:lvl>
    <w:lvl w:ilvl="6" w:tplc="30609808" w:tentative="1">
      <w:start w:val="1"/>
      <w:numFmt w:val="decimal"/>
      <w:lvlText w:val="%7."/>
      <w:lvlJc w:val="left"/>
      <w:pPr>
        <w:ind w:left="5040" w:hanging="360"/>
      </w:pPr>
    </w:lvl>
    <w:lvl w:ilvl="7" w:tplc="30609808" w:tentative="1">
      <w:start w:val="1"/>
      <w:numFmt w:val="lowerLetter"/>
      <w:lvlText w:val="%8."/>
      <w:lvlJc w:val="left"/>
      <w:pPr>
        <w:ind w:left="5760" w:hanging="360"/>
      </w:pPr>
    </w:lvl>
    <w:lvl w:ilvl="8" w:tplc="30609808" w:tentative="1">
      <w:start w:val="1"/>
      <w:numFmt w:val="lowerRoman"/>
      <w:lvlText w:val="%9."/>
      <w:lvlJc w:val="right"/>
      <w:pPr>
        <w:ind w:left="6480" w:hanging="180"/>
      </w:pPr>
    </w:lvl>
  </w:abstractNum>
  <w:abstractNum w:abstractNumId="31796190">
    <w:multiLevelType w:val="hybridMultilevel"/>
    <w:lvl w:ilvl="0" w:tplc="68148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96190">
    <w:abstractNumId w:val="31796190"/>
  </w:num>
  <w:num w:numId="31796191">
    <w:abstractNumId w:val="317961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8764306" Type="http://schemas.microsoft.com/office/2011/relationships/commentsExtended" Target="commentsExtended.xml"/><Relationship Id="rId160758491" Type="http://schemas.microsoft.com/office/2011/relationships/people" Target="people.xml"/><Relationship Id="rId8756663724f7465cd" Type="http://schemas.openxmlformats.org/officeDocument/2006/relationships/hyperlink" Target="https://gd.eppo.int/taxon/POMACA/" TargetMode="External"/><Relationship Id="rId6851663724f746636" Type="http://schemas.openxmlformats.org/officeDocument/2006/relationships/hyperlink" Target="https://gd.eppo.int/taxon/POMACA/categorization" TargetMode="External"/><Relationship Id="rId3136663724f746f6e" Type="http://schemas.openxmlformats.org/officeDocument/2006/relationships/hyperlink" Target="https://gd.eppo.int/taxon/POMACA/photos" TargetMode="External"/><Relationship Id="rId7688663724f74a4f0" Type="http://schemas.openxmlformats.org/officeDocument/2006/relationships/hyperlink" Target="https://doi/org/10.2903/j.efsa.2012.2552" TargetMode="External"/><Relationship Id="rId5582663724f74a5e0" Type="http://schemas.openxmlformats.org/officeDocument/2006/relationships/hyperlink" Target="https://pra.eppo.int/pra/cfba256e-2652-4c75-b4ff-53e7311c9e4d" TargetMode="External"/><Relationship Id="rId8473663724f74baf5" Type="http://schemas.openxmlformats.org/officeDocument/2006/relationships/hyperlink" Target="https://www.cabi.org/isc/datasheet/68490#CDDB33ED-EC00-452E-A471-ACEFCE479041" TargetMode="External"/><Relationship Id="rId1995663724f74bb49" Type="http://schemas.openxmlformats.org/officeDocument/2006/relationships/hyperlink" Target="https://efsa.onlinelibrary.wiley.com/doi/abs/10.2903/sp.efsa.2020.EN-1877" TargetMode="External"/><Relationship Id="rId9213663724f74bbfc" Type="http://schemas.openxmlformats.org/officeDocument/2006/relationships/hyperlink" Target="https://gd.eppo.int" TargetMode="External"/><Relationship Id="rId3094663724f746e35" Type="http://schemas.openxmlformats.org/officeDocument/2006/relationships/image" Target="media/imgrId3094663724f746e35.jpg"/><Relationship Id="rId7189663724f748bdb" Type="http://schemas.openxmlformats.org/officeDocument/2006/relationships/image" Target="media/imgrId7189663724f748bdb.jpg"/><Relationship Id="rId8419663724f74be7c" Type="http://schemas.openxmlformats.org/officeDocument/2006/relationships/image" Target="media/imgrId8419663724f74be7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