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canaliculata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canaliculata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(Lamarck)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channeled apple snail, golden apple snail</w:t>
            </w:r>
            <w:hyperlink r:id="rId66156a2ff9134f24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78006a2ff9134f2c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314967" name="name82246a2ff9134fbe6" descr="14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39.jpg"/>
                          <pic:cNvPicPr/>
                        </pic:nvPicPr>
                        <pic:blipFill>
                          <a:blip r:embed="rId13446a2ff9134fbe5" cstate="print"/>
                          <a:stretch>
                            <a:fillRect/>
                          </a:stretch>
                        </pic:blipFill>
                        <pic:spPr>
                          <a:xfrm>
                            <a:off x="0" y="0"/>
                            <a:ext cx="2160000" cy="1281600"/>
                          </a:xfrm>
                          <a:prstGeom prst="rect">
                            <a:avLst/>
                          </a:prstGeom>
                          <a:ln w="0">
                            <a:noFill/>
                          </a:ln>
                        </pic:spPr>
                      </pic:pic>
                    </a:graphicData>
                  </a:graphic>
                </wp:inline>
              </w:drawing>
            </w:r>
            <w:hyperlink r:id="rId15596a2ff9134fd4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been confused with many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another South American species that become a transcontinental invader) and has also suffered from numerous misspellings and invalid nomenclatural changes, especially in invaded areas of South-East Asia but also in its native range.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analyzed in detail the extensive list of synonyms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clarified the taxonomic status of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describing their similarities and differences, and provided a list of articles in which they have been confused or correctly identified. Recent studies indicate that the taxonomic situation in South-East Asia is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In addition, there is growing evidence of extensive hybridization (up to 53% of the snails analyzed)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in South-East Asia and in the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usually regarded as macrophytophagous</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has no host plants in a strict sense. It uses aquatic macrophytes as food and, in the case of emergent or riparian plants, as substrate for egg laying, but it can also eat plant detritus, biofilms, and animal material such as carrion, amphibian eggs and invertebrates.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can also use any natural or artificial substrate as oviposition sites, as long as it is strong enough to support the weight of a mature female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trophic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extensively studied through palatability trials (no-choice feeding trials) with the result that it feeds on almost any organic material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Hence the list of plants that can be attacked is very long and may include species that have been covered by research studies, but which would not normally be consumed by the snails (e.g. riparian or terrestrial species). On the other hand, multi-offer feeding trials indicate that these snails have strong preferences for some aquatic plants over others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once preferred plants are depleted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these snails would turn to less preferred ones and can also reduce their biomass and coverage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 levels of damage to some aquatic crops, especially rice, is probably more related to a suite of factors favouring high densities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the fields (shallow water, access to air, egg laying substrates, plant detritus, algae, biofilms, etc.) than to any preference or specificity of the snail for these crops.</w:t>
      </w:r>
    </w:p>
    <w:p>
      <w:pPr>
        <w:widowControl w:val="on"/>
        <w:pBdr/>
        <w:spacing w:before="220" w:after="220" w:line="240" w:lineRule="auto"/>
        <w:ind w:left="0" w:right="0"/>
        <w:jc w:val="both"/>
      </w:pPr>
      <w:r>
        <w:rPr>
          <w:rFonts w:ascii="Calibri" w:hAnsi="Calibri" w:eastAsia="Calibri" w:cs="Calibri"/>
          <w:color w:val="000000"/>
          <w:sz w:val="22"/>
          <w:szCs w:val="22"/>
        </w:rPr>
        <w:t xml:space="preserve">In no-choice trials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Morrison &amp; Hay, 2011;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following potential aquatic plants could be eaten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 Alternanthera philoxeroides, Amaranthus tricolor, Bacopa caroliniana, Bacopa monnieri, Chara contraria, Colocasia esculenta, Commelina diffusa, Egeria densa, Hydrocotyle sibthorpioides, Ipomoea aquatica, Lemna minor, Ludwigia adscendens, Ludwigia peploides, Myriophyllum aquaticum, Myriophyllum quitense, Nasturtium officinale, Nelumbo nucifera, Nymphaea alba, Nymphaea odorata, Persicaria barbata, Phragmites australis, Pistia stratiotes, Pontederia crassipes, Ranunculus sceleratus, Sagittaria latifolia, Stuckenia striata, Utricularia sp., Vallisneria natans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Zannichellia palustris.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monnieri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contraria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Egeria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sibthorpioides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Lemna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peploides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quitense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Stuckenia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Zannichellia palustris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comprises most of Río de la Plata basin in Southern South America, including parts of Argentina, Brazil, Uruguay, Paraguay and probably also Bolivia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last decades,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to new contiguous and disjunct areas in Argentina (Seuffert &amp; Martín, 2021) and has been introduced to other countries in South America, such as Chile (Letelier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Ecuador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Brazil (hybridizing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also been introduced to many countries in different continents, mainly as potential aquaculture organism, and also as an aquarium pet.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updated the extensive list of countries where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together with the dates of introduction or first record. It established extensively in rice fields and other managed waterbodies and also in natural wetlands in South-Eastern Asia, where it was first introduced in Taiwan in 1979, and rapidly spread to the Philippines (1980), Japan, China, South Korea, Indonesia (1981), Thailand (1982), Malaysia (1987) and Vietnam (1988). In the 1990s it reached Laos, Papua-New Guinea, Singapore and since 2000 it has also reached Cambodia and Myanmar. Genetic molecular analyses indicate that Argentinian populations were the source of these South-East Asian populations in most cases but also that there have been multiple introductions in the same area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2021). There are also reports of the pest in other regions of Asia, such as Israel (Roll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Siberia (Vinarski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North America and the Caribbean, it has been reported in the Dominican Republic (1991), the USA (1997), Mexico (2009) and Trinidad (2014). It has been reported in oceanic islands such as Guam and Hawaii (1989). In Europe one specimen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in Spain together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(Andree &amp; López, 2013), but this isolated record remains unconfirmed. In Africa its presence has been confirmed only recently in rice fields from Kenya (Buddie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26033598" name="name65366a2ff91351739" descr="POMA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CA_distribution_map.jpg"/>
                    <pic:cNvPicPr/>
                  </pic:nvPicPr>
                  <pic:blipFill>
                    <a:blip r:embed="rId95006a2ff913517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Russian Federation (Western Siberia)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(Anhui, Chongqing, Fujian, Guangdong, Guangxi, Guizhou, Hainan, Hunan, Jiangsu, Jiangxi, Shandong, Sichuan, Yunnan, Zhejiang), Indonesia (Irian Jaya, Java, Kalimantan, Sulawesi, Sumatra), Israel, Japan (Honshu, Kyushu, Ryukyu Archipelago), Korea, Republic of, Lao People's Democratic Republic, Malaysia (Sabah, West), Myanmar,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Goias, Mato Grosso, Mato Grosso do Sul, Minas Gerais, Para, Pernambuco, Rio de Janeiro, Rio Grande do Sul, Rondonia, Santa Catarina, Sao Paulo), Chile,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is a large freshwater snail, which is oviparous and dioecious, and with females being usually larger than males.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inhabits a great variety of habitats (lakes, ponds, rivers, streams, reservoirs, paddy fields, channels, etc.; Seuffert &amp; Martín, 2013, 2021; Kwong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usually regarded as a lotic dweller but it can be very abundant in slow flowing streams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Seuffert &amp; Martín, 2012). It can be found underwater on muddy sediment, bedrock or on aquatic plants that are submerged, floating or emergent.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 dual respiratory system composed of a well-developed aquatic gill or ctenidium and an aerial lung. It is able to perform aquatic and aerial respiration simultaneously and hence to dwell in hypoxic waters; aerial respiration is obligatory under most circumstances and the dependence on it increases with water temperature and snail size, being higher for females (Seuffert &amp; Martín, 2010). The aerial lung is probably crucial for the notable capacity to survive out of water when the snails became stranded by water recession or self-bury during dry periods. Self-buried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survived up to 11 months and 29 months in dry and moist soil, respectively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air in the lung increases the buoyancy of these snails and so their movements are greatly impeded when water depth is below their shell height.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reproductive habits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congeners are quite unusual for a freshwater snail: although they perform all their activities underwater (crawling, feeding, respiration, copulation, etc.), egg laying occurs on emergent substrates onto which the female climbs and deposits a conspicuous pink egg mass formed by hundreds of eggs with a calcareous shell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All the embryonic development takes place aerially inside the cleidoic egg until the eggshell cracks (usually after two weeks at 25°C) and the hatchlings fall into the water. The egg masses can endure submersion at the expense of an extended development period and lower embryo viability, but they cannot develop successfully if permanently submersed (Pizani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Due to their bright pink colour, size and location well above water level, the egg masses are conspicuous but seldom attacked by predators, probably due to the antidigestive, neurotoxic and antinutritive properties on the perivitelline fluid that surrounds the embryo inside the egg shell and serves as nutritional reserve and protective envelope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direct and quite simple but the life history traits are very plastic and in some cases sexually dimorphic (Estebenet &amp; Martín, 2002;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Once the aerial eggs hatch, the hatchlings drop into the water and immediately try to reach the water surface and begin to breathe air and to eat; once they have consumed all the reserves of perivitelline fluid in their guts they can be considered as juveniles which develop quickly into males and females if food and temperature are adequate. At 25°C males mature at 15 weeks of age, irrespective of size and food availability, whereas females mature at sizes of ca. 32 mm, which are attained at 15 weeks of age when fed freely and at 50 weeks when food availability is reduced to 20 % of the amount consumed when fed freely. The age at which females lay their first egg mass is inversely related to water temperature and varies between 90 weeks at 20°C to 12.86 weeks at 30°C (Seuffert &amp; Martín, 2017). The life cycle is annual and semelparous (one reproductive period) at a constant temperature of 25°C but a seasonal variation in temperature (9-32°C) induces an extended iteroparous life cycle with up to four reproductive seasons (Estebenet &amp; Martín, 2002).</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has an outstanding importance in the biology and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is probably the main determinant of its distribution on a global scale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snails are active above water temperatures of 15°C and up to 38-40°C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Reproduction is possible between 20 and 30°C but sexual maturity is highly delayed in the lower limit and egg viability is reduced in the upper limit; survival and growth are good at 35°C but copulation is infrequent and females do not lay eggs (Seuffert &amp; Martín, 2017). Degree days (DD) were estimated for egg development from 88.8 to 133.8 DD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at 1440 DD for the entire life cycle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with threshold temperatures of 15.8-18.3°C and 11.7°C,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attacks on aquatic plants are quite unspecific and depend on the interaction of the feeding mechanism (combined action of the radula, a flexible ribbon with up to 35 seven-teeth rows, and a pair of stout jaws) with plant anatomy. The size structure of the apple snail population can also influence the effects on aquatic vegetation or aquatic crops, as small snails have less capacity to chew vegetal tissues but have a greater specific ingestion rate (Carlsson &amp; Brönmark,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attacks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usually concentrated in floating or submersed leaves and stems. The leaf blades show irregularly chewed margins, sometimes leaving only the main veins, but they could also appear as irregular holes; when the adaxial surface is too tough they gnaw the abaxial surface first and ingest the mesophyll, leaving clear translucent “windows” in the blade; this is common when the snails are small compared to the leaves. On the other hand, small snails can penetrate inside hollow but tough stems that adult snails cannot chew and eat them from inside (Carlsson &amp; Brönmark, 2006). Small floating plants such as duckweeds can be ingested in one bite by an adult snail but large plants such as water hyacinth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ontederia crassipes</w:t>
      </w:r>
      <w:r>
        <w:rPr>
          <w:rFonts w:ascii="Calibri" w:hAnsi="Calibri" w:eastAsia="Calibri" w:cs="Calibri"/>
          <w:color w:val="000000"/>
          <w:sz w:val="22"/>
          <w:szCs w:val="22"/>
        </w:rPr>
        <w:t xml:space="preserve">) are attacked from underwater, ingesting first the roots, then the lowest part of the spongy air-filled petioles and when, they fall to water, the leaf blades (Carlsson &amp; Lacoursière,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agricultural concern raised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is for rice, especially when directly seeded, as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damage, even to seedlings, can be avoided if soil is maintained saturated with water but with no free water above it. Even if apple snail infestation in rice fields is already high in terms of population density or biomass, symptoms appear late as round areas with no rice. Egg masses on plants or other emergent substrates in the fields or channels are an early warning of an increasing apple snail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is a large snail, reaching up to 6 cm from the apex of the shell to the farthest point of the aperture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thin and smooth, globose to subglobose, with an oval to kidney-shaped aperture and a low spire; the suture is usually deeply channeled. The shell is brown-green, showing up to 30 dark spiral bands of variable width and transverse growth lines. The operculum is corneous and flexible, with concentric growth lines around an eccentric nucleus, and tightly closes the shell aperture.</w:t>
      </w:r>
    </w:p>
    <w:p>
      <w:pPr>
        <w:widowControl w:val="on"/>
        <w:pBdr/>
        <w:spacing w:before="220" w:after="220" w:line="240" w:lineRule="auto"/>
        <w:ind w:left="0" w:right="0"/>
        <w:jc w:val="both"/>
      </w:pPr>
      <w:r>
        <w:rPr>
          <w:rFonts w:ascii="Calibri" w:hAnsi="Calibri" w:eastAsia="Calibri" w:cs="Calibri"/>
          <w:color w:val="000000"/>
          <w:sz w:val="22"/>
          <w:szCs w:val="22"/>
        </w:rPr>
        <w:t xml:space="preserve">Shell morphology, including shape, size, thickness and colouration, is the most frequently used indicator for species identification but at the same time it is one of the less reliable since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shells are similar and there is ample intraspecific variability in many of them. In particular, ontogenetic, sexual, genetic and ecophenotypic components of inter- and intrapopulation variation have been described in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food availability and presence of predators can induce changes in shell morphology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eggs are spherical, usually pink but sometimes with a reddish or orange taint, and around 3 mm in diameter; the egg masses usually contain hundreds of eggs (12-1000).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congeners like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most easily detected (e.g. allowing early detection) by the observation of their conspicuous aerial pink eggs-masses, even at low adult densities (EFSA, 2020). Egg masses can be found on almost any object emerging a few centimetres from the water surface (e.g. emergent plants, trees, poles, piers, rocks, boats, etc.), especially if they are touching the bottom of the water body or other submerged objects. However, floating objects usually cannot be reached by egg-laying females.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and only a white mark with a few unhatched eggs remain.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juveniles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detected by visual examination while wading or boating if water depth and turbidity are low. In turbid waters or among vegetation, adults can be detected underwater by touch and net scoops through submerged vegetation or bottom surface can be used to detect juveniles (Seuffert &amp; Martín, 2013). Under warm and hypoxic conditions, the need for ventilation of the aerial lung increases which increases the likelihood of seeing a snail taking air through their snorkel or siphon just below the water surface (Seuffert &amp; Martín, 2010). Snail activity decreases as temperature decreases and they become inactive when water temperature drops below 15°C, when they may bury in the sediments or hide beneath rocks. Baited traps can be used to attract apple snails, but their effectiveness depends on the availability of other food sources and on habitat type. Inspection of old strandlines could reveal the presence of empty shells and opercula, even if snails are inactive or buried at that time.</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Anatomical examination of soft parts of live or preserved adults, preferably males larger than 25 mm, by a trained malacologist is required for species confirmation. Mitochondrial genetic markers (mostly COI) are usually used to further confirm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the use of nuclear markers may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can disperse through a variety of natural mechanisms that allow displacement at different spatial scales (Smith, 2006; Seuffert &amp; Martín, 2012). Crawling and climbing are the only two modes of active snail movements, mostly within a waterbody or between contiguous ones. Snails can crawl at speeds of up to 10 cm/minute and move up to 6 m upstream and 18 m downstream in one day (Seuffert &amp; Martín, 2012). Climbing out of water to lay eggs or to avoid fouled water is a common way in which the snails may leave a tank or channel and later drop outside; they may be able to crawl outside water for a few metres and reach another mass of water or bury themselves in wet sediment. Floating and drifting are two ways in which apple snails can disperse passively within a water body or water course, probably at a scale from a few metres to hundreds of metres (if aided by wind or water currents). Floating is favoured by the air inside the lung which increases snail’s buoyancy.  Snails partially dried and well withdrawn inside the shell can also float for several hours until they rehydrate and sink. Snail dislodgement in flowing water occurs at relatively low velocities (Seuffert &amp; Martín, 2012) and thereafter they drift downstream until the current is sufficiently slow so that they can adhere to the substrate with their foot. Flooding facilitates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(Ip &amp; Qiu, 2017), probably through these passive mechanisms.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 of anthropogenic transport, either incidental or intentional, is greatly enhanced by the capacity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endure desiccation and starvation (Smith, 2006;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Tamburi &amp; Martín, 2016) and by the aerial development of eggs. The female’s capacity to store sperm and to lay thousands of viable eggs after a single copulation increases the chances of establishment of new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taken place through legal pathways and has even been supported by government agencies but unregulated and illegal transport is common (Smith, 2006; Carlsson,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across international borders and between continents.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also transported as a biological control agent against weeds in rice fields.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Apple snails are used as fishing bait as they can be easily captured and maintained for use in a fishing trip (Seuffert &amp; Martín,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probably occurs most frequently through small hatchlings and remains of egg masses. The aquatic plants trade is a likely pathway for long distance movement of both life stages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deposited at night on the hull of boats located on or near the shore (Carlsson, 2017) can be transported during navigation or transported overland to a different waterbody until the eggs hatch. Egg masses and hatchlings can also be inadvertently transported with machinery used for agricultural activities or channel construction and maintenance. Hatchlings and small juveniles can be captured accidentally when netting for small fish (e.g. to be used as live bait or for restocking) and later transported to a new waterbody (Seuffert &amp; Martín,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mainly rice, is twofold: direct productivity losses due to the damage to crops and the costs of control measures against the snail. The economic impacts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are huge, especially in tropical countries where rice is one of the main crops, such as in South-East Asia. Costs associated with apple snail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total annual cost between 806–2138 million USD was estimated for the rice sector of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total accumulated costs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Ecuador’s rice sector in ten years (2005-2015) have been recently estimated at 155 million USD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the recent discovery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Kenya, Djeddour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estimated projected annual losses in the rice sector of Kenya, Tanzania, Uganda, and Ethiopia reach between 67–116 million USD.</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impacts of apple snail invasions, especially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multiple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involve emerging human diseases like eosinophilic meningoencephalitis (mostly due to an increased transmission of the rat lung-worm;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the loss or deterioration of ecosystem services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for which economic estimations are not available yet.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have been proposed and applied in aquatic crops and only exceptionally in natural or man-managed wetlands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damage to rice through a restriction of the snail activities and of the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planting stakes that serve as egg laying substrates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facilitates this task.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Biological control with egg masses as targets has been investigated and only the fire ant </w:t>
      </w:r>
      <w:r>
        <w:rPr>
          <w:rFonts w:ascii="Calibri" w:hAnsi="Calibri" w:eastAsia="Calibri" w:cs="Calibri"/>
          <w:i/>
          <w:iCs/>
          <w:color w:val="000000"/>
          <w:sz w:val="22"/>
          <w:szCs w:val="22"/>
        </w:rPr>
        <w:t xml:space="preserve">Solenopsis invicta</w:t>
      </w:r>
      <w:r>
        <w:rPr>
          <w:rFonts w:ascii="Calibri" w:hAnsi="Calibri" w:eastAsia="Calibri" w:cs="Calibri"/>
          <w:color w:val="000000"/>
          <w:sz w:val="22"/>
          <w:szCs w:val="22"/>
        </w:rPr>
        <w:t xml:space="preserve"> predates them, but it is also a rice pest (Yusa, 2001).</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snails is an effective but time-consuming control method that can be improved by using plant baits and digging furrows inside the fields where snails congregate. Mechanical methods include the intensification of customary cultural practices, such as tillage and puddling of rice fields, which can crush a high percentage of the snail population, especially hibernating ones. Chemical methods are frequently used because, although they are not specific, they are effective and include application of methaldehyde, niclosamide and diverse insecticides; baits with metaldehyde are also used. Plant extracts and plant based molluscicides are also gaining favour because of their lower side effects on other animals. Fertilizers commonly used in rice field (urea, calcium cyanamide and complete fertilizer)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Farming ducks and fish in rice fields are effective ways of controlling snail populations. Populations of predatory prawns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developed biotechnologically to obtain only males have been tried for inundative biocontrol of apple snails with promising results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Ecuador, which is in the native range of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predation by the highly specialized snail kites (birds of prey) has been enhanced by farmers 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wild native bird species, such as storks, crows and ibises, can also cause high levels of predation on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 its congeners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Uehara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Sawangproh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 their introduction is prohibited and official inspections for the import and movement of aquatic plants within EU have been set to prevent their introduction and spread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such as Australia, China, Malaysia, Japan, USA and Vietnam also consider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a quarantine pest.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is the first measure to avoid the multiple negative impacts associated with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(Horgan, 2017, 2018). To prevent the entry and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Andree KB &amp; López MA (2013) Species identification from archived snail shells via genetic analysis: a method for DNA extraction from empty shells. </w:t>
      </w:r>
      <w:r>
        <w:rPr>
          <w:rFonts w:ascii="Calibri" w:hAnsi="Calibri" w:eastAsia="Calibri" w:cs="Calibri"/>
          <w:i/>
          <w:iCs/>
          <w:color w:val="000000"/>
          <w:sz w:val="22"/>
          <w:szCs w:val="22"/>
        </w:rPr>
        <w:t xml:space="preserve">Molluscan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Navarro J (2018) A native bird as a predator for the invasive apple snail, a novel rice field invader in Europe. </w:t>
      </w:r>
      <w:r>
        <w:rPr>
          <w:rFonts w:ascii="Calibri" w:hAnsi="Calibri" w:eastAsia="Calibri" w:cs="Calibri"/>
          <w:i/>
          <w:iCs/>
          <w:color w:val="000000"/>
          <w:sz w:val="22"/>
          <w:szCs w:val="22"/>
        </w:rPr>
        <w:t xml:space="preserve">Aquatic Conservation: Marine and Freshwater Ecosystem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1-6.</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Brönmark C (2006) Size‐dependent effects of an invasive herbivorous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on macrophytes and periphyton in Asian wetlands.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(4), 695-704.</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Lacoursière JO (2005) Herbivory on aquatic vascular plants by the introduced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Lao PDR.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233-241.</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 Johnson D &amp; Merino S (2018) Exotic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(Giant Apple Snail) will depredate eggs of frog and toad species of the Southeastern US.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w:t>
      </w:r>
      <w:r>
        <w:rPr>
          <w:rFonts w:ascii="Calibri" w:hAnsi="Calibri" w:eastAsia="Calibri" w:cs="Calibri"/>
          <w:i/>
          <w:iCs/>
          <w:color w:val="000000"/>
          <w:sz w:val="22"/>
          <w:szCs w:val="22"/>
        </w:rPr>
        <w:t xml:space="preserve">Biology and management of invasive apple snails.</w:t>
      </w:r>
      <w:r>
        <w:rPr>
          <w:rFonts w:ascii="Calibri" w:hAnsi="Calibri" w:eastAsia="Calibri" w:cs="Calibri"/>
          <w:color w:val="000000"/>
          <w:sz w:val="22"/>
          <w:szCs w:val="22"/>
        </w:rPr>
        <w:t xml:space="preserve"> Philippine Rice Research Institute (PhilRice), Maligaya, Science City of Muñoz, Nueva Ecija, 3119, 3-32.</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Djeddour D, Pratt C, Makale F, Rwomushana I &amp; Day R (2021)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 evidence note on invasiveness and potential economic impacts for East Africa. </w:t>
      </w:r>
      <w:r>
        <w:rPr>
          <w:rFonts w:ascii="Calibri" w:hAnsi="Calibri" w:eastAsia="Calibri" w:cs="Calibri"/>
          <w:i/>
          <w:iCs/>
          <w:color w:val="000000"/>
          <w:sz w:val="22"/>
          <w:szCs w:val="22"/>
        </w:rPr>
        <w:t xml:space="preserve">CABI Working Paper</w:t>
      </w:r>
      <w:r>
        <w:rPr>
          <w:rFonts w:ascii="Calibri" w:hAnsi="Calibri" w:eastAsia="Calibri" w:cs="Calibri"/>
          <w:color w:val="000000"/>
          <w:sz w:val="22"/>
          <w:szCs w:val="22"/>
        </w:rPr>
        <w:t xml:space="preserve"> 21, 77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27856a2ff91353220"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2020: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85176a2ff9135330e"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&amp; Martín PR (2002)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Life-history traits and their plasticity.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83-89.</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Martín PR &amp; Silvana B (2006) Conchological variation in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other South American Ampullariidae (Caenogastropoda, Architaenioglossa).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Guo J, Zhang C, Zhang J, &amp; Zhao B (2019) Sex differences in the morphological defenses of an invasive snail: dimorphism and predator-induced plasticity.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Zhu Q, Portalanza DE &amp; Felix MI (2021) Costs to Ecuador's rice sector during the first decade of an apple snail invasion and policy recommendations for regions at risk.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105746.</w:t>
      </w:r>
    </w:p>
    <w:p>
      <w:pPr>
        <w:widowControl w:val="on"/>
        <w:pBdr/>
        <w:spacing w:before="220" w:after="220" w:line="240" w:lineRule="auto"/>
        <w:ind w:left="0" w:right="0"/>
        <w:jc w:val="left"/>
      </w:pPr>
      <w:r>
        <w:rPr>
          <w:rFonts w:ascii="Calibri" w:hAnsi="Calibri" w:eastAsia="Calibri" w:cs="Calibri"/>
          <w:color w:val="000000"/>
          <w:sz w:val="22"/>
          <w:szCs w:val="22"/>
        </w:rPr>
        <w:t xml:space="preserve">Ip KKL &amp; Qiu J (2017) Invasive apple snails: ecology and management in Hong Kong.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145-165.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Kwong KL, Wong PK, Lau SS &amp; Qiu JW (2008) Determinants of the distribution of apple snails in Hong Kong two decades after their initial invasion.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(1–2), 293–302.</w:t>
      </w:r>
    </w:p>
    <w:p>
      <w:pPr>
        <w:widowControl w:val="on"/>
        <w:pBdr/>
        <w:spacing w:before="220" w:after="220" w:line="240" w:lineRule="auto"/>
        <w:ind w:left="0" w:right="0"/>
        <w:jc w:val="left"/>
      </w:pPr>
      <w:r>
        <w:rPr>
          <w:rFonts w:ascii="Calibri" w:hAnsi="Calibri" w:eastAsia="Calibri" w:cs="Calibri"/>
          <w:color w:val="000000"/>
          <w:sz w:val="22"/>
          <w:szCs w:val="22"/>
        </w:rPr>
        <w:t xml:space="preserve">Letelier S, Rebolledo A, Báez P, Fabres A, Soto-Acuña S &amp; Jackson D (2016) The highly invasive freshwater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in Northern Chile: morphological and molecular confirmation. </w:t>
      </w:r>
      <w:r>
        <w:rPr>
          <w:rFonts w:ascii="Calibri" w:hAnsi="Calibri" w:eastAsia="Calibri" w:cs="Calibri"/>
          <w:i/>
          <w:iCs/>
          <w:color w:val="000000"/>
          <w:sz w:val="22"/>
          <w:szCs w:val="22"/>
        </w:rPr>
        <w:t xml:space="preserve">Journal of 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Manara E, Maldonado MA &amp; Martín PR (2019) The role of an invader in its native range: could differential grazing by apple snails structure the submersed macrophytes assemblages in Southern Pampas (Argentina)?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828</w:t>
      </w:r>
      <w:r>
        <w:rPr>
          <w:rFonts w:ascii="Calibri" w:hAnsi="Calibri" w:eastAsia="Calibri" w:cs="Calibri"/>
          <w:color w:val="000000"/>
          <w:sz w:val="22"/>
          <w:szCs w:val="22"/>
        </w:rPr>
        <w:t xml:space="preserve">(1),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Seuffert ME, Tamburi NE, Burela S &amp; Saveanu L (2017) Behaviour and ecology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from Southern Pampas (Argentina).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241-256.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Pizani NV, Estebenet AL &amp; Martín PR (2005) Effects of submersion and aerial exposure on clutches and hatchlings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(1-2), 55-63.</w:t>
      </w:r>
    </w:p>
    <w:p>
      <w:pPr>
        <w:widowControl w:val="on"/>
        <w:pBdr/>
        <w:spacing w:before="220" w:after="220" w:line="240" w:lineRule="auto"/>
        <w:ind w:left="0" w:right="0"/>
        <w:jc w:val="left"/>
      </w:pPr>
      <w:r>
        <w:rPr>
          <w:rFonts w:ascii="Calibri" w:hAnsi="Calibri" w:eastAsia="Calibri" w:cs="Calibri"/>
          <w:color w:val="000000"/>
          <w:sz w:val="22"/>
          <w:szCs w:val="22"/>
        </w:rPr>
        <w:t xml:space="preserve">Roll U, Dayan T, Simberloff D &amp; Mienis HK (2009) Non-indigenous land and freshwater gastropods in Israel.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1963-1972.</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Saveanu L, Manara E &amp; Martín PR (2017) Carrion consumption and its importance in a freshwater trophic generalist: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Marine and Freshwater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Sawangproh W, Round PD, Poonswad P (2012) Asian openbill stork </w:t>
      </w:r>
      <w:r>
        <w:rPr>
          <w:rFonts w:ascii="Calibri" w:hAnsi="Calibri" w:eastAsia="Calibri" w:cs="Calibri"/>
          <w:i/>
          <w:iCs/>
          <w:color w:val="000000"/>
          <w:sz w:val="22"/>
          <w:szCs w:val="22"/>
        </w:rPr>
        <w:t xml:space="preserve">Anastomus oscitans</w:t>
      </w:r>
      <w:r>
        <w:rPr>
          <w:rFonts w:ascii="Calibri" w:hAnsi="Calibri" w:eastAsia="Calibri" w:cs="Calibri"/>
          <w:color w:val="000000"/>
          <w:sz w:val="22"/>
          <w:szCs w:val="22"/>
        </w:rPr>
        <w:t xml:space="preserve"> as a predator of the invasive alien gastropod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Iberus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111–117.</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(2010) Dependence on aerial respiration and its influence on microdistribution in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1695-1708.</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(2012) A lentic dweller in lotic habitats: the behavior of the invasive South American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flowing water.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129-142.</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(2013) Distribution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Pampean streams (Argentina) at different spatial scales. </w:t>
      </w:r>
      <w:r>
        <w:rPr>
          <w:rFonts w:ascii="Calibri" w:hAnsi="Calibri" w:eastAsia="Calibri" w:cs="Calibri"/>
          <w:i/>
          <w:iCs/>
          <w:color w:val="000000"/>
          <w:sz w:val="22"/>
          <w:szCs w:val="22"/>
        </w:rPr>
        <w:t xml:space="preserve">Limnologica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91-99.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(2017) Thermal limits for the establishment and growth of populations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1169.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Burela S &amp; Martín PR (2010) Influence of water temperature on the activity of the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at its southernmost limit (Southern Pampas, Argentina). </w:t>
      </w:r>
      <w:r>
        <w:rPr>
          <w:rFonts w:ascii="Calibri" w:hAnsi="Calibri" w:eastAsia="Calibri" w:cs="Calibri"/>
          <w:i/>
          <w:iCs/>
          <w:color w:val="000000"/>
          <w:sz w:val="22"/>
          <w:szCs w:val="22"/>
        </w:rPr>
        <w:t xml:space="preserve">Journal of Thermal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77-84.</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Saveanu L &amp; Martín PR (2012) Threshold temperatures and degree-day estimates for embryonic development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Tamburi NE &amp; Martín PR (2016) Effects of absolute fasting on reproduction and survival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its native range.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Uehara H, Murakami H &amp; Yusa Y (2021) Predation by the carrion crow </w:t>
      </w:r>
      <w:r>
        <w:rPr>
          <w:rFonts w:ascii="Calibri" w:hAnsi="Calibri" w:eastAsia="Calibri" w:cs="Calibri"/>
          <w:i/>
          <w:iCs/>
          <w:color w:val="000000"/>
          <w:sz w:val="22"/>
          <w:szCs w:val="22"/>
        </w:rPr>
        <w:t xml:space="preserve">Corvus corone</w:t>
      </w:r>
      <w:r>
        <w:rPr>
          <w:rFonts w:ascii="Calibri" w:hAnsi="Calibri" w:eastAsia="Calibri" w:cs="Calibri"/>
          <w:color w:val="000000"/>
          <w:sz w:val="22"/>
          <w:szCs w:val="22"/>
        </w:rPr>
        <w:t xml:space="preserve"> (Passeriformes: Corvidae) on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(Architaenioglossa: Ampullariidae) in different locations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Vinarski MV, Andreev NI, Andreeva SI, Kazantsev IE, Karimov AV &amp; Lazutkina EA (2015) Alien mollusk species in the aquatic ecosystems of Western Siberia: a review</w:t>
      </w:r>
      <w:r>
        <w:rPr>
          <w:rFonts w:ascii="Calibri" w:hAnsi="Calibri" w:eastAsia="Calibri" w:cs="Calibri"/>
          <w:i/>
          <w:iCs/>
          <w:color w:val="000000"/>
          <w:sz w:val="22"/>
          <w:szCs w:val="22"/>
        </w:rPr>
        <w:t xml:space="preserve">. 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Wong PK, Liang YAN, Liu NY, &amp; Qiu JW (2010) Palatability of macrophytes to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differential effects of multiple plant traits.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(10), 2023-2031.</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 Liu S, He C, Cowie RH, Yu X &amp; Hayes KA (2019) Invisible apple snail invasions: importance of continued vigilance and rigorous taxonomic assessments. </w:t>
      </w:r>
      <w:r>
        <w:rPr>
          <w:rFonts w:ascii="Calibri" w:hAnsi="Calibri" w:eastAsia="Calibri" w:cs="Calibri"/>
          <w:i/>
          <w:iCs/>
          <w:color w:val="000000"/>
          <w:sz w:val="22"/>
          <w:szCs w:val="22"/>
        </w:rPr>
        <w:t xml:space="preserve">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1277-1286.</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(2001) Predation on eggs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by the fire ant </w:t>
      </w:r>
      <w:r>
        <w:rPr>
          <w:rFonts w:ascii="Calibri" w:hAnsi="Calibri" w:eastAsia="Calibri" w:cs="Calibri"/>
          <w:i/>
          <w:iCs/>
          <w:color w:val="000000"/>
          <w:sz w:val="22"/>
          <w:szCs w:val="22"/>
        </w:rPr>
        <w:t xml:space="preserve">Solenopsis geminata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(3), 275-279.</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345-361.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Wada T &amp; Takahashi S (2006) Effects of dormant duration, body size, self-burial and water condition on the long-term survival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(4), 627-632.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Pomacea canaliculata. </w:t>
      </w:r>
      <w:hyperlink r:id="rId93476a2ff913548c5" w:history="1">
        <w:r>
          <w:rPr>
            <w:rFonts w:ascii="Calibri" w:hAnsi="Calibri" w:eastAsia="Calibri" w:cs="Calibri"/>
            <w:color w:val="0000CC"/>
            <w:sz w:val="22"/>
            <w:szCs w:val="22"/>
            <w:u w:val="single"/>
          </w:rPr>
          <w:t xml:space="preserve">https://www.cabi.org/isc/datasheet/68490#CDDB33ED-EC00-452E-A471-ACEFCE479041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hyperlink r:id="rId24216a2ff9135491a" w:history="1">
        <w:r>
          <w:rPr>
            <w:rFonts w:ascii="Calibri" w:hAnsi="Calibri" w:eastAsia="Calibri" w:cs="Calibri"/>
            <w:color w:val="0000CC"/>
            <w:sz w:val="22"/>
            <w:szCs w:val="22"/>
            <w:u w:val="single"/>
          </w:rPr>
          <w:t xml:space="preserve">https://efsa.onlinelibrary.wiley.com/doi/abs/10.2903/sp.efsa.2020.EN-1877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EPPO datasheets on pests recommended for regulation. Available online. </w:t>
      </w:r>
      <w:hyperlink r:id="rId96946a2ff913549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2919501" name="name88506a2ff91354cc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076a2ff91354cc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240020">
    <w:multiLevelType w:val="hybridMultilevel"/>
    <w:lvl w:ilvl="0" w:tplc="11991564">
      <w:start w:val="1"/>
      <w:numFmt w:val="decimal"/>
      <w:lvlText w:val="%1."/>
      <w:lvlJc w:val="left"/>
      <w:pPr>
        <w:ind w:left="720" w:hanging="360"/>
      </w:pPr>
    </w:lvl>
    <w:lvl w:ilvl="1" w:tplc="11991564" w:tentative="1">
      <w:start w:val="1"/>
      <w:numFmt w:val="lowerLetter"/>
      <w:lvlText w:val="%2."/>
      <w:lvlJc w:val="left"/>
      <w:pPr>
        <w:ind w:left="1440" w:hanging="360"/>
      </w:pPr>
    </w:lvl>
    <w:lvl w:ilvl="2" w:tplc="11991564" w:tentative="1">
      <w:start w:val="1"/>
      <w:numFmt w:val="lowerRoman"/>
      <w:lvlText w:val="%3."/>
      <w:lvlJc w:val="right"/>
      <w:pPr>
        <w:ind w:left="2160" w:hanging="180"/>
      </w:pPr>
    </w:lvl>
    <w:lvl w:ilvl="3" w:tplc="11991564" w:tentative="1">
      <w:start w:val="1"/>
      <w:numFmt w:val="decimal"/>
      <w:lvlText w:val="%4."/>
      <w:lvlJc w:val="left"/>
      <w:pPr>
        <w:ind w:left="2880" w:hanging="360"/>
      </w:pPr>
    </w:lvl>
    <w:lvl w:ilvl="4" w:tplc="11991564" w:tentative="1">
      <w:start w:val="1"/>
      <w:numFmt w:val="lowerLetter"/>
      <w:lvlText w:val="%5."/>
      <w:lvlJc w:val="left"/>
      <w:pPr>
        <w:ind w:left="3600" w:hanging="360"/>
      </w:pPr>
    </w:lvl>
    <w:lvl w:ilvl="5" w:tplc="11991564" w:tentative="1">
      <w:start w:val="1"/>
      <w:numFmt w:val="lowerRoman"/>
      <w:lvlText w:val="%6."/>
      <w:lvlJc w:val="right"/>
      <w:pPr>
        <w:ind w:left="4320" w:hanging="180"/>
      </w:pPr>
    </w:lvl>
    <w:lvl w:ilvl="6" w:tplc="11991564" w:tentative="1">
      <w:start w:val="1"/>
      <w:numFmt w:val="decimal"/>
      <w:lvlText w:val="%7."/>
      <w:lvlJc w:val="left"/>
      <w:pPr>
        <w:ind w:left="5040" w:hanging="360"/>
      </w:pPr>
    </w:lvl>
    <w:lvl w:ilvl="7" w:tplc="11991564" w:tentative="1">
      <w:start w:val="1"/>
      <w:numFmt w:val="lowerLetter"/>
      <w:lvlText w:val="%8."/>
      <w:lvlJc w:val="left"/>
      <w:pPr>
        <w:ind w:left="5760" w:hanging="360"/>
      </w:pPr>
    </w:lvl>
    <w:lvl w:ilvl="8" w:tplc="11991564" w:tentative="1">
      <w:start w:val="1"/>
      <w:numFmt w:val="lowerRoman"/>
      <w:lvlText w:val="%9."/>
      <w:lvlJc w:val="right"/>
      <w:pPr>
        <w:ind w:left="6480" w:hanging="180"/>
      </w:pPr>
    </w:lvl>
  </w:abstractNum>
  <w:abstractNum w:abstractNumId="13240019">
    <w:multiLevelType w:val="hybridMultilevel"/>
    <w:lvl w:ilvl="0" w:tplc="58542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240019">
    <w:abstractNumId w:val="13240019"/>
  </w:num>
  <w:num w:numId="13240020">
    <w:abstractNumId w:val="132400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5386189" Type="http://schemas.microsoft.com/office/2011/relationships/commentsExtended" Target="commentsExtended.xml"/><Relationship Id="rId766150096" Type="http://schemas.microsoft.com/office/2011/relationships/people" Target="people.xml"/><Relationship Id="rId66156a2ff9134f245" Type="http://schemas.openxmlformats.org/officeDocument/2006/relationships/hyperlink" Target="https://gd.eppo.int/taxon/POMACA/" TargetMode="External"/><Relationship Id="rId78006a2ff9134f2c3" Type="http://schemas.openxmlformats.org/officeDocument/2006/relationships/hyperlink" Target="https://gd.eppo.int/taxon/POMACA/categorization" TargetMode="External"/><Relationship Id="rId15596a2ff9134fd44" Type="http://schemas.openxmlformats.org/officeDocument/2006/relationships/hyperlink" Target="https://gd.eppo.int/taxon/POMACA/photos" TargetMode="External"/><Relationship Id="rId27856a2ff91353220" Type="http://schemas.openxmlformats.org/officeDocument/2006/relationships/hyperlink" Target="https://doi/org/10.2903/j.efsa.2012.2552" TargetMode="External"/><Relationship Id="rId85176a2ff9135330e" Type="http://schemas.openxmlformats.org/officeDocument/2006/relationships/hyperlink" Target="https://pra.eppo.int/pra/cfba256e-2652-4c75-b4ff-53e7311c9e4d" TargetMode="External"/><Relationship Id="rId93476a2ff913548c5" Type="http://schemas.openxmlformats.org/officeDocument/2006/relationships/hyperlink" Target="https://www.cabi.org/isc/datasheet/68490#CDDB33ED-EC00-452E-A471-ACEFCE479041" TargetMode="External"/><Relationship Id="rId24216a2ff9135491a" Type="http://schemas.openxmlformats.org/officeDocument/2006/relationships/hyperlink" Target="https://efsa.onlinelibrary.wiley.com/doi/abs/10.2903/sp.efsa.2020.EN-1877" TargetMode="External"/><Relationship Id="rId96946a2ff913549d1" Type="http://schemas.openxmlformats.org/officeDocument/2006/relationships/hyperlink" Target="https://gd.eppo.int" TargetMode="External"/><Relationship Id="rId13446a2ff9134fbe5" Type="http://schemas.openxmlformats.org/officeDocument/2006/relationships/image" Target="media/imgrId13446a2ff9134fbe5.jpg"/><Relationship Id="rId95006a2ff91351736" Type="http://schemas.openxmlformats.org/officeDocument/2006/relationships/image" Target="media/imgrId95006a2ff91351736.jpg"/><Relationship Id="rId42076a2ff91354cca" Type="http://schemas.openxmlformats.org/officeDocument/2006/relationships/image" Target="media/imgrId42076a2ff91354cc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