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Megaplatypus mutatus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Megaplatypus mutatus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(Chapuis)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Platypodinae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Platypus mutatus</w:t>
            </w:r>
            <w:r>
              <w:rPr>
                <w:rFonts w:ascii="Calibri" w:hAnsi="Calibri" w:eastAsia="Calibri" w:cs="Calibri"/>
                <w:color w:val="000000"/>
                <w:position w:val="-3"/>
                <w:sz w:val="22"/>
                <w:szCs w:val="22"/>
              </w:rPr>
              <w:t xml:space="preserve"> Chapuis, </w:t>
            </w:r>
            <w:r>
              <w:rPr>
                <w:rFonts w:ascii="Calibri" w:hAnsi="Calibri" w:eastAsia="Calibri" w:cs="Calibri"/>
                <w:i/>
                <w:iCs/>
                <w:color w:val="000000"/>
                <w:position w:val="-3"/>
                <w:sz w:val="22"/>
                <w:szCs w:val="22"/>
              </w:rPr>
              <w:t xml:space="preserve">Platypus plicatus</w:t>
            </w:r>
            <w:r>
              <w:rPr>
                <w:rFonts w:ascii="Calibri" w:hAnsi="Calibri" w:eastAsia="Calibri" w:cs="Calibri"/>
                <w:color w:val="000000"/>
                <w:position w:val="-3"/>
                <w:sz w:val="22"/>
                <w:szCs w:val="22"/>
              </w:rPr>
              <w:t xml:space="preserve"> Brèthes, </w:t>
            </w:r>
            <w:r>
              <w:rPr>
                <w:rFonts w:ascii="Calibri" w:hAnsi="Calibri" w:eastAsia="Calibri" w:cs="Calibri"/>
                <w:i/>
                <w:iCs/>
                <w:color w:val="000000"/>
                <w:position w:val="-3"/>
                <w:sz w:val="22"/>
                <w:szCs w:val="22"/>
              </w:rPr>
              <w:t xml:space="preserve">Platypus sulcatus</w:t>
            </w:r>
            <w:r>
              <w:rPr>
                <w:rFonts w:ascii="Calibri" w:hAnsi="Calibri" w:eastAsia="Calibri" w:cs="Calibri"/>
                <w:color w:val="000000"/>
                <w:position w:val="-3"/>
                <w:sz w:val="22"/>
                <w:szCs w:val="22"/>
              </w:rPr>
              <w:t xml:space="preserve"> Chapuis</w:t>
            </w:r>
            <w:hyperlink r:id="rId35596a88b0a04a9d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1276a88b0a04aa1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PLTPMU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0644247" name="name19256a88b0a04aad2" descr="1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4.jpg"/>
                          <pic:cNvPicPr/>
                        </pic:nvPicPr>
                        <pic:blipFill>
                          <a:blip r:embed="rId92066a88b0a04aad1" cstate="print"/>
                          <a:stretch>
                            <a:fillRect/>
                          </a:stretch>
                        </pic:blipFill>
                        <pic:spPr>
                          <a:xfrm>
                            <a:off x="0" y="0"/>
                            <a:ext cx="2160000" cy="1281600"/>
                          </a:xfrm>
                          <a:prstGeom prst="rect">
                            <a:avLst/>
                          </a:prstGeom>
                          <a:ln w="0">
                            <a:noFill/>
                          </a:ln>
                        </pic:spPr>
                      </pic:pic>
                    </a:graphicData>
                  </a:graphic>
                </wp:inline>
              </w:drawing>
            </w:r>
            <w:hyperlink r:id="rId46536a88b0a04ac0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Megaplatypus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w:t>
      </w:r>
      <w:r>
        <w:rPr>
          <w:rFonts w:ascii="Calibri" w:hAnsi="Calibri" w:eastAsia="Calibri" w:cs="Calibri"/>
          <w:color w:val="000000"/>
          <w:sz w:val="22"/>
          <w:szCs w:val="22"/>
        </w:rPr>
        <w:t xml:space="preserve"> is an ambrosia beetle within the subfamily Platypodinae and represents a taxonomic entity.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is a polyphagous pest of trees, and poplars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are considered to be important hosts in both its native range (South America) and introduced range (Italy). As poplars originate from the Northern Hemisphere, it is not clear what are the native hosts in South America, but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been recorded there on a wide range of timber, fruit and ornamental trees, including: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(Etiennot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Giménez &amp; Etiennot, 2003); conifers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Taxodium</w:t>
      </w:r>
      <w:r>
        <w:rPr>
          <w:rFonts w:ascii="Calibri" w:hAnsi="Calibri" w:eastAsia="Calibri" w:cs="Calibri"/>
          <w:color w:val="000000"/>
          <w:sz w:val="22"/>
          <w:szCs w:val="22"/>
        </w:rPr>
        <w:t xml:space="preserve">) are also attacked.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was first recorded on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canadensis</w:t>
      </w:r>
      <w:r>
        <w:rPr>
          <w:rFonts w:ascii="Calibri" w:hAnsi="Calibri" w:eastAsia="Calibri" w:cs="Calibri"/>
          <w:color w:val="000000"/>
          <w:sz w:val="22"/>
          <w:szCs w:val="22"/>
        </w:rPr>
        <w:t xml:space="preserve">, and then on fruit trees such as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 Malus, 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avium, P. persica, Pyrus, </w:t>
      </w:r>
      <w:r>
        <w:rPr>
          <w:rFonts w:ascii="Calibri" w:hAnsi="Calibri" w:eastAsia="Calibri" w:cs="Calibri"/>
          <w:color w:val="000000"/>
          <w:sz w:val="22"/>
          <w:szCs w:val="22"/>
        </w:rPr>
        <w:t xml:space="preserve">as well as on</w:t>
      </w:r>
      <w:r>
        <w:rPr>
          <w:rFonts w:ascii="Calibri" w:hAnsi="Calibri" w:eastAsia="Calibri" w:cs="Calibri"/>
          <w:i/>
          <w:iCs/>
          <w:color w:val="000000"/>
          <w:sz w:val="22"/>
          <w:szCs w:val="22"/>
        </w:rPr>
        <w:t xml:space="preserve"> 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Robinia</w:t>
      </w:r>
      <w:r>
        <w:rPr>
          <w:rFonts w:ascii="Calibri" w:hAnsi="Calibri" w:eastAsia="Calibri" w:cs="Calibri"/>
          <w:color w:val="000000"/>
          <w:sz w:val="22"/>
          <w:szCs w:val="22"/>
        </w:rPr>
        <w:t xml:space="preserve"> (Griffo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mearnsii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Araucaria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Balfourodendron riedelianum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brasiliense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Cariniana estrellensis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Cariniana legalis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Casuarina cunninghamiana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Cedrela fissilis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Cenostigma pluviosum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Centrolobium tomentosum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floribundus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piptocalyx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Delonix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contortisiliquum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crista-galli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dunnii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tereticornis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lucidum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Luehea divaricata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Luetzelburgia guaissara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Machaerium stipitatum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Piptadenia gonoacantha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Platypodium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Schizolobium parahyba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Sebastiania klotzschiana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Taxodium distichum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moltkei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megapotamica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is native to subtropical and tropical regions of South America but has extended its distribution to colder areas of the continent, such as Patagonia (Southern Argentina)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In 2000, the presence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was confirmed in Italy, where it caused severe damage to poplar plantations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in the province of Caserta (Campania region) (Tremblay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According to Allegro and Griffo (2008) the beetle increased its distribution in Caserta from 130 km² in 2000 to 587 km² in 2007, and significant attacks were recorded in </w:t>
      </w:r>
      <w:r>
        <w:rPr>
          <w:rFonts w:ascii="Calibri" w:hAnsi="Calibri" w:eastAsia="Calibri" w:cs="Calibri"/>
          <w:i/>
          <w:iCs/>
          <w:color w:val="000000"/>
          <w:sz w:val="22"/>
          <w:szCs w:val="22"/>
        </w:rPr>
        <w:t xml:space="preserve">C. avellana</w:t>
      </w:r>
      <w:r>
        <w:rPr>
          <w:rFonts w:ascii="Calibri" w:hAnsi="Calibri" w:eastAsia="Calibri" w:cs="Calibri"/>
          <w:color w:val="000000"/>
          <w:sz w:val="22"/>
          <w:szCs w:val="22"/>
        </w:rPr>
        <w:t xml:space="preserve"> (hazelnut) and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(kaki) orchards. In subsequent years,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spread to areas bordering Campania and reached Molise and Lazio regions in 2013 and 2016, respectively. There are no further confirmed findings in the EPPO region to date, although countries of the Mediterranean temperate belt (e.g. France, Greece, Spain, Turkey) which have poplar plantations and grow fruit crops, are anticipated to be at risk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r>
        <w:drawing>
          <wp:inline distT="0" distB="0" distL="0" distR="0">
            <wp:extent cx="6120000" cy="3067200"/>
            <wp:docPr id="72023187" name="name27556a88b0a04c9a9" descr="PLTPM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TPMU_distribution_map.jpg"/>
                    <pic:cNvPicPr/>
                  </pic:nvPicPr>
                  <pic:blipFill>
                    <a:blip r:embed="rId44476a88b0a04c9a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Espirito Santo, Parana, Rio de Janeiro, Rio Grande do Sul, Santa Catarina, Sao Paulo), French Guiana,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Investigations into the population dynamics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have indicated a bivoltine life cycle in South America, as well as in Italy (Funes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It overwinters mainly as mature larvae or immature adults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Adults appear in the field in late spring-early summer (November–December in South America and May–June in Italy). Males start emerging a few days before females, and fly to tree trunks in which they bore a radial gallery directed towards the centre of the trunk, and attract females by releasing a specific pheromone (González Audino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After mating, the two adults bore new galleries inside the trunk, in which the female lays 100–200 eggs over a period of 2–3 months. Adults inoculate the galleries with symbiotic fungi which are specifically associated with the pest. An ascomycetous fungus </w:t>
      </w:r>
      <w:r>
        <w:rPr>
          <w:rFonts w:ascii="Calibri" w:hAnsi="Calibri" w:eastAsia="Calibri" w:cs="Calibri"/>
          <w:i/>
          <w:iCs/>
          <w:color w:val="000000"/>
          <w:sz w:val="22"/>
          <w:szCs w:val="22"/>
        </w:rPr>
        <w:t xml:space="preserve">Raffaelea santoroi</w:t>
      </w:r>
      <w:r>
        <w:rPr>
          <w:rFonts w:ascii="Calibri" w:hAnsi="Calibri" w:eastAsia="Calibri" w:cs="Calibri"/>
          <w:color w:val="000000"/>
          <w:sz w:val="22"/>
          <w:szCs w:val="22"/>
        </w:rPr>
        <w:t xml:space="preserve"> was the first species to be identified in the galleries and frass of infested trees in Argentina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(Guerrero, 1966). The fungus is not harmful to the tree, and simply grows saprophytically on the walls of the galleries, which become blackish as a result. The first and second instar larvae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are mycetophagous, feeding on the mycelium; as they grow larger, they become xylophagous, feeding on the wood directly. The mycobiota associated with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been further studied in Argentina. By analyzing numerous gallery fragments (1104 fragments from 28 poplar trees) and body parts of insects,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identified 19 different fungal species.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Raffaelea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Graphium basitruncatum</w:t>
      </w:r>
      <w:r>
        <w:rPr>
          <w:rFonts w:ascii="Calibri" w:hAnsi="Calibri" w:eastAsia="Calibri" w:cs="Calibri"/>
          <w:color w:val="000000"/>
          <w:sz w:val="22"/>
          <w:szCs w:val="22"/>
        </w:rPr>
        <w:t xml:space="preserve"> were the most abundant species, but </w:t>
      </w:r>
      <w:r>
        <w:rPr>
          <w:rFonts w:ascii="Calibri" w:hAnsi="Calibri" w:eastAsia="Calibri" w:cs="Calibri"/>
          <w:i/>
          <w:iCs/>
          <w:color w:val="000000"/>
          <w:sz w:val="22"/>
          <w:szCs w:val="22"/>
        </w:rPr>
        <w:t xml:space="preserve">R. santoroi</w:t>
      </w:r>
      <w:r>
        <w:rPr>
          <w:rFonts w:ascii="Calibri" w:hAnsi="Calibri" w:eastAsia="Calibri" w:cs="Calibri"/>
          <w:color w:val="000000"/>
          <w:sz w:val="22"/>
          <w:szCs w:val="22"/>
        </w:rPr>
        <w:t xml:space="preserve"> was not found. Interestingly, one of these fungal associates, </w:t>
      </w:r>
      <w:r>
        <w:rPr>
          <w:rFonts w:ascii="Calibri" w:hAnsi="Calibri" w:eastAsia="Calibri" w:cs="Calibri"/>
          <w:i/>
          <w:iCs/>
          <w:color w:val="000000"/>
          <w:sz w:val="22"/>
          <w:szCs w:val="22"/>
        </w:rPr>
        <w:t xml:space="preserve">Graphium basitruncatum,</w:t>
      </w:r>
      <w:r>
        <w:rPr>
          <w:rFonts w:ascii="Calibri" w:hAnsi="Calibri" w:eastAsia="Calibri" w:cs="Calibri"/>
          <w:color w:val="000000"/>
          <w:sz w:val="22"/>
          <w:szCs w:val="22"/>
        </w:rPr>
        <w:t xml:space="preserve"> was identified to be capable of producing components of the sex pheromone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(i.e. sulcatone), thus suggesting that fungi associated with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play a role in the mating process (Slodowicz et al., 2019). The possibility that fungal communities present in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galleries are specific to the host tree has been studied by comparing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Casuarina cunninghamiana,</w:t>
      </w:r>
      <w:r>
        <w:rPr>
          <w:rFonts w:ascii="Calibri" w:hAnsi="Calibri" w:eastAsia="Calibri" w:cs="Calibri"/>
          <w:color w:val="000000"/>
          <w:sz w:val="22"/>
          <w:szCs w:val="22"/>
        </w:rPr>
        <w:t xml:space="preserve"> but specificity could not be demonstrated (Ceriani-Nakamurakare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generally reach maturity in early spring or within the 5 months before the cold season. They pupate in spring, and the adults emerge in late spring or early summer. Occasionally a few adults emerge before winter but, if a second generation is started, it is interrupted by cold (Santoro, 1963). There is still no evidence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any distinct geographical races or ecotypes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mutatus </w:t>
      </w:r>
      <w:r>
        <w:rPr>
          <w:rFonts w:ascii="Calibri" w:hAnsi="Calibri" w:eastAsia="Calibri" w:cs="Calibri"/>
          <w:color w:val="000000"/>
          <w:sz w:val="22"/>
          <w:szCs w:val="22"/>
        </w:rPr>
        <w:t xml:space="preserve">preferentially attacks large standing tree trunks (over 15 cm in diameter). The main sign of infestation is the presence of holes 3 mm wide, exuding sap and frass in early summer. The internal sinuous galleries are lined with the black mycelium of the symbiotic fungus.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whitish and translucent, elliptical, about 1 mm long and 0.6 mm wide (Toscani, 1990).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larval shape changes from elliptical (1st instar) to cylindrical (5th instar). The mature larva is about 7.2 mm long. The colour is brilliant white at 1st instar, becoming yellowish towards maturity (Santoro, 1965a).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8–9 mm long, whitish in colour (Santoro, 1965a).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has a cylindrical body with sulcate elytral striae. The head is as long as the pronotum. The male is about 7.5 mm long, dark brown above, clearer below; the female is 8–9 mm long, brown above and reddish-yellow below. Tarsi and antennae are reddish. In the male, the elytrae have truncate tips, with characteristic spiniform processes on the declivity; in the female, they have round tips, without processes. In both sexes, the anterior tibiae are rasp-like, helping the insect to move inside the galleries.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the ambrosia beetle appears rather difficult, as it tends to spend most of its life hidden within the wood (FERA, 2014). The presence of galleries may also not sufficiently indicate whether active larvae are inside. However, frass may indicate insect activity. Two distinctive types of frass can be observed: one comprised of long particles, which results from digging activity of the adults; and a more granular sawdust from the feeding activity of the larvae (CABI, 2020). Specimens may be identified using the EPPO PM 7/129 Standard </w:t>
      </w:r>
      <w:r>
        <w:rPr>
          <w:rFonts w:ascii="Calibri" w:hAnsi="Calibri" w:eastAsia="Calibri" w:cs="Calibri"/>
          <w:i/>
          <w:iCs/>
          <w:color w:val="000000"/>
          <w:sz w:val="22"/>
          <w:szCs w:val="22"/>
        </w:rPr>
        <w:t xml:space="preserve">DNA barcoding as an identiﬁcation tool for a number of regulated pests</w:t>
      </w:r>
      <w:r>
        <w:rPr>
          <w:rFonts w:ascii="Calibri" w:hAnsi="Calibri" w:eastAsia="Calibri" w:cs="Calibri"/>
          <w:color w:val="000000"/>
          <w:sz w:val="22"/>
          <w:szCs w:val="22"/>
        </w:rPr>
        <w:t xml:space="preserve">, Appendix 1 on Barcoding of Arthropods (EPPO, 2016 – under revision). Referenced sequence material on the CO1 marker gene is accessible via EPPO-Q-bank.</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pheromone-baited traps was successfully applied in Campania (Italy) to assess the level of dispersion (Gonzales-Audino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is recommended in plantations with anticipated infestations.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dispersal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is ensured by adult flying to new host trees, generally within a range of 50–100 m from the emergence hole. The adult is not a very good flyer, and is not likely to spread more than 100 m. After emergence, the adult has to find a new host within a maximum of 5 days (Santoro, 1963). Long-distance transport of the pest is possible in particular by commercial trade of wood (particularly large trunks), or on wood packaging material accompanying other traded articles. In Italy, it is hypothesized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was introduced with a single consignment of roundwood of poplar with bark, imported from Argentina. The pest is very likely to be carried by recently felled wood.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could also be carried by plants for planting of its host trees, provided they were large enough to be attacked.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is mainly a pest of timber trees (especially poplar). It is a primary pest, as it attacks only live standing trees (Allegro, 1990). It does not attack declining trees or cut wood, and will only be present in them as a result of earlier primary attack. It drills the trunks and bores internal tunnels that weaken the trees, reducing yield (in wood volume) and causing breakage by wind, and even killing of trees which are highly stressed. The adult and larval galleries, by their presence and their dark fungal discoloration, disqualify the wood from the standards required by the plywood industry, thus dramatically lowering its value.</w:t>
      </w:r>
    </w:p>
    <w:p>
      <w:pPr>
        <w:widowControl w:val="on"/>
        <w:pBdr/>
        <w:spacing w:before="220" w:after="220" w:line="240" w:lineRule="auto"/>
        <w:ind w:left="0" w:right="0"/>
        <w:jc w:val="both"/>
      </w:pPr>
      <w:r>
        <w:rPr>
          <w:rFonts w:ascii="Calibri" w:hAnsi="Calibri" w:eastAsia="Calibri" w:cs="Calibri"/>
          <w:color w:val="000000"/>
          <w:sz w:val="22"/>
          <w:szCs w:val="22"/>
        </w:rPr>
        <w:t xml:space="preserve">Fruit trees are also attacked by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They are weakened by the galleries, produce less fruit, and become liable to breakage by wind (Carella &amp; Spigno, 2002). No significant environmental impacts have been documented, except some damage to trees planted as windbreaks.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detailed information available on losses in South America, but it is reported that some poplar producers have lost their high quality wood market and have been obliged to diversify their activity to maintain their income, or else have lost income because of trading a lower quality product. There is similarly no detailed information on losses in Italy, but it is anticipated that growers will suffer from the decline in quality of their product, in view of the high-quality standards required by the wood industry.</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w:t>
      </w:r>
      <w:r>
        <w:rPr>
          <w:rFonts w:ascii="Calibri" w:hAnsi="Calibri" w:eastAsia="Calibri" w:cs="Calibri"/>
          <w:i/>
          <w:iCs/>
          <w:color w:val="000000"/>
          <w:sz w:val="22"/>
          <w:szCs w:val="22"/>
        </w:rPr>
        <w:t xml:space="preserve">M. platypus</w:t>
      </w:r>
      <w:r>
        <w:rPr>
          <w:rFonts w:ascii="Calibri" w:hAnsi="Calibri" w:eastAsia="Calibri" w:cs="Calibri"/>
          <w:color w:val="000000"/>
          <w:sz w:val="22"/>
          <w:szCs w:val="22"/>
        </w:rPr>
        <w:t xml:space="preserve"> has not been reported outside its native range and Italy,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considered it to be a severe threat to ‘world poplar resources’, mainly because the beetle has a broad geographical distribution in South America and a broad host range in all temperate regions of the globe where it occurs.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is difficult to control, since most of its life cycle takes place within wood, and the adults, which are accessible to treatment during flight, are not very sensitive to insecticides. In Argentina, two approaches have been used. The first is early detection and destruction of infested trees (Santoro, 1967; Toscani, 1990), while the second is chemical control by injecting insecticides into the galleries or spraying trunks (Santoro, 1962, 1965b, 1967) during peak adult emergence in spring (Santoro, 1963). However, such chemical treatments are costly and potentially harmful to the environment and can only be carried out in high-value agricultural crops and in restricted areas. They are not advisable in woodlands.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 pheromones of the male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have been identified (González Audino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further development of traps was pursued. Gonzales-Audino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successfully caught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Eucalyptus</w:t>
      </w:r>
      <w:r>
        <w:rPr>
          <w:rFonts w:ascii="Calibri" w:hAnsi="Calibri" w:eastAsia="Calibri" w:cs="Calibri"/>
          <w:color w:val="000000"/>
          <w:sz w:val="22"/>
          <w:szCs w:val="22"/>
        </w:rPr>
        <w:t xml:space="preserve"> plantations (in which the pest was already suspected to be present) in Italy by the use of pheromone baited traps. Traps contained a (+)-sulcatol, sulcatone and 3-pentanol combination and were hung from trees with ropes at approximately 1.5 m above ground level. The traps caught a high proportion of females (92%), which confirmed its behaviour as a true sex pheromone. The same sex pheromones were successfully applied to disrupt and hence control mating behaviour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during trials conducted both in Argentina and Italy. In addition, it was further demonstrated, that these control measures could also reduce damage in hazelnut and poplar plantations (Funes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Though biological control would be a desirable strategy, no natural enemies of eggs or larvae of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are known at present. In conclusion, the use of sex-pheromone baited traps in mass trapping strategies or, at least, in monitoring population peaks could be a valuable help in the control of the pest.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fact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become established in Italy where it is already causing damage to poplar (reduction of wood quality) and to fruit and nut crops (</w:t>
      </w:r>
      <w:r>
        <w:rPr>
          <w:rFonts w:ascii="Calibri" w:hAnsi="Calibri" w:eastAsia="Calibri" w:cs="Calibri"/>
          <w:i/>
          <w:iCs/>
          <w:color w:val="000000"/>
          <w:sz w:val="22"/>
          <w:szCs w:val="22"/>
        </w:rPr>
        <w:t xml:space="preserve">Diospyros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shows that this pest presents a definite phytosanitary risk for the EPPO region. Indeed, tree mortality has been noted in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As it is likely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has been introduced without its natural enemies, it may thus have a greater economic impact in its introduced area than in its native range.</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up till now, the fact that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still has a limited distribution in Italy and that no further dispersal within the EPPO region has been documented, suggests a slow rate of natural dispersal. Although there is little likelihood of eradication, containment remains possible. </w:t>
      </w:r>
    </w:p>
    <w:p>
      <w:pPr>
        <w:widowControl w:val="on"/>
        <w:pBdr/>
        <w:spacing w:before="220" w:after="220" w:line="240" w:lineRule="auto"/>
        <w:ind w:left="0" w:right="0"/>
        <w:jc w:val="both"/>
      </w:pPr>
      <w:r>
        <w:rPr>
          <w:rFonts w:ascii="Calibri" w:hAnsi="Calibri" w:eastAsia="Calibri" w:cs="Calibri"/>
          <w:color w:val="000000"/>
          <w:sz w:val="22"/>
          <w:szCs w:val="22"/>
        </w:rPr>
        <w:t xml:space="preserve">The endangered area extends widely in the EPPO region, because of the presence of numerous host plants for this polyphagous pest, and because climatic conditions are suitable over many parts of the region. A CLIMEX study, though having a high degree of uncertainty, indicated that the Mediterranean coasts are most likely to be at risk, extending to Portugal. Considering that the species may have a lower degree day per generation requirement than expected, the endangered area could possibly be extended to Northern Italy (Po valley, where there is extensive production of poplar), coastal areas of Balkan and Black Sea countries (EPPO,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2007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was added to the EPPO A2 list and endangered EPPO member countries are thus recommended to regulate it as a quarantine pest. The main pathways for introduction are plants for planting of host plants with trunks of more than 15 cm diameter, round wood of host plants of more than 15 cm diameter, sawn wood and wood packaging material. Plants for planting should originate from a pest-free area or come from a pest-free place of production with a buffer zone of at least 200 m. Round wood or sawn wood should come from a pest-free area or pest-free place of production or have been treated by fumigation, heat treatment, kiln drying or chemical pressure impregnation (EPPO, 2007). Debarking of trunks does not eliminate the possibility that the pest may still be present, as </w:t>
      </w:r>
      <w:r>
        <w:rPr>
          <w:rFonts w:ascii="Calibri" w:hAnsi="Calibri" w:eastAsia="Calibri" w:cs="Calibri"/>
          <w:i/>
          <w:iCs/>
          <w:color w:val="000000"/>
          <w:sz w:val="22"/>
          <w:szCs w:val="22"/>
        </w:rPr>
        <w:t xml:space="preserve">M. mutatus</w:t>
      </w:r>
      <w:r>
        <w:rPr>
          <w:rFonts w:ascii="Calibri" w:hAnsi="Calibri" w:eastAsia="Calibri" w:cs="Calibri"/>
          <w:color w:val="000000"/>
          <w:sz w:val="22"/>
          <w:szCs w:val="22"/>
        </w:rPr>
        <w:t xml:space="preserve"> bores deep galleries. Wood packaging should comply with ISPM 15 (FAO, 2019).</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there are separate possibilities of introduction from South America, and from the infested area in Italy. In practice, the risk of further entry from South America is low, because there is practically no existing trade in host plants or wood from the countries concerned to the EPPO region. The risk of movement with wood packaging should be adequately covered by ISPM 15. Within the EPPO region, there is relatively little prospect of movement of the large plants for planting which would be capable of carrying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 Gonzalez P, Villaverde R, Battaglino N, Allegro G &amp; Humble L (2004) The threat of the ambrosia beetle, </w:t>
      </w:r>
      <w:r>
        <w:rPr>
          <w:rFonts w:ascii="Calibri" w:hAnsi="Calibri" w:eastAsia="Calibri" w:cs="Calibri"/>
          <w:i/>
          <w:iCs/>
          <w:color w:val="000000"/>
          <w:sz w:val="22"/>
          <w:szCs w:val="22"/>
        </w:rPr>
        <w:t xml:space="preserve">Platypus sulcatus (= mutatus) </w:t>
      </w:r>
      <w:r>
        <w:rPr>
          <w:rFonts w:ascii="Calibri" w:hAnsi="Calibri" w:eastAsia="Calibri" w:cs="Calibri"/>
          <w:color w:val="000000"/>
          <w:sz w:val="22"/>
          <w:szCs w:val="22"/>
        </w:rPr>
        <w:t xml:space="preserve">to world poplar resources. </w:t>
      </w:r>
      <w:r>
        <w:rPr>
          <w:rFonts w:ascii="Calibri" w:hAnsi="Calibri" w:eastAsia="Calibri" w:cs="Calibri"/>
          <w:i/>
          <w:iCs/>
          <w:color w:val="000000"/>
          <w:sz w:val="22"/>
          <w:szCs w:val="22"/>
        </w:rPr>
        <w:t xml:space="preserve">XXII FAO/IPC Session</w:t>
      </w:r>
      <w:r>
        <w:rPr>
          <w:rFonts w:ascii="Calibri" w:hAnsi="Calibri" w:eastAsia="Calibri" w:cs="Calibri"/>
          <w:color w:val="000000"/>
          <w:sz w:val="22"/>
          <w:szCs w:val="22"/>
        </w:rPr>
        <w:t xml:space="preserve">, Santiago (CL).</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Humble LM, Gonzalez P, Villaverde R &amp; Allegro G (2007) The threat of the ambrosia beetle </w:t>
      </w:r>
      <w:r>
        <w:rPr>
          <w:rFonts w:ascii="Calibri" w:hAnsi="Calibri" w:eastAsia="Calibri" w:cs="Calibri"/>
          <w:i/>
          <w:iCs/>
          <w:color w:val="000000"/>
          <w:sz w:val="22"/>
          <w:szCs w:val="22"/>
        </w:rPr>
        <w:t xml:space="preserve">Megaplatypus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w:t>
      </w:r>
      <w:r>
        <w:rPr>
          <w:rFonts w:ascii="Calibri" w:hAnsi="Calibri" w:eastAsia="Calibri" w:cs="Calibri"/>
          <w:color w:val="000000"/>
          <w:sz w:val="22"/>
          <w:szCs w:val="22"/>
        </w:rPr>
        <w:t xml:space="preserve"> (Chapuis) (= </w:t>
      </w:r>
      <w:r>
        <w:rPr>
          <w:rFonts w:ascii="Calibri" w:hAnsi="Calibri" w:eastAsia="Calibri" w:cs="Calibri"/>
          <w:i/>
          <w:iCs/>
          <w:color w:val="000000"/>
          <w:sz w:val="22"/>
          <w:szCs w:val="22"/>
        </w:rPr>
        <w:t xml:space="preserve">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w:t>
      </w:r>
      <w:r>
        <w:rPr>
          <w:rFonts w:ascii="Calibri" w:hAnsi="Calibri" w:eastAsia="Calibri" w:cs="Calibri"/>
          <w:color w:val="000000"/>
          <w:sz w:val="22"/>
          <w:szCs w:val="22"/>
        </w:rPr>
        <w:t xml:space="preserve"> Chapuis) to world poplar resources.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(4), 471-479.</w:t>
      </w:r>
    </w:p>
    <w:p>
      <w:pPr>
        <w:widowControl w:val="on"/>
        <w:pBdr/>
        <w:spacing w:before="220" w:after="220" w:line="240" w:lineRule="auto"/>
        <w:ind w:left="0" w:right="0"/>
        <w:jc w:val="left"/>
      </w:pPr>
      <w:r>
        <w:rPr>
          <w:rFonts w:ascii="Calibri" w:hAnsi="Calibri" w:eastAsia="Calibri" w:cs="Calibri"/>
          <w:color w:val="000000"/>
          <w:sz w:val="22"/>
          <w:szCs w:val="22"/>
        </w:rPr>
        <w:t xml:space="preserve">Allegro G (1990) [Animal pests of poplar and willow in Argentina.] </w:t>
      </w:r>
      <w:r>
        <w:rPr>
          <w:rFonts w:ascii="Calibri" w:hAnsi="Calibri" w:eastAsia="Calibri" w:cs="Calibri"/>
          <w:i/>
          <w:iCs/>
          <w:color w:val="000000"/>
          <w:sz w:val="22"/>
          <w:szCs w:val="22"/>
        </w:rPr>
        <w:t xml:space="preserve">Cellulosa e Carta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18-22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Allegro G, Griffo R (2008) I rischi di diffusione di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(13), 73-76.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w:t>
      </w:r>
      <w:r>
        <w:rPr>
          <w:rFonts w:ascii="Calibri" w:hAnsi="Calibri" w:eastAsia="Calibri" w:cs="Calibri"/>
          <w:i/>
          <w:iCs/>
          <w:color w:val="000000"/>
          <w:sz w:val="22"/>
          <w:szCs w:val="22"/>
        </w:rPr>
        <w:t xml:space="preserve">Megaplatypus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 </w:t>
      </w:r>
      <w:r>
        <w:rPr>
          <w:rFonts w:ascii="Calibri" w:hAnsi="Calibri" w:eastAsia="Calibri" w:cs="Calibri"/>
          <w:color w:val="000000"/>
          <w:sz w:val="22"/>
          <w:szCs w:val="22"/>
        </w:rPr>
        <w:t xml:space="preserve">Available online at </w:t>
      </w:r>
      <w:hyperlink r:id="rId27876a88b0a04d9a4" w:history="1">
        <w:r>
          <w:rPr>
            <w:rFonts w:ascii="Calibri" w:hAnsi="Calibri" w:eastAsia="Calibri" w:cs="Calibri"/>
            <w:color w:val="0000CC"/>
            <w:sz w:val="22"/>
            <w:szCs w:val="22"/>
            <w:u w:val="single"/>
          </w:rPr>
          <w:t xml:space="preserve">https://www.cabi.org/isc/datasheet/42293</w:t>
        </w:r>
      </w:hyperlink>
      <w:r>
        <w:rPr>
          <w:rFonts w:ascii="Calibri" w:hAnsi="Calibri" w:eastAsia="Calibri" w:cs="Calibri"/>
          <w:color w:val="000000"/>
          <w:sz w:val="22"/>
          <w:szCs w:val="22"/>
        </w:rPr>
        <w:t xml:space="preserve"> (accessed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Carella D &amp; Spigno P (2002) [</w:t>
      </w:r>
      <w:r>
        <w:rPr>
          <w:rFonts w:ascii="Calibri" w:hAnsi="Calibri" w:eastAsia="Calibri" w:cs="Calibri"/>
          <w:i/>
          <w:iCs/>
          <w:color w:val="000000"/>
          <w:sz w:val="22"/>
          <w:szCs w:val="22"/>
        </w:rPr>
        <w:t xml:space="preserve">Platypus mutatus </w:t>
      </w:r>
      <w:r>
        <w:rPr>
          <w:rFonts w:ascii="Calibri" w:hAnsi="Calibri" w:eastAsia="Calibri" w:cs="Calibri"/>
          <w:color w:val="000000"/>
          <w:sz w:val="22"/>
          <w:szCs w:val="22"/>
        </w:rPr>
        <w:t xml:space="preserve">passes from poplar to fruit trees.] </w:t>
      </w:r>
      <w:r>
        <w:rPr>
          <w:rFonts w:ascii="Calibri" w:hAnsi="Calibri" w:eastAsia="Calibri" w:cs="Calibri"/>
          <w:i/>
          <w:iCs/>
          <w:color w:val="000000"/>
          <w:sz w:val="22"/>
          <w:szCs w:val="22"/>
        </w:rPr>
        <w:t xml:space="preserve">Bollettino del Laboratorio di Entomologia Agraria, Filippo Silvestri </w:t>
      </w:r>
      <w:r>
        <w:rPr>
          <w:rFonts w:ascii="Calibri" w:hAnsi="Calibri" w:eastAsia="Calibri" w:cs="Calibri"/>
          <w:color w:val="000000"/>
          <w:sz w:val="22"/>
          <w:szCs w:val="22"/>
        </w:rPr>
        <w:t xml:space="preserve">58, 139-141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Ceriani-Nakamurakare E, Slodowicz M, Gonzalez-Audino P, Dolinko A &amp; Carmarán C (2016) Mycobiota associated with the ambrosia beetle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threat to poplar plantations. </w:t>
      </w:r>
      <w:r>
        <w:rPr>
          <w:rFonts w:ascii="Calibri" w:hAnsi="Calibri" w:eastAsia="Calibri" w:cs="Calibri"/>
          <w:i/>
          <w:iCs/>
          <w:color w:val="000000"/>
          <w:sz w:val="22"/>
          <w:szCs w:val="22"/>
        </w:rPr>
        <w:t xml:space="preserve">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(2), 191-200.</w:t>
      </w:r>
    </w:p>
    <w:p>
      <w:pPr>
        <w:widowControl w:val="on"/>
        <w:pBdr/>
        <w:spacing w:before="220" w:after="220" w:line="240" w:lineRule="auto"/>
        <w:ind w:left="0" w:right="0"/>
        <w:jc w:val="left"/>
      </w:pPr>
      <w:r>
        <w:rPr>
          <w:rFonts w:ascii="Calibri" w:hAnsi="Calibri" w:eastAsia="Calibri" w:cs="Calibri"/>
          <w:color w:val="000000"/>
          <w:sz w:val="22"/>
          <w:szCs w:val="22"/>
        </w:rPr>
        <w:t xml:space="preserve">Ceriani-Nakamurakare E, Ramos S, Robles CA, Novas M, DJonsiles MF, Gonzalez-Audino P &amp; Carmarán C (2018) Metagenomic approach of associated fungi with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(Coleoptera: Platypodinae). </w:t>
      </w:r>
      <w:r>
        <w:rPr>
          <w:rFonts w:ascii="Calibri" w:hAnsi="Calibri" w:eastAsia="Calibri" w:cs="Calibri"/>
          <w:i/>
          <w:iCs/>
          <w:color w:val="000000"/>
          <w:sz w:val="22"/>
          <w:szCs w:val="22"/>
        </w:rPr>
        <w:t xml:space="preserve">Silva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9940. </w:t>
      </w:r>
      <w:hyperlink r:id="rId21926a88b0a04db1b" w:history="1">
        <w:r>
          <w:rPr>
            <w:rFonts w:ascii="Calibri" w:hAnsi="Calibri" w:eastAsia="Calibri" w:cs="Calibri"/>
            <w:color w:val="0000CC"/>
            <w:sz w:val="22"/>
            <w:szCs w:val="22"/>
            <w:u w:val="single"/>
          </w:rPr>
          <w:t xml:space="preserve">https://doi.org/10.14214/sf.9940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Pest Risk Analysis record for </w:t>
      </w:r>
      <w:r>
        <w:rPr>
          <w:rFonts w:ascii="Calibri" w:hAnsi="Calibri" w:eastAsia="Calibri" w:cs="Calibri"/>
          <w:i/>
          <w:iCs/>
          <w:color w:val="000000"/>
          <w:sz w:val="22"/>
          <w:szCs w:val="22"/>
        </w:rPr>
        <w:t xml:space="preserve">Megaplatypus mutatus. </w:t>
      </w:r>
      <w:hyperlink r:id="rId34626a88b0a04db61" w:history="1">
        <w:r>
          <w:rPr>
            <w:rFonts w:ascii="Calibri" w:hAnsi="Calibri" w:eastAsia="Calibri" w:cs="Calibri"/>
            <w:color w:val="0000CC"/>
            <w:sz w:val="22"/>
            <w:szCs w:val="22"/>
            <w:u w:val="single"/>
          </w:rPr>
          <w:t xml:space="preserve">https://gd.eppo.int/taxon/PLTPMU/documents</w:t>
        </w:r>
      </w:hyperlink>
      <w:r>
        <w:rPr>
          <w:rFonts w:ascii="Calibri" w:hAnsi="Calibri" w:eastAsia="Calibri" w:cs="Calibri"/>
          <w:color w:val="000000"/>
          <w:sz w:val="22"/>
          <w:szCs w:val="22"/>
        </w:rPr>
        <w:t xml:space="preserve"> (accessed September 2020)</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Diagnostic protocols for regulated pests. PM 7/ 129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Etiennot AE, Giménez RA &amp; Bascialli ME (1998)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distribution of attack according to the diameter at chest height of </w:t>
      </w:r>
      <w:r>
        <w:rPr>
          <w:rFonts w:ascii="Calibri" w:hAnsi="Calibri" w:eastAsia="Calibri" w:cs="Calibri"/>
          <w:i/>
          <w:iCs/>
          <w:color w:val="000000"/>
          <w:sz w:val="22"/>
          <w:szCs w:val="22"/>
        </w:rPr>
        <w:t xml:space="preserve">Populus deltoides </w:t>
      </w:r>
      <w:r>
        <w:rPr>
          <w:rFonts w:ascii="Calibri" w:hAnsi="Calibri" w:eastAsia="Calibri" w:cs="Calibri"/>
          <w:color w:val="000000"/>
          <w:sz w:val="22"/>
          <w:szCs w:val="22"/>
        </w:rPr>
        <w:t xml:space="preserve">and efficiency evaluation of herbicides]. </w:t>
      </w:r>
      <w:r>
        <w:rPr>
          <w:rFonts w:ascii="Calibri" w:hAnsi="Calibri" w:eastAsia="Calibri" w:cs="Calibri"/>
          <w:i/>
          <w:iCs/>
          <w:color w:val="000000"/>
          <w:sz w:val="22"/>
          <w:szCs w:val="22"/>
        </w:rPr>
        <w:t xml:space="preserve">Primeiro Simposio Argentino-Canadiense de Protección Forestal</w:t>
      </w:r>
      <w:r>
        <w:rPr>
          <w:rFonts w:ascii="Calibri" w:hAnsi="Calibri" w:eastAsia="Calibri" w:cs="Calibri"/>
          <w:color w:val="000000"/>
          <w:sz w:val="22"/>
          <w:szCs w:val="22"/>
        </w:rPr>
        <w:t xml:space="preserve">. Buenos Aires (AR)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(2019) ISPM 15. Regulation of wood packaging material in international trade. FAO, Rome, 21 pp. </w:t>
      </w:r>
      <w:hyperlink r:id="rId65906a88b0a04dc8d" w:history="1">
        <w:r>
          <w:rPr>
            <w:rFonts w:ascii="Calibri" w:hAnsi="Calibri" w:eastAsia="Calibri" w:cs="Calibri"/>
            <w:color w:val="0000CC"/>
            <w:sz w:val="22"/>
            <w:szCs w:val="22"/>
            <w:u w:val="single"/>
          </w:rPr>
          <w:t xml:space="preserve">https://www.ippc.int/en/core-activities/standards-setting/ispms/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assessment of the need for a detailed Pest Risk Analysis for </w:t>
      </w:r>
      <w:r>
        <w:rPr>
          <w:rFonts w:ascii="Calibri" w:hAnsi="Calibri" w:eastAsia="Calibri" w:cs="Calibri"/>
          <w:i/>
          <w:iCs/>
          <w:color w:val="000000"/>
          <w:sz w:val="22"/>
          <w:szCs w:val="22"/>
        </w:rPr>
        <w:t xml:space="preserve">Megaplatypus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mutatus</w:t>
      </w:r>
      <w:r>
        <w:rPr>
          <w:rFonts w:ascii="Calibri" w:hAnsi="Calibri" w:eastAsia="Calibri" w:cs="Calibri"/>
          <w:color w:val="000000"/>
          <w:sz w:val="22"/>
          <w:szCs w:val="22"/>
        </w:rPr>
        <w:t xml:space="preserve">. Available online at </w:t>
      </w:r>
      <w:hyperlink r:id="rId20726a88b0a04dcfd" w:history="1">
        <w:r>
          <w:rPr>
            <w:rFonts w:ascii="Calibri" w:hAnsi="Calibri" w:eastAsia="Calibri" w:cs="Calibri"/>
            <w:color w:val="0000CC"/>
            <w:sz w:val="22"/>
            <w:szCs w:val="22"/>
            <w:u w:val="single"/>
          </w:rPr>
          <w:t xml:space="preserve">https://secure.fera.defra.gov.uk/phiw/riskRegister/downloadExternalPra.cfm?id=3834</w:t>
        </w:r>
      </w:hyperlink>
      <w:r>
        <w:rPr>
          <w:rFonts w:ascii="Calibri" w:hAnsi="Calibri" w:eastAsia="Calibri" w:cs="Calibri"/>
          <w:color w:val="000000"/>
          <w:sz w:val="22"/>
          <w:szCs w:val="22"/>
        </w:rPr>
        <w:t xml:space="preserve"> (accessed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Funes H, Griffo R, Zerba E, Gonzalez-Audino P (2011) Mating disruption of the ambrosia beetle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in poplar and hazelnut plantations using reservoir systems for pheromones.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(3), 226-234.</w:t>
      </w:r>
    </w:p>
    <w:p>
      <w:pPr>
        <w:widowControl w:val="on"/>
        <w:pBdr/>
        <w:spacing w:before="220" w:after="220" w:line="240" w:lineRule="auto"/>
        <w:ind w:left="0" w:right="0"/>
        <w:jc w:val="left"/>
      </w:pPr>
      <w:r>
        <w:rPr>
          <w:rFonts w:ascii="Calibri" w:hAnsi="Calibri" w:eastAsia="Calibri" w:cs="Calibri"/>
          <w:color w:val="000000"/>
          <w:sz w:val="22"/>
          <w:szCs w:val="22"/>
        </w:rPr>
        <w:t xml:space="preserve">Giménez RA &amp; Etiennot AE (2002) [Short note: chemical control of </w:t>
      </w:r>
      <w:r>
        <w:rPr>
          <w:rFonts w:ascii="Calibri" w:hAnsi="Calibri" w:eastAsia="Calibri" w:cs="Calibri"/>
          <w:i/>
          <w:iCs/>
          <w:color w:val="000000"/>
          <w:sz w:val="22"/>
          <w:szCs w:val="22"/>
        </w:rPr>
        <w:t xml:space="preserve">Platypus sulcatus </w:t>
      </w:r>
      <w:r>
        <w:rPr>
          <w:rFonts w:ascii="Calibri" w:hAnsi="Calibri" w:eastAsia="Calibri" w:cs="Calibri"/>
          <w:color w:val="000000"/>
          <w:sz w:val="22"/>
          <w:szCs w:val="22"/>
        </w:rPr>
        <w:t xml:space="preserve">on poplar.] </w:t>
      </w:r>
      <w:r>
        <w:rPr>
          <w:rFonts w:ascii="Calibri" w:hAnsi="Calibri" w:eastAsia="Calibri" w:cs="Calibri"/>
          <w:i/>
          <w:iCs/>
          <w:color w:val="000000"/>
          <w:sz w:val="22"/>
          <w:szCs w:val="22"/>
        </w:rPr>
        <w:t xml:space="preserve">Investigaciones Agrarias: Sistemas y Recursos Forestales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227-232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Giménez RA &amp; Etiennot AE (2003) Host range of </w:t>
      </w:r>
      <w:r>
        <w:rPr>
          <w:rFonts w:ascii="Calibri" w:hAnsi="Calibri" w:eastAsia="Calibri" w:cs="Calibri"/>
          <w:i/>
          <w:iCs/>
          <w:color w:val="000000"/>
          <w:sz w:val="22"/>
          <w:szCs w:val="22"/>
        </w:rPr>
        <w:t xml:space="preserve">Platypus mutatus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Entomotropica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89-94.</w:t>
      </w:r>
    </w:p>
    <w:p>
      <w:pPr>
        <w:widowControl w:val="on"/>
        <w:pBdr/>
        <w:spacing w:before="220" w:after="220" w:line="240" w:lineRule="auto"/>
        <w:ind w:left="0" w:right="0"/>
        <w:jc w:val="left"/>
      </w:pPr>
      <w:r>
        <w:rPr>
          <w:rFonts w:ascii="Calibri" w:hAnsi="Calibri" w:eastAsia="Calibri" w:cs="Calibri"/>
          <w:color w:val="000000"/>
          <w:sz w:val="22"/>
          <w:szCs w:val="22"/>
        </w:rPr>
        <w:t xml:space="preserve">Giménez RA, Etiennot AE, Bascialli ME &amp; Toscani H (1995) [Efficacy of various insecticides in the control of </w:t>
      </w:r>
      <w:r>
        <w:rPr>
          <w:rFonts w:ascii="Calibri" w:hAnsi="Calibri" w:eastAsia="Calibri" w:cs="Calibri"/>
          <w:i/>
          <w:iCs/>
          <w:color w:val="000000"/>
          <w:sz w:val="22"/>
          <w:szCs w:val="22"/>
        </w:rPr>
        <w:t xml:space="preserve">Platypus sulcatus </w:t>
      </w:r>
      <w:r>
        <w:rPr>
          <w:rFonts w:ascii="Calibri" w:hAnsi="Calibri" w:eastAsia="Calibri" w:cs="Calibri"/>
          <w:color w:val="000000"/>
          <w:sz w:val="22"/>
          <w:szCs w:val="22"/>
        </w:rPr>
        <w:t xml:space="preserve">en the Paraná Delta.] </w:t>
      </w:r>
      <w:r>
        <w:rPr>
          <w:rFonts w:ascii="Calibri" w:hAnsi="Calibri" w:eastAsia="Calibri" w:cs="Calibri"/>
          <w:i/>
          <w:iCs/>
          <w:color w:val="000000"/>
          <w:sz w:val="22"/>
          <w:szCs w:val="22"/>
        </w:rPr>
        <w:t xml:space="preserve">IX Jornadas Fitosanitarias Argentinas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Mendoza </w:t>
      </w:r>
      <w:r>
        <w:rPr>
          <w:rFonts w:ascii="Calibri" w:hAnsi="Calibri" w:eastAsia="Calibri" w:cs="Calibri"/>
          <w:color w:val="000000"/>
          <w:sz w:val="22"/>
          <w:szCs w:val="22"/>
        </w:rPr>
        <w:t xml:space="preserve">(in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Audino P, Villaverde R, Alfaro R &amp; Zerba E (2005) Identification of volatile emissions from </w:t>
      </w:r>
      <w:r>
        <w:rPr>
          <w:rFonts w:ascii="Calibri" w:hAnsi="Calibri" w:eastAsia="Calibri" w:cs="Calibri"/>
          <w:i/>
          <w:iCs/>
          <w:color w:val="000000"/>
          <w:sz w:val="22"/>
          <w:szCs w:val="22"/>
        </w:rPr>
        <w:t xml:space="preserve">Platypus sulcatus </w:t>
      </w:r>
      <w:r>
        <w:rPr>
          <w:rFonts w:ascii="Calibri" w:hAnsi="Calibri" w:eastAsia="Calibri" w:cs="Calibri"/>
          <w:color w:val="000000"/>
          <w:sz w:val="22"/>
          <w:szCs w:val="22"/>
        </w:rPr>
        <w:t xml:space="preserve">and their pheromonal activity.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1506-1509.</w:t>
      </w:r>
    </w:p>
    <w:p>
      <w:pPr>
        <w:widowControl w:val="on"/>
        <w:pBdr/>
        <w:spacing w:before="220" w:after="220" w:line="240" w:lineRule="auto"/>
        <w:ind w:left="0" w:right="0"/>
        <w:jc w:val="left"/>
      </w:pPr>
      <w:r>
        <w:rPr>
          <w:rFonts w:ascii="Calibri" w:hAnsi="Calibri" w:eastAsia="Calibri" w:cs="Calibri"/>
          <w:color w:val="000000"/>
          <w:sz w:val="22"/>
          <w:szCs w:val="22"/>
        </w:rPr>
        <w:t xml:space="preserve">Gonzalez-Audino P, Griffo R, Gatti P, Allegro G, &amp; Zerba E (2013) Pheromone detection of the introduced forest pest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Platypus mutatus</w:t>
      </w:r>
      <w:r>
        <w:rPr>
          <w:rFonts w:ascii="Calibri" w:hAnsi="Calibri" w:eastAsia="Calibri" w:cs="Calibri"/>
          <w:color w:val="000000"/>
          <w:sz w:val="22"/>
          <w:szCs w:val="22"/>
        </w:rPr>
        <w:t xml:space="preserve">) (Chapuis) (Platypodinae, Curculionidae) in Italy. </w:t>
      </w:r>
      <w:r>
        <w:rPr>
          <w:rFonts w:ascii="Calibri" w:hAnsi="Calibri" w:eastAsia="Calibri" w:cs="Calibri"/>
          <w:i/>
          <w:iCs/>
          <w:color w:val="000000"/>
          <w:sz w:val="22"/>
          <w:szCs w:val="22"/>
        </w:rPr>
        <w:t xml:space="preserve">Agroforestry 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(1), 109-115.</w:t>
      </w:r>
    </w:p>
    <w:p>
      <w:pPr>
        <w:widowControl w:val="on"/>
        <w:pBdr/>
        <w:spacing w:before="220" w:after="220" w:line="240" w:lineRule="auto"/>
        <w:ind w:left="0" w:right="0"/>
        <w:jc w:val="left"/>
      </w:pPr>
      <w:r>
        <w:rPr>
          <w:rFonts w:ascii="Calibri" w:hAnsi="Calibri" w:eastAsia="Calibri" w:cs="Calibri"/>
          <w:color w:val="000000"/>
          <w:sz w:val="22"/>
          <w:szCs w:val="22"/>
        </w:rPr>
        <w:t xml:space="preserve">Griffo R, Pesapane G, Funes H, Gonzalez-Audino P, Germinara GS (2012) Diffusione e controllo di platipo in Campania.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66-67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Guerrero RT (1966) [A new fungus anamorph associated with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de Investigaciones Agropecuarias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III, 97-103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(1965a) [Description of the five larval instars and the pupa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IDIA Suplemento Forestal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49-58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(1965b) [Three trials on preventive chemical control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IDIA Suplemento Forestal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59-64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(1962) [Basis for the control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de Investigaciones Forestales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17-23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(1963) [Biology and ecology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Revista de Investigaciones Forestales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47-79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Santoro FH (1967) [New results on the control of </w:t>
      </w:r>
      <w:r>
        <w:rPr>
          <w:rFonts w:ascii="Calibri" w:hAnsi="Calibri" w:eastAsia="Calibri" w:cs="Calibri"/>
          <w:i/>
          <w:iCs/>
          <w:color w:val="000000"/>
          <w:sz w:val="22"/>
          <w:szCs w:val="22"/>
        </w:rPr>
        <w:t xml:space="preserve">Platypus sulcatus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IDIA Suplemento Forestal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70-74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Slodowicz M, Ceriani‐Nakamurakare E, Carmarán C &amp; González‐Audino P (2019) Sex pheromone component produced by microbial associates of the forest pest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(3), 231-240.</w:t>
      </w:r>
    </w:p>
    <w:p>
      <w:pPr>
        <w:widowControl w:val="on"/>
        <w:pBdr/>
        <w:spacing w:before="220" w:after="220" w:line="240" w:lineRule="auto"/>
        <w:ind w:left="0" w:right="0"/>
        <w:jc w:val="left"/>
      </w:pPr>
      <w:r>
        <w:rPr>
          <w:rFonts w:ascii="Calibri" w:hAnsi="Calibri" w:eastAsia="Calibri" w:cs="Calibri"/>
          <w:color w:val="000000"/>
          <w:sz w:val="22"/>
          <w:szCs w:val="22"/>
        </w:rPr>
        <w:t xml:space="preserve">Toscani HA (1990) Manual para la protección de los cultivos forestales en la región del Delta del Paraná. 35ª Reunión Comisión Internacional del Alamo. Informe Comité Ejecutivo. Buenos Aires, Argentina, 17 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Tremblay E, Espinosa B, Mancini D, Caprio G (2000) Un coleottero proveniente dal Sudamerica minaccia i pioppi.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89-90 (in Italian).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Björn Hoppe, Laboratory on Forest quarantine pests at Julius Kühn-Institut in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EPPO datasheets on pests recommended for regulation. Available online. </w:t>
      </w:r>
      <w:hyperlink r:id="rId99886a88b0a04e4c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2009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w:t>
      </w:r>
      <w:r>
        <w:rPr>
          <w:rFonts w:ascii="Calibri" w:hAnsi="Calibri" w:eastAsia="Calibri" w:cs="Calibri"/>
          <w:i/>
          <w:iCs/>
          <w:color w:val="000000"/>
          <w:sz w:val="22"/>
          <w:szCs w:val="22"/>
        </w:rPr>
        <w:t xml:space="preserve">Megaplatypus mutatus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55-58. </w:t>
      </w:r>
      <w:hyperlink r:id="rId69916a88b0a04e591" w:history="1">
        <w:r>
          <w:rPr>
            <w:rFonts w:ascii="Calibri" w:hAnsi="Calibri" w:eastAsia="Calibri" w:cs="Calibri"/>
            <w:color w:val="0000CC"/>
            <w:sz w:val="22"/>
            <w:szCs w:val="22"/>
            <w:u w:val="single"/>
          </w:rPr>
          <w:t xml:space="preserve">https://doi.org/10.1111/j.1365-2338.2009.02237.x</w:t>
        </w:r>
      </w:hyperlink>
    </w:p>
    <w:p>
      <w:r>
        <w:drawing>
          <wp:inline distT="0" distB="0" distL="0" distR="0">
            <wp:extent cx="1800000" cy="604800"/>
            <wp:docPr id="5183995" name="name31476a88b0a04e61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236a88b0a04e61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256027">
    <w:multiLevelType w:val="hybridMultilevel"/>
    <w:lvl w:ilvl="0" w:tplc="53743658">
      <w:start w:val="1"/>
      <w:numFmt w:val="decimal"/>
      <w:lvlText w:val="%1."/>
      <w:lvlJc w:val="left"/>
      <w:pPr>
        <w:ind w:left="720" w:hanging="360"/>
      </w:pPr>
    </w:lvl>
    <w:lvl w:ilvl="1" w:tplc="53743658" w:tentative="1">
      <w:start w:val="1"/>
      <w:numFmt w:val="lowerLetter"/>
      <w:lvlText w:val="%2."/>
      <w:lvlJc w:val="left"/>
      <w:pPr>
        <w:ind w:left="1440" w:hanging="360"/>
      </w:pPr>
    </w:lvl>
    <w:lvl w:ilvl="2" w:tplc="53743658" w:tentative="1">
      <w:start w:val="1"/>
      <w:numFmt w:val="lowerRoman"/>
      <w:lvlText w:val="%3."/>
      <w:lvlJc w:val="right"/>
      <w:pPr>
        <w:ind w:left="2160" w:hanging="180"/>
      </w:pPr>
    </w:lvl>
    <w:lvl w:ilvl="3" w:tplc="53743658" w:tentative="1">
      <w:start w:val="1"/>
      <w:numFmt w:val="decimal"/>
      <w:lvlText w:val="%4."/>
      <w:lvlJc w:val="left"/>
      <w:pPr>
        <w:ind w:left="2880" w:hanging="360"/>
      </w:pPr>
    </w:lvl>
    <w:lvl w:ilvl="4" w:tplc="53743658" w:tentative="1">
      <w:start w:val="1"/>
      <w:numFmt w:val="lowerLetter"/>
      <w:lvlText w:val="%5."/>
      <w:lvlJc w:val="left"/>
      <w:pPr>
        <w:ind w:left="3600" w:hanging="360"/>
      </w:pPr>
    </w:lvl>
    <w:lvl w:ilvl="5" w:tplc="53743658" w:tentative="1">
      <w:start w:val="1"/>
      <w:numFmt w:val="lowerRoman"/>
      <w:lvlText w:val="%6."/>
      <w:lvlJc w:val="right"/>
      <w:pPr>
        <w:ind w:left="4320" w:hanging="180"/>
      </w:pPr>
    </w:lvl>
    <w:lvl w:ilvl="6" w:tplc="53743658" w:tentative="1">
      <w:start w:val="1"/>
      <w:numFmt w:val="decimal"/>
      <w:lvlText w:val="%7."/>
      <w:lvlJc w:val="left"/>
      <w:pPr>
        <w:ind w:left="5040" w:hanging="360"/>
      </w:pPr>
    </w:lvl>
    <w:lvl w:ilvl="7" w:tplc="53743658" w:tentative="1">
      <w:start w:val="1"/>
      <w:numFmt w:val="lowerLetter"/>
      <w:lvlText w:val="%8."/>
      <w:lvlJc w:val="left"/>
      <w:pPr>
        <w:ind w:left="5760" w:hanging="360"/>
      </w:pPr>
    </w:lvl>
    <w:lvl w:ilvl="8" w:tplc="53743658" w:tentative="1">
      <w:start w:val="1"/>
      <w:numFmt w:val="lowerRoman"/>
      <w:lvlText w:val="%9."/>
      <w:lvlJc w:val="right"/>
      <w:pPr>
        <w:ind w:left="6480" w:hanging="180"/>
      </w:pPr>
    </w:lvl>
  </w:abstractNum>
  <w:abstractNum w:abstractNumId="36256026">
    <w:multiLevelType w:val="hybridMultilevel"/>
    <w:lvl w:ilvl="0" w:tplc="333935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256026">
    <w:abstractNumId w:val="36256026"/>
  </w:num>
  <w:num w:numId="36256027">
    <w:abstractNumId w:val="362560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0180153" Type="http://schemas.microsoft.com/office/2011/relationships/commentsExtended" Target="commentsExtended.xml"/><Relationship Id="rId758678761" Type="http://schemas.microsoft.com/office/2011/relationships/people" Target="people.xml"/><Relationship Id="rId35596a88b0a04a9d2" Type="http://schemas.openxmlformats.org/officeDocument/2006/relationships/hyperlink" Target="https://gd.eppo.int/taxon/PLTPMU/" TargetMode="External"/><Relationship Id="rId21276a88b0a04aa15" Type="http://schemas.openxmlformats.org/officeDocument/2006/relationships/hyperlink" Target="https://gd.eppo.int/taxon/PLTPMU/categorization" TargetMode="External"/><Relationship Id="rId46536a88b0a04ac03" Type="http://schemas.openxmlformats.org/officeDocument/2006/relationships/hyperlink" Target="https://gd.eppo.int/taxon/PLTPMU/photos" TargetMode="External"/><Relationship Id="rId27876a88b0a04d9a4" Type="http://schemas.openxmlformats.org/officeDocument/2006/relationships/hyperlink" Target="https://www.cabi.org/isc/datasheet/42293" TargetMode="External"/><Relationship Id="rId21926a88b0a04db1b" Type="http://schemas.openxmlformats.org/officeDocument/2006/relationships/hyperlink" Target="https://doi.org/10.14214/sf.9940" TargetMode="External"/><Relationship Id="rId34626a88b0a04db61" Type="http://schemas.openxmlformats.org/officeDocument/2006/relationships/hyperlink" Target="https://gd.eppo.int/taxon/PLTPMU/documents" TargetMode="External"/><Relationship Id="rId65906a88b0a04dc8d" Type="http://schemas.openxmlformats.org/officeDocument/2006/relationships/hyperlink" Target="https://www.ippc.int/en/core-activities/standards-setting/ispms/" TargetMode="External"/><Relationship Id="rId20726a88b0a04dcfd" Type="http://schemas.openxmlformats.org/officeDocument/2006/relationships/hyperlink" Target="https://secure.fera.defra.gov.uk/phiw/riskRegister/downloadExternalPra.cfm?id=3834" TargetMode="External"/><Relationship Id="rId99886a88b0a04e4c8" Type="http://schemas.openxmlformats.org/officeDocument/2006/relationships/hyperlink" Target="https://gd.eppo.int" TargetMode="External"/><Relationship Id="rId69916a88b0a04e591" Type="http://schemas.openxmlformats.org/officeDocument/2006/relationships/hyperlink" Target="https://doi.org/10.1111/j.1365-2338.2009.02237.x" TargetMode="External"/><Relationship Id="rId92066a88b0a04aad1" Type="http://schemas.openxmlformats.org/officeDocument/2006/relationships/image" Target="media/imgrId92066a88b0a04aad1.jpg"/><Relationship Id="rId44476a88b0a04c9a5" Type="http://schemas.openxmlformats.org/officeDocument/2006/relationships/image" Target="media/imgrId44476a88b0a04c9a5.jpg"/><Relationship Id="rId16236a88b0a04e612" Type="http://schemas.openxmlformats.org/officeDocument/2006/relationships/image" Target="media/imgrId16236a88b0a04e61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