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Pityophthorus juglandis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220" w:after="220" w:line="240" w:lineRule="auto"/>
        <w:ind w:left="0" w:right="0"/>
        <w:jc w:val="left"/>
      </w:pPr>
      <w:r>
        <w:rPr>
          <w:rFonts w:ascii="Calibri" w:hAnsi="Calibri" w:eastAsia="Calibri" w:cs="Calibri"/>
          <w:b/>
          <w:bCs/>
          <w:i/>
          <w:iCs/>
          <w:color w:val="000000"/>
          <w:sz w:val="22"/>
          <w:szCs w:val="22"/>
        </w:rPr>
        <w:br/>
        <w:t xml:space="preserve">Pityophthorus juglandis</w:t>
      </w:r>
      <w:r>
        <w:rPr>
          <w:rFonts w:ascii="Calibri" w:hAnsi="Calibri" w:eastAsia="Calibri" w:cs="Calibri"/>
          <w:color w:val="000000"/>
          <w:sz w:val="22"/>
          <w:szCs w:val="22"/>
        </w:rPr>
        <w:t xml:space="preserve"> and its associated fungus </w:t>
      </w:r>
      <w:hyperlink r:id="rId9851693c948b205eb" w:history="1">
        <w:r>
          <w:rPr>
            <w:rFonts w:ascii="Calibri" w:hAnsi="Calibri" w:eastAsia="Calibri" w:cs="Calibri"/>
            <w:b/>
            <w:bCs/>
            <w:i/>
            <w:iCs/>
            <w:color w:val="0000CC"/>
            <w:sz w:val="22"/>
            <w:szCs w:val="22"/>
            <w:u w:val="single"/>
          </w:rPr>
          <w:t xml:space="preserve">Geosmithia morbida</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juglandis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walnut twig beetle</w:t>
            </w:r>
            <w:hyperlink r:id="rId5649693c948b207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7969693c948b207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PITOJU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262444" name="name1196693c948b210e7" descr="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6.jpg"/>
                          <pic:cNvPicPr/>
                        </pic:nvPicPr>
                        <pic:blipFill>
                          <a:blip r:embed="rId2150693c948b210e4" cstate="print"/>
                          <a:stretch>
                            <a:fillRect/>
                          </a:stretch>
                        </pic:blipFill>
                        <pic:spPr>
                          <a:xfrm>
                            <a:off x="0" y="0"/>
                            <a:ext cx="2160000" cy="1281600"/>
                          </a:xfrm>
                          <a:prstGeom prst="rect">
                            <a:avLst/>
                          </a:prstGeom>
                          <a:ln w="0">
                            <a:noFill/>
                          </a:ln>
                        </pic:spPr>
                      </pic:pic>
                    </a:graphicData>
                  </a:graphic>
                </wp:inline>
              </w:drawing>
            </w:r>
            <w:hyperlink r:id="rId6038693c948b2123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family Scolytidae was recently moved as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Pityophthorus</w:t>
      </w:r>
      <w:r>
        <w:rPr>
          <w:rFonts w:ascii="Calibri" w:hAnsi="Calibri" w:eastAsia="Calibri" w:cs="Calibri"/>
          <w:i/>
          <w:iCs/>
          <w:color w:val="000000"/>
          <w:sz w:val="22"/>
          <w:szCs w:val="22"/>
        </w:rPr>
        <w:t xml:space="preserve"> juglandis</w:t>
      </w:r>
      <w:r>
        <w:rPr>
          <w:rFonts w:ascii="Calibri" w:hAnsi="Calibri" w:eastAsia="Calibri" w:cs="Calibri"/>
          <w:color w:val="000000"/>
          <w:sz w:val="22"/>
          <w:szCs w:val="22"/>
        </w:rPr>
        <w:t xml:space="preserve"> infests only walnut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wingnut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a strong preference for black walnut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 in Arizona and New Mexico, the native areas of the beetle, where it was considered as a minor pest. Observations carried out in these States suggest that damage from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restricted primarily to shaded or weakened branches and twigs in the upper crown. The expansion of the beetle’s host range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growing in plantations or in urban landscapes in the Western USA appears to have taken place during the last 20 years (EPPO, 2015). On these new host species, the beetle activity is more aggressive than on native Western American walnuts (e.g.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native to Northern Mexico and the South-Western United States (California, Arizona, New Mexico). Since early 1990s, the species began spreading in many US states via the timber trade and wood movement across countries. The walnut twig beetle was reported for the first time in Europe in 2013 in North-Eastern Italy (Veneto Region), on both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J. regia </w:t>
      </w:r>
      <w:r>
        <w:rPr>
          <w:rFonts w:ascii="Calibri" w:hAnsi="Calibri" w:eastAsia="Calibri" w:cs="Calibri"/>
          <w:color w:val="000000"/>
          <w:sz w:val="22"/>
          <w:szCs w:val="22"/>
        </w:rPr>
        <w:t xml:space="preserve">trees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the species quickly spread in most of the central-northern regions, such as Veneto, Friuli Venezia Giulia, Lombardy, Piedmont, Emilia Romagna and Tuscany.</w:t>
      </w:r>
    </w:p>
    <w:p>
      <w:r>
        <w:drawing>
          <wp:inline distT="0" distB="0" distL="0" distR="0">
            <wp:extent cx="6120000" cy="3067200"/>
            <wp:docPr id="86513493" name="name5466693c948b2281b" descr="PITO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OJU_distribution_map.jpg"/>
                    <pic:cNvPicPr/>
                  </pic:nvPicPr>
                  <pic:blipFill>
                    <a:blip r:embed="rId8052693c948b228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spring, when the mean air temperature reaches about 18°C, adults begin to fly and colonize rough areas of bark at the base of twigs, but they can also infest the underside of large branches and the warmer side of the trunk (exposed to sun). Mass attacks are mediated by aggregation pheromones. Males colonize the host plant first, boring a nuptial chamber in the phloem of trees that recently died or stressed trees. Males produce a pheromone, and observations showed that this attracts from 2-8 females (usually 2 to 3), and mating occurs. Mated females dig short transverse (across the wood grain) oviposition galleries and then lay small, white eggs in niches along both sides of the egg gallery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emerge from eggs and dig longitudinal (along the wood grain) larval tunnels feeding on the phloem. Mature larvae pupate in a pupal chamber enlarged at the end of the larval gallery; new teneral adults emerged from pupae will feed in the phloem to reach sexual maturation before leaving the host tree. Adults will emerge from host via small round emergence holes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development usually takes 6– 8 weeks. In California,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2 to 3 partially overlapping generations per year; in Northern Italy two generations per year are reported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walnut twig beetle can be observed flying from mid-April to late October, whereas winter is usually spent by the adults under the bark of host trees infested in late summer by the second generation or in cavities excavated in the bark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 the crown</w:t>
      </w:r>
      <w:r>
        <w:rPr>
          <w:rFonts w:ascii="Calibri" w:hAnsi="Calibri" w:eastAsia="Calibri" w:cs="Calibri"/>
          <w:color w:val="000000"/>
          <w:sz w:val="22"/>
          <w:szCs w:val="22"/>
        </w:rPr>
        <w:t xml:space="preserve">. The primary infestation symptoms of the affected trees are crown yellowing, leaf wilting, followed by progressive branch dieback and crown thinning, quickly expanding over the whole crown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the upper branches die, the crown of the tree also dies and the trees will often re-sprout branches from the trunk. Infested trees will die within 3-4 years of the onset of 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Under the bark</w:t>
      </w:r>
      <w:r>
        <w:rPr>
          <w:rFonts w:ascii="Calibri" w:hAnsi="Calibri" w:eastAsia="Calibri" w:cs="Calibri"/>
          <w:color w:val="000000"/>
          <w:sz w:val="22"/>
          <w:szCs w:val="22"/>
        </w:rPr>
        <w:t xml:space="preserve">. The mating system is composed of 2 - 8 short and thin (1 mm wide) transverse egg galleries, radiating from the nuptial chamber. Egg galleries are different lengths, with 2 galleries frequently longer (approximately 2 - 3 cm in length) than the others and forming an apparent transverse biramous system. Larval galleries are very thin, long, numerous, regular, closely spaced (relative to each other) and perpendicular to egg galleries. Egg niches occur in a very high numbers and are distributed very close together. The whole mating system develops under the bark without engraving the wood surface. Cambial brown discoloration occurs after intensive bark colonization (Faccoli,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branches</w:t>
      </w:r>
      <w:r>
        <w:rPr>
          <w:rFonts w:ascii="Calibri" w:hAnsi="Calibri" w:eastAsia="Calibri" w:cs="Calibri"/>
          <w:color w:val="000000"/>
          <w:sz w:val="22"/>
          <w:szCs w:val="22"/>
        </w:rPr>
        <w:t xml:space="preserve">. At the beginning of the infestation, even when leaf wilting is present, branches with numerous beetle galleries often show no outward appearance of bark damage, except for the small beetle entrance holes, making detection of the colonisation difficult. Over time, a number of small and circular wet dark cankers appear on the bark near to or around the penetration holes due to the infection of the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associated with the walnut twig beetle. The cankers expand becoming more evident and showing grey to brown discoloration of both phloem and outer bark (thousand cankers disease). In the advanced stages of decline, beetle galleries and associated cankers occur every 2 to 5 cm in the bark, and the cankers coalesce and girdle twigs and branches.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walnut twig beetle is a minute bark beetle species 1.5–1.9 mm long, with adult males slightly larger than females. This species is distinguished by having four to six concentric rows of pronotal asperities, and by the dull declivity surface.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Larvae are 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Pupae are 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Teneral adults are yellowish-brown and soft before they darken to a reddish-brown and their elytra harden. Mature adults are very small, 1.5–1.9 mm long, reddish-brown, about three times as long as wide, with, characteristically, 4–6 concentric rows of asperities on the anterior slope of the pronotum; each row is usually broken near the median line of the pronotum. Males similar to females except for frons very broad, strongly concave, more coarsely punctured, vestiture short, less abundant and inconspicuous; males slightly larger than females (Wood,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are growing close to such facilities. Moreover, extensive surveys should also be conducted in the regions where the pest has been already found. The survey can be based on the three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Interception of adults using pheromone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composed of 3-methyl-2-buten-1-ol is commercially available to bait multi-funnel black traps set-up in the areas at most risk of introduction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Traps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interception and early-detection should be in place from the beginning of June until the end of September, which represents the period of the highest flight activity of the adults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also been trapped by yellow sticky panels on walnut trees and by sticky clear panels stapled to walnut trunks, but captures were very low and incidental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Attempts to increase captures using walnut wood, pityol and other compounds useful in trapping some other walnut bark beetles did not increase capture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Other types of traps may be used in addition to the specific pheromone traps (e.g. stickycoated or barrier-type traps), but they are neither easy to use nor convenient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in walnut plantations growing close to the potential points of entry. The presence of symptoms of infestation (such as canopy yellowing, leaf wilting, twig and branch dieback, occurrence on the bark of the branches of a large number of small circular entrance holes surrounded by small brown bark cankers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should be looked for on the walnut trees. Detection of infestation symptoms is very difficult in the early stages of the infestation, and surveys need to be performed during the vegetative season, looking at the upper part of the canopy which may show yellowing and flagging of leaves or abnormal thinning and dieback of the canopy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symptoms are not specific to this pest but they are important features for a possible early-detection.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Careful inspections of potentially infested material and the most relevant walnut commodities (i.e. round wood, firewood, bark, plants for planting) should be carried out at points of entry into the EPPO region to prevent or reduce further introductions and dispersal. Bark branches and logs may be inspected looking for numerous small (less than 1 mm diameter) and circular entrance holes. Roughly circular cankers that develop around the walnut twig beetle galleries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Beetle galleries and wood cankers often show no outward appearance of bark damage, except for the beetle entrance holes, making detection of infestation symptoms difficult (Newton and Fowler,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spp. from the USA, Mexico and Italy are the main pathways for movement of walnut twig beetle across countries. Results show that kiln-dried wood and off-cuts (slabs) are however unsuitable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reproduction, and that the risk of kiln-dried walnut bark becoming colonized by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movement of dried commercial wood products is very low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reported to be often found on branches with diameters as small as 1 cm, the movement of young nursery plants has been considered as a possible pathway. Unlike many other species of “twig” beetles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spp.), walnut twig beetle colonizes the largest branches and main stem of large diameter trees in advanced stages of decline. Thus, it is never solely a twig-infesting beetle, even in its putative native host and distribution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in Arizona and New Mexico), where it also colonizes the larger dimensional parts of trees. Moreover, when infesting twigs and small branches, they are those occurring on the upper part of the crown of large trees. Colonization of small plants for planting has been never clearly demonstrated. There have been no reports of walnut twig beetle infesting nursery stock (Newton and Fowler, 2009). No more recent publication on this has been found.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In the literature, laboratory studies carried out using flight mills found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can fly actively over a mean distance of 372 m per flight, with a maximum flight distance of 3.6 km. During the 24 h trial period, beetles flew on average for 34 min. Male and female flight capacities were similar. These results suggest that without anthropogenic transport, the capacity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for active spread is limited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passive flight with wind-aided dispersal may allow the adults to cover longer distances. In North Italy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believed to spread naturally on average by about 60 km per year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finding of both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in Italy clearly shows that introduction pathways of walnut twig beetle and thousand cankers disease into the EPPO region exist.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walnut twig beetle - thousand cankers disease association has been responsible for widespread mortality of many walnut species in the USA (Randolph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 both the walnut twig beetle and thousand cankers disease have spread from south-western (Cranshaw, 2011) to north-eastern states and the east coast via the national movement of infested timber (Newton and Fowler, 2009;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presence of the walnut twig beetle and thousand cankers disease in Europe is considered a serious threat to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which is also susceptible to the disease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last 90 years, several areas of southern Europe have been reforested with mixed tree species for wood production, and both black and English walnuts are now present in high proportions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Nowadays, in Europe walnuts are economically, culturally and environmentally highly valued trees, being cultivated for fruits, timber and as traditional landscape trees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high susceptibility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to the walnut twig beetle and thousand cankers disease may hence have serious impacts on the landscape and economy of many European agricultural and forest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Various chemical control methods (sprays, soil applied systemic insecticides, trunk injections) have been investigated, involving insecticides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but to date none have been reported to adequately control the pest (Hasey and Seybold, 2010; Tisserat and Cranshaw, 2012, Cranshaw and Tisserat,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biological control, several natural enemies are found associated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including some specific natural enemies (such as </w:t>
      </w:r>
      <w:r>
        <w:rPr>
          <w:rFonts w:ascii="Calibri" w:hAnsi="Calibri" w:eastAsia="Calibri" w:cs="Calibri"/>
          <w:i/>
          <w:iCs/>
          <w:color w:val="000000"/>
          <w:sz w:val="22"/>
          <w:szCs w:val="22"/>
        </w:rPr>
        <w:t xml:space="preserve">Theocolax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Aeletes floridae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Leptophloeus angustulus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Bitoma quadriguttata</w:t>
      </w:r>
      <w:r>
        <w:rPr>
          <w:rFonts w:ascii="Calibri" w:hAnsi="Calibri" w:eastAsia="Calibri" w:cs="Calibri"/>
          <w:color w:val="000000"/>
          <w:sz w:val="22"/>
          <w:szCs w:val="22"/>
        </w:rPr>
        <w:t xml:space="preserve">) and some generalist predators, notably clerid beetles (family </w:t>
      </w:r>
      <w:r>
        <w:rPr>
          <w:rFonts w:ascii="Calibri" w:hAnsi="Calibri" w:eastAsia="Calibri" w:cs="Calibri"/>
          <w:i/>
          <w:iCs/>
          <w:color w:val="000000"/>
          <w:sz w:val="22"/>
          <w:szCs w:val="22"/>
        </w:rPr>
        <w:t xml:space="preserve">Cleridae</w:t>
      </w:r>
      <w:r>
        <w:rPr>
          <w:rFonts w:ascii="Calibri" w:hAnsi="Calibri" w:eastAsia="Calibri" w:cs="Calibri"/>
          <w:color w:val="000000"/>
          <w:sz w:val="22"/>
          <w:szCs w:val="22"/>
        </w:rPr>
        <w:t xml:space="preserve">) (Nix, 2013), and under some conditions may provide some suppression. However, an active biological control programme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not yet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pheromones have been identified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are effectively used in detection and monitoring. But they are not used for control. More recently, repellent compounds have been reported but their use in management of walnut twig beetle infestations has not yet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cultivars is a possibility. Differences of susceptibility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infestation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PRA (2015) notes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 for amenity purposes and later for the production of high-quality wood. Although more data is needed on its distribution and economic importance, this insect-disease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the recommended phytosanitary measures and the requirements for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needed for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walnut twig beetle and thousand cankers disease. The measures are based mainly on the movement restriction of products potentially infested and destruction of those already infested,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color w:val="000000"/>
          <w:sz w:val="22"/>
          <w:szCs w:val="22"/>
        </w:rPr>
        <w:t xml:space="preserve">. In the USA and Italy, phytosanitary measures have been taken to protect walnuts still free from the insect infestation from extensive mortality. The directly applied phytosanitary measures mainly consist of restrictions on the movement of walnut wood and plants for planting to prevent insect spread.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Beside movement restriction, the other main phytosanitary measures are based on the prompt cut and harvesting of infested trees that can reduce beetle populations and are useful for containment. In particular, walnut wood may allow development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infested wood must be destroyed or isolated. The efficacy of this phytosanitary practice depends on the situation and to be effective they need to be done over a wide area. Infested wood must be disposed of in a way that will reduce further emergence and not allow dispersal of beetles. It is recognized that sanitation has rarely been used in the USA, and the situation is further complicated by the long time lag between tree infestation and symptom expression, and difficulties in detecting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material.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(2011) Recently recognized range extensions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(Coleoptera: Curculionidae: Scolytinae), in the Western United States. </w:t>
      </w:r>
      <w:r>
        <w:rPr>
          <w:rFonts w:ascii="Calibri" w:hAnsi="Calibri" w:eastAsia="Calibri" w:cs="Calibri"/>
          <w:i/>
          <w:iCs/>
          <w:color w:val="000000"/>
          <w:sz w:val="22"/>
          <w:szCs w:val="22"/>
        </w:rPr>
        <w:t xml:space="preserve">The Coleopterist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48–49.</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6306693c948b23d38" w:history="1">
        <w:r>
          <w:rPr>
            <w:rFonts w:ascii="Calibri" w:hAnsi="Calibri" w:eastAsia="Calibri" w:cs="Calibri"/>
            <w:color w:val="0000CC"/>
            <w:sz w:val="22"/>
            <w:szCs w:val="22"/>
            <w:u w:val="single"/>
          </w:rPr>
          <w:t xml:space="preserve">https://www.uaex.edu/environment-nature/ar-invasives/invasive-diseases/docs/Questions%20and%20Answers%20Revision%20April%202012.pdf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Eichhorn MP, Paris P, Herzog F, Incoll LD, Liagre F, Mantzanas K, Mayus M, Moreno G, Papanastasis VP, Pilbeam DJ, Pisanelli A, Dupraz C (2006) Silvoarable systems in Europe – past, present and future prospects.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29–50.</w:t>
      </w:r>
    </w:p>
    <w:p>
      <w:pPr>
        <w:widowControl w:val="on"/>
        <w:pBdr/>
        <w:spacing w:before="220" w:after="220" w:line="240" w:lineRule="auto"/>
        <w:ind w:left="0" w:right="0"/>
        <w:jc w:val="left"/>
      </w:pPr>
      <w:r>
        <w:rPr>
          <w:rFonts w:ascii="Calibri" w:hAnsi="Calibri" w:eastAsia="Calibri" w:cs="Calibri"/>
          <w:color w:val="000000"/>
          <w:sz w:val="22"/>
          <w:szCs w:val="22"/>
        </w:rPr>
        <w:t xml:space="preserve">EPPO-PRA (2015) Pest Risk Analysis for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w:t>
      </w:r>
      <w:hyperlink r:id="rId2968693c948b23e34"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Hardin JG, Goodrich BA, Cleaver CM (2012) Retail firewood can transport live tree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1645–1658.</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III, Audley J, Camp R, Mudder BR, Taylor A (2018) Bark colonization of kiln-dried wood by the walnut twig beetle: effect of wood location and pheromone presence.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996-999.</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 Fowler G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Nix KA (2013) The life history and control of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eastern Tennessee. </w:t>
      </w:r>
      <w:r>
        <w:rPr>
          <w:rFonts w:ascii="Calibri" w:hAnsi="Calibri" w:eastAsia="Calibri" w:cs="Calibri"/>
          <w:i/>
          <w:iCs/>
          <w:color w:val="000000"/>
          <w:sz w:val="22"/>
          <w:szCs w:val="22"/>
        </w:rPr>
        <w:t xml:space="preserve">Master’s Thesis, University of Tennessee, 2013. </w:t>
      </w:r>
      <w:r>
        <w:rPr>
          <w:rFonts w:ascii="Calibri" w:hAnsi="Calibri" w:eastAsia="Calibri" w:cs="Calibri"/>
          <w:color w:val="000000"/>
          <w:sz w:val="22"/>
          <w:szCs w:val="22"/>
        </w:rPr>
        <w:t xml:space="preserve">URL: </w:t>
      </w:r>
      <w:hyperlink r:id="rId7260693c948b2442c" w:history="1">
        <w:r>
          <w:rPr>
            <w:rFonts w:ascii="Calibri" w:hAnsi="Calibri" w:eastAsia="Calibri" w:cs="Calibri"/>
            <w:color w:val="0000CC"/>
            <w:sz w:val="22"/>
            <w:szCs w:val="22"/>
            <w:u w:val="single"/>
          </w:rPr>
          <w:t xml:space="preserve">http://trace.tennessee.edu/utk_gradthes/1656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Randolph KC, Rose AK, Oswalt CM, Brown MJ (2013) Status of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the eastern United States in light of the discovery of thousand cankers disease.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2–14.</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w:t>
      </w:r>
      <w:r>
        <w:rPr>
          <w:rFonts w:ascii="Calibri" w:hAnsi="Calibri" w:eastAsia="Calibri" w:cs="Calibri"/>
          <w:color w:val="000000"/>
          <w:sz w:val="22"/>
          <w:szCs w:val="22"/>
        </w:rPr>
        <w:t xml:space="preserve">11 pp. URL: </w:t>
      </w:r>
      <w:hyperlink r:id="rId9182693c948b24501"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SJ, Haugen D, Graves A, (2013) Pest alert. Thousand cankers disease. </w:t>
      </w:r>
      <w:r>
        <w:rPr>
          <w:rFonts w:ascii="Calibri" w:hAnsi="Calibri" w:eastAsia="Calibri" w:cs="Calibri"/>
          <w:i/>
          <w:iCs/>
          <w:color w:val="000000"/>
          <w:sz w:val="22"/>
          <w:szCs w:val="22"/>
        </w:rPr>
        <w:t xml:space="preserve">United States Department of Agriculture, Forest Service, North-eastern Area State and Private Forestry, NA–PR–02–10.  </w:t>
      </w:r>
      <w:hyperlink r:id="rId5403693c948b24548" w:history="1">
        <w:r>
          <w:rPr>
            <w:rFonts w:ascii="Calibri" w:hAnsi="Calibri" w:eastAsia="Calibri" w:cs="Calibri"/>
            <w:color w:val="0000CC"/>
            <w:sz w:val="22"/>
            <w:szCs w:val="22"/>
            <w:u w:val="single"/>
          </w:rPr>
          <w:t xml:space="preserve">http://www.na.fs.fed.us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hyperlink r:id="rId7416693c948b2458f" w:history="1">
        <w:r>
          <w:rPr>
            <w:rFonts w:ascii="Calibri" w:hAnsi="Calibri" w:eastAsia="Calibri" w:cs="Calibri"/>
            <w:color w:val="0000CC"/>
            <w:sz w:val="22"/>
            <w:szCs w:val="22"/>
            <w:u w:val="single"/>
          </w:rPr>
          <w:t xml:space="preserve">https://doi.org/10.1094/PHP-2009-0811-01-RS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EPPO datasheets on pests recommended for regulation. Available online. </w:t>
      </w:r>
      <w:hyperlink r:id="rId5817693c948b24755"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6168863" name="name9178693c948b247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42693c948b247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59403">
    <w:multiLevelType w:val="hybridMultilevel"/>
    <w:lvl w:ilvl="0" w:tplc="68728222">
      <w:start w:val="1"/>
      <w:numFmt w:val="decimal"/>
      <w:lvlText w:val="%1."/>
      <w:lvlJc w:val="left"/>
      <w:pPr>
        <w:ind w:left="720" w:hanging="360"/>
      </w:pPr>
    </w:lvl>
    <w:lvl w:ilvl="1" w:tplc="68728222" w:tentative="1">
      <w:start w:val="1"/>
      <w:numFmt w:val="lowerLetter"/>
      <w:lvlText w:val="%2."/>
      <w:lvlJc w:val="left"/>
      <w:pPr>
        <w:ind w:left="1440" w:hanging="360"/>
      </w:pPr>
    </w:lvl>
    <w:lvl w:ilvl="2" w:tplc="68728222" w:tentative="1">
      <w:start w:val="1"/>
      <w:numFmt w:val="lowerRoman"/>
      <w:lvlText w:val="%3."/>
      <w:lvlJc w:val="right"/>
      <w:pPr>
        <w:ind w:left="2160" w:hanging="180"/>
      </w:pPr>
    </w:lvl>
    <w:lvl w:ilvl="3" w:tplc="68728222" w:tentative="1">
      <w:start w:val="1"/>
      <w:numFmt w:val="decimal"/>
      <w:lvlText w:val="%4."/>
      <w:lvlJc w:val="left"/>
      <w:pPr>
        <w:ind w:left="2880" w:hanging="360"/>
      </w:pPr>
    </w:lvl>
    <w:lvl w:ilvl="4" w:tplc="68728222" w:tentative="1">
      <w:start w:val="1"/>
      <w:numFmt w:val="lowerLetter"/>
      <w:lvlText w:val="%5."/>
      <w:lvlJc w:val="left"/>
      <w:pPr>
        <w:ind w:left="3600" w:hanging="360"/>
      </w:pPr>
    </w:lvl>
    <w:lvl w:ilvl="5" w:tplc="68728222" w:tentative="1">
      <w:start w:val="1"/>
      <w:numFmt w:val="lowerRoman"/>
      <w:lvlText w:val="%6."/>
      <w:lvlJc w:val="right"/>
      <w:pPr>
        <w:ind w:left="4320" w:hanging="180"/>
      </w:pPr>
    </w:lvl>
    <w:lvl w:ilvl="6" w:tplc="68728222" w:tentative="1">
      <w:start w:val="1"/>
      <w:numFmt w:val="decimal"/>
      <w:lvlText w:val="%7."/>
      <w:lvlJc w:val="left"/>
      <w:pPr>
        <w:ind w:left="5040" w:hanging="360"/>
      </w:pPr>
    </w:lvl>
    <w:lvl w:ilvl="7" w:tplc="68728222" w:tentative="1">
      <w:start w:val="1"/>
      <w:numFmt w:val="lowerLetter"/>
      <w:lvlText w:val="%8."/>
      <w:lvlJc w:val="left"/>
      <w:pPr>
        <w:ind w:left="5760" w:hanging="360"/>
      </w:pPr>
    </w:lvl>
    <w:lvl w:ilvl="8" w:tplc="68728222" w:tentative="1">
      <w:start w:val="1"/>
      <w:numFmt w:val="lowerRoman"/>
      <w:lvlText w:val="%9."/>
      <w:lvlJc w:val="right"/>
      <w:pPr>
        <w:ind w:left="6480" w:hanging="180"/>
      </w:pPr>
    </w:lvl>
  </w:abstractNum>
  <w:abstractNum w:abstractNumId="40959402">
    <w:multiLevelType w:val="hybridMultilevel"/>
    <w:lvl w:ilvl="0" w:tplc="245378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59402">
    <w:abstractNumId w:val="40959402"/>
  </w:num>
  <w:num w:numId="40959403">
    <w:abstractNumId w:val="409594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2264240" Type="http://schemas.microsoft.com/office/2011/relationships/commentsExtended" Target="commentsExtended.xml"/><Relationship Id="rId256105295" Type="http://schemas.microsoft.com/office/2011/relationships/people" Target="people.xml"/><Relationship Id="rId9851693c948b205eb" Type="http://schemas.openxmlformats.org/officeDocument/2006/relationships/hyperlink" Target="https://gd.eppo.int/taxon/GEOHMO/datasheet" TargetMode="External"/><Relationship Id="rId5649693c948b20790" Type="http://schemas.openxmlformats.org/officeDocument/2006/relationships/hyperlink" Target="https://gd.eppo.int/taxon/PITOJU/" TargetMode="External"/><Relationship Id="rId7969693c948b207f6" Type="http://schemas.openxmlformats.org/officeDocument/2006/relationships/hyperlink" Target="https://gd.eppo.int/taxon/PITOJU/categorization" TargetMode="External"/><Relationship Id="rId6038693c948b21237" Type="http://schemas.openxmlformats.org/officeDocument/2006/relationships/hyperlink" Target="https://gd.eppo.int/taxon/PITOJU/photos" TargetMode="External"/><Relationship Id="rId6306693c948b23d38" Type="http://schemas.openxmlformats.org/officeDocument/2006/relationships/hyperlink" Target="https://www.uaex.edu/environment-nature/ar-invasives/invasive-diseases/docs/Questions%20and%20Answers%20Revision%20April%202012.pdf" TargetMode="External"/><Relationship Id="rId2968693c948b23e34" Type="http://schemas.openxmlformats.org/officeDocument/2006/relationships/hyperlink" Target="http://www.eppo.int/QUARANTINE/Pest_Risk_Analysis/PRA_intro.htm" TargetMode="External"/><Relationship Id="rId7260693c948b2442c" Type="http://schemas.openxmlformats.org/officeDocument/2006/relationships/hyperlink" Target="http://trace.tennessee.edu/utk_gradthes/1656" TargetMode="External"/><Relationship Id="rId9182693c948b24501" Type="http://schemas.openxmlformats.org/officeDocument/2006/relationships/hyperlink" Target="http://www.ipm.ucdavis.edu/PMG/menu.thousandcankers.html" TargetMode="External"/><Relationship Id="rId5403693c948b24548" Type="http://schemas.openxmlformats.org/officeDocument/2006/relationships/hyperlink" Target="http://www.na.fs.fed.us" TargetMode="External"/><Relationship Id="rId7416693c948b2458f" Type="http://schemas.openxmlformats.org/officeDocument/2006/relationships/hyperlink" Target="https://doi.org/10.1094/PHP-2009-0811-01-RS" TargetMode="External"/><Relationship Id="rId5817693c948b24755" Type="http://schemas.openxmlformats.org/officeDocument/2006/relationships/hyperlink" Target="https://gd.eppo.int" TargetMode="External"/><Relationship Id="rId2150693c948b210e4" Type="http://schemas.openxmlformats.org/officeDocument/2006/relationships/image" Target="media/imgrId2150693c948b210e4.jpg"/><Relationship Id="rId8052693c948b22818" Type="http://schemas.openxmlformats.org/officeDocument/2006/relationships/image" Target="media/imgrId8052693c948b22818.jpg"/><Relationship Id="rId5142693c948b247c7" Type="http://schemas.openxmlformats.org/officeDocument/2006/relationships/image" Target="media/imgrId5142693c948b247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