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Pissodes yunnanensis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2021-11-04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yunnanensis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Langor &amp; Zhang</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Molytinae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Yunnan pine weevil</w:t>
            </w:r>
            <w:hyperlink r:id="rId51886acb844dab8b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5166acb844dab90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PISOYU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6257209" name="name82536acb844dac1ab" descr="12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64.jpg"/>
                          <pic:cNvPicPr/>
                        </pic:nvPicPr>
                        <pic:blipFill>
                          <a:blip r:embed="rId37876acb844dac1a9" cstate="print"/>
                          <a:stretch>
                            <a:fillRect/>
                          </a:stretch>
                        </pic:blipFill>
                        <pic:spPr>
                          <a:xfrm>
                            <a:off x="0" y="0"/>
                            <a:ext cx="2160000" cy="1281600"/>
                          </a:xfrm>
                          <a:prstGeom prst="rect">
                            <a:avLst/>
                          </a:prstGeom>
                          <a:ln w="0">
                            <a:noFill/>
                          </a:ln>
                        </pic:spPr>
                      </pic:pic>
                    </a:graphicData>
                  </a:graphic>
                </wp:inline>
              </w:drawing>
            </w:r>
            <w:hyperlink r:id="rId55706acb844dac2b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This species was described in 1999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there have been no subsequent taxonomic or nomenclatural changes.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(Yunnan pine) is the only known host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It almost exclusively infests trees less than 20 years old but prefers trees 8-10 years old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Although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is also reported from </w:t>
      </w:r>
      <w:r>
        <w:rPr>
          <w:rFonts w:ascii="Calibri" w:hAnsi="Calibri" w:eastAsia="Calibri" w:cs="Calibri"/>
          <w:i/>
          <w:iCs/>
          <w:color w:val="000000"/>
          <w:sz w:val="22"/>
          <w:szCs w:val="22"/>
        </w:rPr>
        <w:t xml:space="preserve">Pinus densa</w:t>
      </w:r>
      <w:r>
        <w:rPr>
          <w:rFonts w:ascii="Calibri" w:hAnsi="Calibri" w:eastAsia="Calibri" w:cs="Calibri"/>
          <w:color w:val="000000"/>
          <w:sz w:val="22"/>
          <w:szCs w:val="22"/>
        </w:rPr>
        <w:t xml:space="preserve"> at one location (Xueshan, Yulong County) in North-Western Yunnan Province (China), evidence has been published by some local experts that suggests that this tree species is conspecific with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(Hong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yunnanensis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is currently known only from Guizhou, Sichuan, and Yunnan provinces in the People’s Republic of China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It occurs between 1100-2800 m in elevation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r>
        <w:drawing>
          <wp:inline distT="0" distB="0" distL="0" distR="0">
            <wp:extent cx="6120000" cy="3067200"/>
            <wp:docPr id="47734631" name="name55116acb844dacef3" descr="PISOY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SOYU_distribution_map.jpg"/>
                    <pic:cNvPicPr/>
                  </pic:nvPicPr>
                  <pic:blipFill>
                    <a:blip r:embed="rId50406acb844dacef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(Guizhou, Sichuan, Yunnan)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 detailed account of the biology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is provided by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This species completes one generation per year in the Lashi Forest (altitude 2400-2800 m) in Yunnan Province, but development spans two calendar years. Adults emerge from their pupal chambers (chip cocoons) under the bark by chewing a hole 4-5 mm in diameter through the bark. Emerged adults are capable of flight and feed on healthy shoots of the same tree or nearby trees for about one month as they become sexually mature. Mating occurs on the bark surface. Eggs are deposited from late June to mid-July. Females chew a small hole into the bark, lay 1-4 eggs per hole, and cap the hole with a dark brown excrement cap. Under controlled conditions, in the laboratory females each laid 70-92 eggs (average: 82). Eggs hatch in 7-20 days, depending on temperature. Temperatures above 25 °C are detrimental to egg survival. Larvae appear by mid-July and there are four larval instars. First and second instars feed in the inner phloem and construct meandering galleries filled with frass. Third instar larvae leave the phloem and enter the sapwood (and sometimes pith) where development is completed. Third instar larvae (and a few second instars) overwinter from November to February in the sapwood or pith and their development resumes the following spring when temperatures increase sufficiently. Pupation occurs between late March and late May in the outer sapwood or pith. Before pupation, the mature larva excavates a pupation chamber at the end of its feeding gallery and lines it with elongated wood chips stripped from the phloem and sapwood by the larva. These so-called chip cocoons are 7-9 mm long and 3-4 mm wide and are typical of most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The pupation period lasts 2-4 weeks depending on temperature. Callow adults remain in chip cocoons for several days while they harden, emerging in mid-April to mid-July (peak: mid-May). The species has no diapause. There is evidence that some adults can live longer than a year. Parasitism is the major source of mortality, totalling 2-25% among large larvae and 5-10% among pupae. About 10 species of parasitoids attack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attack trees that are &lt;20 years old, especially those 8-10 years old (</w:t>
      </w:r>
      <w:r>
        <w:rPr>
          <w:rFonts w:ascii="Calibri" w:hAnsi="Calibri" w:eastAsia="Calibri" w:cs="Calibri"/>
          <w:i/>
          <w:iCs/>
          <w:color w:val="000000"/>
          <w:sz w:val="22"/>
          <w:szCs w:val="22"/>
        </w:rPr>
        <w:t xml:space="preserve">Zhang et al.</w:t>
      </w:r>
      <w:r>
        <w:rPr>
          <w:rFonts w:ascii="Calibri" w:hAnsi="Calibri" w:eastAsia="Calibri" w:cs="Calibri"/>
          <w:color w:val="000000"/>
          <w:sz w:val="22"/>
          <w:szCs w:val="22"/>
        </w:rPr>
        <w:t xml:space="preserve">, 2004). Larvae feed in the phloem, sapwood and sometimes pith of branches, leaders, and stems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first signs of a tree attacked by adult weevils in the spring (March-April) are resin droplets that exude from puncture wounds caused by adults feeding on current and one-year-old shoots. Resin droplets are visible from a distance of several metres as they glisten in the sun. Upon close inspection of shoots undergoing attack, feeding wounds (0.5 mm wide and 1.0-.2.5 mm deep) made by adults, usually at the base of needle fascicles, will be visible. Each feeding wound results in death to an area of cambium 1.5-2.5 mm in diameter under the bark, and damaged cambium tissues turn from green to brown. These puncture wounds and associated cambium discolouration are indicators of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infestation. Foliage on leaders and lateral branches turn yellow in late April or early May of the year following attack, and orange or red by late May, and newly killed leaders and lateral branches retained their red colour for more than one year. The presence of chip cocoons under the bark is also evidence that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are present, and chip cocoons may persist for many years after they are vacated.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yellowish-white, oval, and about 0.43 mm long and 0.27 mm wide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are translucent, yellowish-white, and about 0.60 mm long. Larvae become opaque and milky-white as they mature. Mature larvae are crescent-shaped with light brown heads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Fourth-instar larvae are 6.0-11.0 mm long. A detailed description of mature larvae of this species is provided by Williams and Langor (2011).</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at first ivory-white, changing to dark brown as they mature, and are 4.0-9.0 mm long and 1.5-4.0 mm wide. The eyes and elytra are the first structures to turn brown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morphology is described in detail by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robust adult has a long curved snout. It is mostly brown and moderately clothed with whitish, scale-like setae on the dorsum and venter. The whitish scales on the elytra form a diffuse, antedeclivital, transverse fascia (patch), and the cuticle under and immediately surrounding the fascia is darker than that on the rest of the elytra. The elytra lack a posthumeral fascia, but have shallowly to moderately deep, well-separated, round to oval punctures. Males are 4.2-7.2 mm long and 1.8-2.8 mm wide at the elytra, and females are slightly larger at 5.3-7.6 mm long and 2.1-2.9 mm wide.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almost exclusively attacks young trees &lt; 20 years old. Young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saplings with copious resin droplets on the current and previous year’s growth should be investigated for signs of weevil attack such as feeding and oviposition punctures and presence of adults on the bark. Drooping of recent growth and eventual discoloration of needles is also a sign of infestation. Removal of bark on previous and current year’s leader growth on infested trees will reveal larval galleries in the phloem, sapwood and pith, chip cocoons, pupae, callow adults and/or round adult emergence holes in the bark. There are no native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EPPO region that specifically target the terminal leaders of pines so detection of young pines (or spruce) with such damage and clear evidence of the presence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is likely to signal the presence of one of four non-native terminal-infesting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one of which is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(others are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Specimens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can be identified using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for adult diagnosis or Williams and Langor (2011) for identification of mature larvae. DNA barcodes can be used to confirm identity of this species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GenBank: </w:t>
      </w:r>
      <w:hyperlink r:id="rId36556acb844dad602" w:history="1">
        <w:r>
          <w:rPr>
            <w:rFonts w:ascii="Calibri" w:hAnsi="Calibri" w:eastAsia="Calibri" w:cs="Calibri"/>
            <w:color w:val="0000CC"/>
            <w:sz w:val="22"/>
            <w:szCs w:val="22"/>
            <w:u w:val="single"/>
          </w:rPr>
          <w:t xml:space="preserve">https://www.ncbi.nlm.nih.gov/nuccore/?term=pissodes+yunnanensis</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capable of flight although the range is unknown. It is also possible that human transplant of infested saplings or movement of infested foliage could help dispersal of this species within the region. As this species is almost exclusively limited to saplings &lt; 20 years old and is found on recent foliage, long distance transport via lumber or dunnage seems highly improbable.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in the past has been a serious pest of young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causing stem deformities and mortality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With the greatly increased plantations of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in the late 20th and early 21st centuries, weevil damage increased considerably. In Yunnan Province, the extent of young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plantations infested by weevils increased from 670 ha in 1998 to 2600 ha in 2002 near Lijiang, and from 200 ha in 1994 to 351 ha in 1995 near Kunming (Zhang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1999; Li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2001). However, by 2004,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was no longer being commercially harvested and rather was protected and propagated for soil protection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Currently, plantations of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of susceptible age (&lt; 20 years) are much less common and consequently weevil damage is no longer as serious as it once was.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has been little work on the control of this species. As with other terminal-infesting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North America, infested shoots may be pruned and destroyed by chipping, burning, or burying. To prevent introduction of this weevil to other regions, importation of young trees and foliage should continue to be closely regulated.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recorded as infesting only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it is possible that this weevil species could breed in and cause significant damage to other pine species in the EPPO region should it be introduced there. The risk of inadvertent introduction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to the EPPO region currently seems low for three reasons: sources of weevils in South-Western China have been reduced in recent years due to the ban on harvesting of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there; transport of logs and dunnage (the most common pathways for inadvertent spread of bark- and wood-boring insects) are unlikely pathways for this species because of its preference for saplings rather than for larger trees that are the typical sources such materials and because harvesting of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is now banned; and it would require the transportation of infested saplings or foliage samples to allow spread of this species, and movement of these materials is subject to high levels of regulation. Although any insect may be transported as a ‘hitch-hiker’, it seems unlikely this could occur for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Adherence to International Standards for Phytosanitary Measures No. 15 for solid wood packing material (IPPC, 2019) will greatly decrease the risk of introduction of bark- and wood-boring insects, including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Any young trees or tree parts of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introduced into the EPPO region should be quarantined until it is thoroughly checked for signs and symptoms of non-native species, including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Hong Y, Song G, Fu HR &amp; Qiao JH (2000) A preliminary study on genetic variation and relationships of </w:t>
      </w:r>
      <w:r>
        <w:rPr>
          <w:rFonts w:ascii="Calibri" w:hAnsi="Calibri" w:eastAsia="Calibri" w:cs="Calibri"/>
          <w:i/>
          <w:iCs/>
          <w:color w:val="000000"/>
          <w:sz w:val="22"/>
          <w:szCs w:val="22"/>
        </w:rPr>
        <w:t xml:space="preserve">Pinus yunnanensis </w:t>
      </w:r>
      <w:r>
        <w:rPr>
          <w:rFonts w:ascii="Calibri" w:hAnsi="Calibri" w:eastAsia="Calibri" w:cs="Calibri"/>
          <w:color w:val="000000"/>
          <w:sz w:val="22"/>
          <w:szCs w:val="22"/>
        </w:rPr>
        <w:t xml:space="preserve">and its closely related species. </w:t>
      </w:r>
      <w:r>
        <w:rPr>
          <w:rFonts w:ascii="Calibri" w:hAnsi="Calibri" w:eastAsia="Calibri" w:cs="Calibri"/>
          <w:i/>
          <w:iCs/>
          <w:color w:val="000000"/>
          <w:sz w:val="22"/>
          <w:szCs w:val="22"/>
        </w:rPr>
        <w:t xml:space="preserve">Acta Botanica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102-110 [In Mandarin].</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15. Regulation of wood packaging material in international trade. FAO, Rome, 24 pp. </w:t>
      </w:r>
      <w:hyperlink r:id="rId60856acb844dadbc1" w:history="1">
        <w:r>
          <w:rPr>
            <w:rFonts w:ascii="Calibri" w:hAnsi="Calibri" w:eastAsia="Calibri" w:cs="Calibri"/>
            <w:color w:val="0000CC"/>
            <w:sz w:val="22"/>
            <w:szCs w:val="22"/>
            <w:u w:val="single"/>
          </w:rPr>
          <w:t xml:space="preserve">https://www.ippc.int/en/publications/640/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Langor DW, Situ, YX &amp; Zhang, R (1999) Two new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(Coleoptera: Curculionidae) from China.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593-603.</w:t>
      </w:r>
    </w:p>
    <w:p>
      <w:pPr>
        <w:widowControl w:val="on"/>
        <w:pBdr/>
        <w:spacing w:before="220" w:after="220" w:line="240" w:lineRule="auto"/>
        <w:ind w:left="0" w:right="0"/>
        <w:jc w:val="left"/>
      </w:pPr>
      <w:r>
        <w:rPr>
          <w:rFonts w:ascii="Calibri" w:hAnsi="Calibri" w:eastAsia="Calibri" w:cs="Calibri"/>
          <w:color w:val="000000"/>
          <w:sz w:val="22"/>
          <w:szCs w:val="22"/>
        </w:rPr>
        <w:t xml:space="preserve">Li Y, Zhang Y, Yang F, Zhou J &amp; Chen S (2001) Damage by </w:t>
      </w:r>
      <w:r>
        <w:rPr>
          <w:rFonts w:ascii="Calibri" w:hAnsi="Calibri" w:eastAsia="Calibri" w:cs="Calibri"/>
          <w:i/>
          <w:iCs/>
          <w:color w:val="000000"/>
          <w:sz w:val="22"/>
          <w:szCs w:val="22"/>
        </w:rPr>
        <w:t xml:space="preserve">Pissodes </w:t>
      </w:r>
      <w:r>
        <w:rPr>
          <w:rFonts w:ascii="Calibri" w:hAnsi="Calibri" w:eastAsia="Calibri" w:cs="Calibri"/>
          <w:color w:val="000000"/>
          <w:sz w:val="22"/>
          <w:szCs w:val="22"/>
        </w:rPr>
        <w:t xml:space="preserve">sp. in Kunming City. </w:t>
      </w:r>
      <w:r>
        <w:rPr>
          <w:rFonts w:ascii="Calibri" w:hAnsi="Calibri" w:eastAsia="Calibri" w:cs="Calibri"/>
          <w:i/>
          <w:iCs/>
          <w:color w:val="000000"/>
          <w:sz w:val="22"/>
          <w:szCs w:val="22"/>
        </w:rPr>
        <w:t xml:space="preserve">Yunnan Forest Science Technology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Yunnan Lin Ye Ke Ji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53–5 [In Mandarin].</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 &amp; Langor DW (2011) Description of mature larvae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Langor and Zhang and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Langor and Zhang (Coleoptera: Curculionidae) from China.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157-166.</w:t>
      </w:r>
    </w:p>
    <w:p>
      <w:pPr>
        <w:widowControl w:val="on"/>
        <w:pBdr/>
        <w:spacing w:before="220" w:after="220" w:line="240" w:lineRule="auto"/>
        <w:ind w:left="0" w:right="0"/>
        <w:jc w:val="left"/>
      </w:pPr>
      <w:r>
        <w:rPr>
          <w:rFonts w:ascii="Calibri" w:hAnsi="Calibri" w:eastAsia="Calibri" w:cs="Calibri"/>
          <w:color w:val="000000"/>
          <w:sz w:val="22"/>
          <w:szCs w:val="22"/>
        </w:rPr>
        <w:t xml:space="preserve">Xu C, Zhang H, Zhang Z, Huang S &amp; Ye H (2002) Damage of </w:t>
      </w:r>
      <w:r>
        <w:rPr>
          <w:rFonts w:ascii="Calibri" w:hAnsi="Calibri" w:eastAsia="Calibri" w:cs="Calibri"/>
          <w:i/>
          <w:iCs/>
          <w:color w:val="000000"/>
          <w:sz w:val="22"/>
          <w:szCs w:val="22"/>
        </w:rPr>
        <w:t xml:space="preserve">Pissodes yunnanensis </w:t>
      </w:r>
      <w:r>
        <w:rPr>
          <w:rFonts w:ascii="Calibri" w:hAnsi="Calibri" w:eastAsia="Calibri" w:cs="Calibri"/>
          <w:color w:val="000000"/>
          <w:sz w:val="22"/>
          <w:szCs w:val="22"/>
        </w:rPr>
        <w:t xml:space="preserve">to the young trees of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Pests and Diseases of China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Zhong Guo Sen Lin Bing Chong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(3), 45 [In Mandarin].</w:t>
      </w:r>
    </w:p>
    <w:p>
      <w:pPr>
        <w:widowControl w:val="on"/>
        <w:pBdr/>
        <w:spacing w:before="220" w:after="220" w:line="240" w:lineRule="auto"/>
        <w:ind w:left="0" w:right="0"/>
        <w:jc w:val="left"/>
      </w:pPr>
      <w:r>
        <w:rPr>
          <w:rFonts w:ascii="Calibri" w:hAnsi="Calibri" w:eastAsia="Calibri" w:cs="Calibri"/>
          <w:color w:val="000000"/>
          <w:sz w:val="22"/>
          <w:szCs w:val="22"/>
        </w:rPr>
        <w:t xml:space="preserve">Zhang H, Langor DW, Ye H, Li Z &amp; Laffin RD (2007) Genetic divergence among populations of </w:t>
      </w:r>
      <w:r>
        <w:rPr>
          <w:rFonts w:ascii="Calibri" w:hAnsi="Calibri" w:eastAsia="Calibri" w:cs="Calibri"/>
          <w:i/>
          <w:iCs/>
          <w:color w:val="000000"/>
          <w:sz w:val="22"/>
          <w:szCs w:val="22"/>
        </w:rPr>
        <w:t xml:space="preserve">Pissodes </w:t>
      </w:r>
      <w:r>
        <w:rPr>
          <w:rFonts w:ascii="Calibri" w:hAnsi="Calibri" w:eastAsia="Calibri" w:cs="Calibri"/>
          <w:i/>
          <w:iCs/>
          <w:color w:val="000000"/>
          <w:sz w:val="22"/>
          <w:szCs w:val="22"/>
        </w:rPr>
        <w:t xml:space="preserve">yunnanensis</w:t>
      </w:r>
      <w:r>
        <w:rPr>
          <w:rFonts w:ascii="Calibri" w:hAnsi="Calibri" w:eastAsia="Calibri" w:cs="Calibri"/>
          <w:color w:val="000000"/>
          <w:sz w:val="22"/>
          <w:szCs w:val="22"/>
        </w:rPr>
        <w:t xml:space="preserve"> (Coleoptera: Curculionidae) in southwestern China.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308-318.</w:t>
      </w:r>
    </w:p>
    <w:p>
      <w:pPr>
        <w:widowControl w:val="on"/>
        <w:pBdr/>
        <w:spacing w:before="220" w:after="220" w:line="240" w:lineRule="auto"/>
        <w:ind w:left="0" w:right="0"/>
        <w:jc w:val="left"/>
      </w:pPr>
      <w:r>
        <w:rPr>
          <w:rFonts w:ascii="Calibri" w:hAnsi="Calibri" w:eastAsia="Calibri" w:cs="Calibri"/>
          <w:color w:val="000000"/>
          <w:sz w:val="22"/>
          <w:szCs w:val="22"/>
        </w:rPr>
        <w:t xml:space="preserve">Zhang Y, Li Y, Yang F, Li P &amp; Li K (1999) A study of bionomics and control on </w:t>
      </w:r>
      <w:r>
        <w:rPr>
          <w:rFonts w:ascii="Calibri" w:hAnsi="Calibri" w:eastAsia="Calibri" w:cs="Calibri"/>
          <w:i/>
          <w:iCs/>
          <w:color w:val="000000"/>
          <w:sz w:val="22"/>
          <w:szCs w:val="22"/>
        </w:rPr>
        <w:t xml:space="preserve">Pissodes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Journal of Southwest </w:t>
      </w:r>
      <w:r>
        <w:rPr>
          <w:rFonts w:ascii="Calibri" w:hAnsi="Calibri" w:eastAsia="Calibri" w:cs="Calibri"/>
          <w:i/>
          <w:iCs/>
          <w:color w:val="000000"/>
          <w:sz w:val="22"/>
          <w:szCs w:val="22"/>
        </w:rPr>
        <w:t xml:space="preserve">Forest College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Xinan Lin Xue Yuan Xuebao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118–21 [In Mandarin].</w:t>
      </w:r>
    </w:p>
    <w:p>
      <w:pPr>
        <w:widowControl w:val="on"/>
        <w:pBdr/>
        <w:spacing w:before="220" w:after="220" w:line="240" w:lineRule="auto"/>
        <w:ind w:left="0" w:right="0"/>
        <w:jc w:val="left"/>
      </w:pPr>
      <w:r>
        <w:rPr>
          <w:rFonts w:ascii="Calibri" w:hAnsi="Calibri" w:eastAsia="Calibri" w:cs="Calibri"/>
          <w:color w:val="000000"/>
          <w:sz w:val="22"/>
          <w:szCs w:val="22"/>
        </w:rPr>
        <w:t xml:space="preserve">Zhang H, Ye H, Haack RA &amp; Langor DW (2004) Biology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(Coleoptera: Curculionidae), a pest of Yunnan pine in southwestern China.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719-726.</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Available at: </w:t>
      </w:r>
      <w:hyperlink r:id="rId36356acb844dae08b" w:history="1">
        <w:r>
          <w:rPr>
            <w:rFonts w:ascii="Calibri" w:hAnsi="Calibri" w:eastAsia="Calibri" w:cs="Calibri"/>
            <w:color w:val="0000CC"/>
            <w:sz w:val="22"/>
            <w:szCs w:val="22"/>
            <w:u w:val="single"/>
          </w:rPr>
          <w:t xml:space="preserve">https://www.cabi.org/isc/datasheet/41494</w:t>
        </w:r>
      </w:hyperlink>
      <w:r>
        <w:rPr>
          <w:rFonts w:ascii="Calibri" w:hAnsi="Calibri" w:eastAsia="Calibri" w:cs="Calibri"/>
          <w:color w:val="000000"/>
          <w:sz w:val="22"/>
          <w:szCs w:val="22"/>
        </w:rPr>
        <w:t xml:space="preserve"> [Accessed 15 June 2021]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w:t>
      </w:r>
      <w:r>
        <w:rPr>
          <w:rFonts w:ascii="Calibri" w:hAnsi="Calibri" w:eastAsia="Calibri" w:cs="Calibri"/>
          <w:i/>
          <w:iCs/>
          <w:color w:val="000000"/>
          <w:sz w:val="22"/>
          <w:szCs w:val="22"/>
        </w:rPr>
        <w:t xml:space="preserve">on Pissodes cibriani, P. fasciatus, P. nemorensis, P. nitidus, P. punctatus, P. strobi, P. terminalis, P. yunnanensis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Available at: </w:t>
      </w:r>
      <w:hyperlink r:id="rId74546acb844dae10c" w:history="1">
        <w:r>
          <w:rPr>
            <w:rFonts w:ascii="Calibri" w:hAnsi="Calibri" w:eastAsia="Calibri" w:cs="Calibri"/>
            <w:color w:val="0000CC"/>
            <w:sz w:val="22"/>
            <w:szCs w:val="22"/>
            <w:u w:val="single"/>
          </w:rPr>
          <w:t xml:space="preserve">https://efsa.onlinelibrary.wiley.com/doi/epdf/10.2903/sp.efsa.2020.EN-1910</w:t>
        </w:r>
      </w:hyperlink>
      <w:r>
        <w:rPr>
          <w:rFonts w:ascii="Calibri" w:hAnsi="Calibri" w:eastAsia="Calibri" w:cs="Calibri"/>
          <w:color w:val="000000"/>
          <w:sz w:val="22"/>
          <w:szCs w:val="22"/>
        </w:rPr>
        <w:t xml:space="preserve"> [Accessed 15 June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David W. Langor (Natural Resources Canada, Canadian Forest Service) and Stephen D. Langor. A brief update of the current status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in Yunnan Province was provided to D. Langor by Hongrui Zhang in July 2021. Their valuable contributions are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EPPO datasheets on pests recommended for regulation. Available online. </w:t>
      </w:r>
      <w:hyperlink r:id="rId99996acb844dae1f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71709628" name="name65286acb844dae2c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9566acb844dae2c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90789">
    <w:multiLevelType w:val="hybridMultilevel"/>
    <w:lvl w:ilvl="0" w:tplc="81510954">
      <w:start w:val="1"/>
      <w:numFmt w:val="decimal"/>
      <w:lvlText w:val="%1."/>
      <w:lvlJc w:val="left"/>
      <w:pPr>
        <w:ind w:left="720" w:hanging="360"/>
      </w:pPr>
    </w:lvl>
    <w:lvl w:ilvl="1" w:tplc="81510954" w:tentative="1">
      <w:start w:val="1"/>
      <w:numFmt w:val="lowerLetter"/>
      <w:lvlText w:val="%2."/>
      <w:lvlJc w:val="left"/>
      <w:pPr>
        <w:ind w:left="1440" w:hanging="360"/>
      </w:pPr>
    </w:lvl>
    <w:lvl w:ilvl="2" w:tplc="81510954" w:tentative="1">
      <w:start w:val="1"/>
      <w:numFmt w:val="lowerRoman"/>
      <w:lvlText w:val="%3."/>
      <w:lvlJc w:val="right"/>
      <w:pPr>
        <w:ind w:left="2160" w:hanging="180"/>
      </w:pPr>
    </w:lvl>
    <w:lvl w:ilvl="3" w:tplc="81510954" w:tentative="1">
      <w:start w:val="1"/>
      <w:numFmt w:val="decimal"/>
      <w:lvlText w:val="%4."/>
      <w:lvlJc w:val="left"/>
      <w:pPr>
        <w:ind w:left="2880" w:hanging="360"/>
      </w:pPr>
    </w:lvl>
    <w:lvl w:ilvl="4" w:tplc="81510954" w:tentative="1">
      <w:start w:val="1"/>
      <w:numFmt w:val="lowerLetter"/>
      <w:lvlText w:val="%5."/>
      <w:lvlJc w:val="left"/>
      <w:pPr>
        <w:ind w:left="3600" w:hanging="360"/>
      </w:pPr>
    </w:lvl>
    <w:lvl w:ilvl="5" w:tplc="81510954" w:tentative="1">
      <w:start w:val="1"/>
      <w:numFmt w:val="lowerRoman"/>
      <w:lvlText w:val="%6."/>
      <w:lvlJc w:val="right"/>
      <w:pPr>
        <w:ind w:left="4320" w:hanging="180"/>
      </w:pPr>
    </w:lvl>
    <w:lvl w:ilvl="6" w:tplc="81510954" w:tentative="1">
      <w:start w:val="1"/>
      <w:numFmt w:val="decimal"/>
      <w:lvlText w:val="%7."/>
      <w:lvlJc w:val="left"/>
      <w:pPr>
        <w:ind w:left="5040" w:hanging="360"/>
      </w:pPr>
    </w:lvl>
    <w:lvl w:ilvl="7" w:tplc="81510954" w:tentative="1">
      <w:start w:val="1"/>
      <w:numFmt w:val="lowerLetter"/>
      <w:lvlText w:val="%8."/>
      <w:lvlJc w:val="left"/>
      <w:pPr>
        <w:ind w:left="5760" w:hanging="360"/>
      </w:pPr>
    </w:lvl>
    <w:lvl w:ilvl="8" w:tplc="81510954" w:tentative="1">
      <w:start w:val="1"/>
      <w:numFmt w:val="lowerRoman"/>
      <w:lvlText w:val="%9."/>
      <w:lvlJc w:val="right"/>
      <w:pPr>
        <w:ind w:left="6480" w:hanging="180"/>
      </w:pPr>
    </w:lvl>
  </w:abstractNum>
  <w:abstractNum w:abstractNumId="41390788">
    <w:multiLevelType w:val="hybridMultilevel"/>
    <w:lvl w:ilvl="0" w:tplc="10481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90788">
    <w:abstractNumId w:val="41390788"/>
  </w:num>
  <w:num w:numId="41390789">
    <w:abstractNumId w:val="4139078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9553464" Type="http://schemas.microsoft.com/office/2011/relationships/commentsExtended" Target="commentsExtended.xml"/><Relationship Id="rId254866474" Type="http://schemas.microsoft.com/office/2011/relationships/people" Target="people.xml"/><Relationship Id="rId51886acb844dab8bf" Type="http://schemas.openxmlformats.org/officeDocument/2006/relationships/hyperlink" Target="https://gd.eppo.int/taxon/PISOYU/" TargetMode="External"/><Relationship Id="rId15166acb844dab904" Type="http://schemas.openxmlformats.org/officeDocument/2006/relationships/hyperlink" Target="https://gd.eppo.int/taxon/PISOYU/categorization" TargetMode="External"/><Relationship Id="rId55706acb844dac2ba" Type="http://schemas.openxmlformats.org/officeDocument/2006/relationships/hyperlink" Target="https://gd.eppo.int/taxon/PISOYU/photos" TargetMode="External"/><Relationship Id="rId36556acb844dad602" Type="http://schemas.openxmlformats.org/officeDocument/2006/relationships/hyperlink" Target="https://www.ncbi.nlm.nih.gov/nuccore/?term=pissodes+yunnanensis" TargetMode="External"/><Relationship Id="rId60856acb844dadbc1" Type="http://schemas.openxmlformats.org/officeDocument/2006/relationships/hyperlink" Target="https://www.ippc.int/en/publications/640/" TargetMode="External"/><Relationship Id="rId36356acb844dae08b" Type="http://schemas.openxmlformats.org/officeDocument/2006/relationships/hyperlink" Target="https://www.cabi.org/isc/datasheet/41494" TargetMode="External"/><Relationship Id="rId74546acb844dae10c" Type="http://schemas.openxmlformats.org/officeDocument/2006/relationships/hyperlink" Target="https://efsa.onlinelibrary.wiley.com/doi/epdf/10.2903/sp.efsa.2020.EN-1910" TargetMode="External"/><Relationship Id="rId99996acb844dae1f5" Type="http://schemas.openxmlformats.org/officeDocument/2006/relationships/hyperlink" Target="https://gd.eppo.int" TargetMode="External"/><Relationship Id="rId37876acb844dac1a9" Type="http://schemas.openxmlformats.org/officeDocument/2006/relationships/image" Target="media/imgrId37876acb844dac1a9.jpg"/><Relationship Id="rId50406acb844dacef1" Type="http://schemas.openxmlformats.org/officeDocument/2006/relationships/image" Target="media/imgrId50406acb844dacef1.jpg"/><Relationship Id="rId19566acb844dae2c2" Type="http://schemas.openxmlformats.org/officeDocument/2006/relationships/image" Target="media/imgrId19566acb844dae2c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