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yunnanensis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yunnanensis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Langor &amp; Zhang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Yunnan pine weevil</w:t>
            </w:r>
            <w:hyperlink r:id="rId57746969d084b7da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2786969d084b7e0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PISOYU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639293" name="name72296969d084b8411" descr="128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864.jpg"/>
                          <pic:cNvPicPr/>
                        </pic:nvPicPr>
                        <pic:blipFill>
                          <a:blip r:embed="rId54566969d084b840f" cstate="print"/>
                          <a:stretch>
                            <a:fillRect/>
                          </a:stretch>
                        </pic:blipFill>
                        <pic:spPr>
                          <a:xfrm>
                            <a:off x="0" y="0"/>
                            <a:ext cx="2160000" cy="1281600"/>
                          </a:xfrm>
                          <a:prstGeom prst="rect">
                            <a:avLst/>
                          </a:prstGeom>
                          <a:ln w="0">
                            <a:noFill/>
                          </a:ln>
                        </pic:spPr>
                      </pic:pic>
                    </a:graphicData>
                  </a:graphic>
                </wp:inline>
              </w:drawing>
            </w:r>
            <w:hyperlink r:id="rId27146969d084b853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was described in 1999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there have been no subsequent taxonomic or nomenclatural changes.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(Yunnan pine) is the only known host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It almost exclusively infests trees less than 20 years old but prefers trees 8-10 years old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Although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is also reported from </w:t>
      </w:r>
      <w:r>
        <w:rPr>
          <w:rFonts w:ascii="Calibri" w:hAnsi="Calibri" w:eastAsia="Calibri" w:cs="Calibri"/>
          <w:i/>
          <w:iCs/>
          <w:color w:val="000000"/>
          <w:sz w:val="22"/>
          <w:szCs w:val="22"/>
        </w:rPr>
        <w:t xml:space="preserve">Pinus densa</w:t>
      </w:r>
      <w:r>
        <w:rPr>
          <w:rFonts w:ascii="Calibri" w:hAnsi="Calibri" w:eastAsia="Calibri" w:cs="Calibri"/>
          <w:color w:val="000000"/>
          <w:sz w:val="22"/>
          <w:szCs w:val="22"/>
        </w:rPr>
        <w:t xml:space="preserve"> at one location (Xueshan, Yulong County) in North-Western Yunnan Province (China), evidence has been published by some local experts that suggests that this tree species is conspecific with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yunnanensis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is currently known only from Guizhou, Sichuan, and Yunnan provinces in the People’s Republic of China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It occurs between 1100-2800 m in elevation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r>
        <w:drawing>
          <wp:inline distT="0" distB="0" distL="0" distR="0">
            <wp:extent cx="6120000" cy="3067200"/>
            <wp:docPr id="93595330" name="name55006969d084b931f" descr="PISOY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YU_distribution_map.jpg"/>
                    <pic:cNvPicPr/>
                  </pic:nvPicPr>
                  <pic:blipFill>
                    <a:blip r:embed="rId14426969d084b931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(Guizhou, Sichuan, Yunnan)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detailed account of the biology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is provided by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This species completes one generation per year in the Lashi Forest (altitude 2400-2800 m) in Yunnan Province, but development spans two calendar years. Adults emerge from their pupal chambers (chip cocoons) under the bark by chewing a hole 4-5 mm in diameter through the bark. Emerged adults are capable of flight and feed on healthy shoots of the same tree or nearby trees for about one month as they become sexually mature. Mating occurs on the bark surface. Eggs are deposited from late June to mid-July. Females chew a small hole into the bark, lay 1-4 eggs per hole, and cap the hole with a dark brown excrement cap. Under controlled conditions, in the laboratory females each laid 70-92 eggs (average: 82). Eggs hatch in 7-20 days, depending on temperature. Temperatures above 25 °C are detrimental to egg survival. Larvae appear by mid-July and there are four larval instars. First and second instars feed in the inner phloem and construct meandering galleries filled with frass. Third instar larvae leave the phloem and enter the sapwood (and sometimes pith) where development is completed. Third instar larvae (and a few second instars) overwinter from November to February in the sapwood or pith and their development resumes the following spring when temperatures increase sufficiently. Pupation occurs between late March and late May in the outer sapwood or pith. Before pupation, the mature larva excavates a pupation chamber at the end of its feeding gallery and lines it with elongated wood chips stripped from the phloem and sapwood by the larva. These so-called chip cocoons are 7-9 mm long and 3-4 mm wide and are typical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The pupation period lasts 2-4 weeks depending on temperature. Callow adults remain in chip cocoons for several days while they harden, emerging in mid-April to mid-July (peak: mid-May). The species has no diapause. There is evidence that some adults can live longer than a year. Parasitism is the major source of mortality, totalling 2-25% among large larvae and 5-10% among pupae. About 10 species of parasitoids attack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attack trees that are &lt;20 years old, especially those 8-10 years old (</w:t>
      </w:r>
      <w:r>
        <w:rPr>
          <w:rFonts w:ascii="Calibri" w:hAnsi="Calibri" w:eastAsia="Calibri" w:cs="Calibri"/>
          <w:i/>
          <w:iCs/>
          <w:color w:val="000000"/>
          <w:sz w:val="22"/>
          <w:szCs w:val="22"/>
        </w:rPr>
        <w:t xml:space="preserve">Zhang et al.</w:t>
      </w:r>
      <w:r>
        <w:rPr>
          <w:rFonts w:ascii="Calibri" w:hAnsi="Calibri" w:eastAsia="Calibri" w:cs="Calibri"/>
          <w:color w:val="000000"/>
          <w:sz w:val="22"/>
          <w:szCs w:val="22"/>
        </w:rPr>
        <w:t xml:space="preserve">, 2004). Larvae feed in the phloem, sapwood and sometimes pith of branches, leaders, and stems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first signs of a tree attacked by adult weevils in the spring (March-April) are resin droplets that exude from puncture wounds caused by adults feeding on current and one-year-old shoots. Resin droplets are visible from a distance of several metres as they glisten in the sun. Upon close inspection of shoots undergoing attack, feeding wounds (0.5 mm wide and 1.0-.2.5 mm deep) made by adults, usually at the base of needle fascicles, will be visible. Each feeding wound results in death to an area of cambium 1.5-2.5 mm in diameter under the bark, and damaged cambium tissues turn from green to brown. These puncture wounds and associated cambium discolouration are indicators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infestation. Foliage on leaders and lateral branches turn yellow in late April or early May of the year following attack, and orange or red by late May, and newly killed leaders and lateral branches retained their red colour for more than one year. The presence of chip cocoons under the bark is also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present, and chip cocoons may persist for many years after they are vacated.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yellowish-white, oval, and about 0.43 mm long and 0.27 mm wide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translucent, yellowish-white, and about 0.60 mm long. Larvae become opaque and milky-white as they mature. Mature larvae are crescent-shaped with light brown heads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Fourth-instar larvae are 6.0-11.0 mm long. A detailed description of mature larvae of this species is provided by Williams and Langor (2011).</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at first ivory-white, changing to dark brown as they mature, and are 4.0-9.0 mm long and 1.5-4.0 mm wide. The eyes and elytra are the first structures to turn brown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morphology is described in detail by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robust adult has a long curved snout. It is mostly brown and moderately clothed with whitish, scale-like setae on the dorsum and venter. The whitish scales on the elytra form a diffuse, antedeclivital, transverse fascia (patch), and the cuticle under and immediately surrounding the fascia is darker than that on the rest of the elytra. The elytra lack a posthumeral fascia, but have shallowly to moderately deep, well-separated, round to oval punctures. Males are 4.2-7.2 mm long and 1.8-2.8 mm wide at the elytra, and females are slightly larger at 5.3-7.6 mm long and 2.1-2.9 mm wide.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almost exclusively attacks young trees &lt; 20 years old. Young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saplings with copious resin droplets on the current and previous year’s growth should be investigated for signs of weevil attack such as feeding and oviposition punctures and presence of adults on the bark. Drooping of recent growth and eventual discoloration of needles is also a sign of infestation. Removal of bark on previous and current year’s leader growth on infested trees will reveal larval galleries in the phloem, sapwood and pith, chip cocoons, pupae, callow adults and/or round adult emergence holes in the bark. There are no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 that specifically target the terminal leaders of pines so detection of young pines (or spruce) with such damage and clear evidence of the presence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is likely to signal the presence of one of four non-native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one of which is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(others are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Specimens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can be identified using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for adult diagnosis or Williams and Langor (2011) for identification of mature larvae. DNA barcodes can be used to confirm identity of this species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GenBank: </w:t>
      </w:r>
      <w:hyperlink r:id="rId62486969d084b9a0f" w:history="1">
        <w:r>
          <w:rPr>
            <w:rFonts w:ascii="Calibri" w:hAnsi="Calibri" w:eastAsia="Calibri" w:cs="Calibri"/>
            <w:color w:val="0000CC"/>
            <w:sz w:val="22"/>
            <w:szCs w:val="22"/>
            <w:u w:val="single"/>
          </w:rPr>
          <w:t xml:space="preserve">https://www.ncbi.nlm.nih.gov/nuccore/?term=pissodes+yunnanensis</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flight although the range is unknown. It is also possible that human transplant of infested saplings or movement of infested foliage could help dispersal of this species within the region. As this species is almost exclusively limited to saplings &lt; 20 years old and is found on recent foliage, long distance transport via lumber or dunnage seems highly improbable.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in the past has been a serious pest of young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causing stem deformities and mortality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With the greatly increased plantations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in the late 20th and early 21st centuries, weevil damage increased considerably. In Yunnan Province, the extent of young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plantations infested by weevils increased from 670 ha in 1998 to 2600 ha in 2002 near Lijiang, and from 200 ha in 1994 to 351 ha in 1995 near Kunming (Zhang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1999;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However, by 2004,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was no longer being commercially harvested and rather was protected and propagated for soil protection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Currently, plantations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of susceptible age (&lt; 20 years) are much less common and consequently weevil damage is no longer as serious as it once was.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has been little work on the control of this species. As with other terminal-infesting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North America, infested shoots may be pruned and destroyed by chipping, burning, or burying. To prevent introduction of this weevil to other regions, importation of young trees and foliage should continue to be closely regulated.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recorded as infesting only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it is possible that this weevil species could breed in and cause significant damage to other pine species in the EPPO region should it be introduced there. The risk of inadvertent introduction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to the EPPO region currently seems low for three reasons: sources of weevils in South-Western China have been reduced in recent years due to the ban on harvesting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there; transport of logs and dunnage (the most common pathways for inadvertent spread of bark- and wood-boring insects) are unlikely pathways for this species because of its preference for saplings rather than for larger trees that are the typical sources such materials and because harvesting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is now banned; and it would require the transportation of infested saplings or foliage samples to allow spread of this species, and movement of these materials is subject to high levels of regulation. Although any insect may be transported as a ‘hitch-hiker’, it seems unlikely this could occur for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(IPPC, 2019) will greatly decrease the risk of introduction of bark- and wood-boring insects, including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Any young trees or tree parts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introduced into the EPPO region should be quarantined until it is thoroughly checked for signs and symptoms of non-native species, including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Hong Y, Song G, Fu HR &amp; Qiao JH (2000) A preliminary study on genetic variation and relationships of </w:t>
      </w:r>
      <w:r>
        <w:rPr>
          <w:rFonts w:ascii="Calibri" w:hAnsi="Calibri" w:eastAsia="Calibri" w:cs="Calibri"/>
          <w:i/>
          <w:iCs/>
          <w:color w:val="000000"/>
          <w:sz w:val="22"/>
          <w:szCs w:val="22"/>
        </w:rPr>
        <w:t xml:space="preserve">Pinus yunnanensis </w:t>
      </w:r>
      <w:r>
        <w:rPr>
          <w:rFonts w:ascii="Calibri" w:hAnsi="Calibri" w:eastAsia="Calibri" w:cs="Calibri"/>
          <w:color w:val="000000"/>
          <w:sz w:val="22"/>
          <w:szCs w:val="22"/>
        </w:rPr>
        <w:t xml:space="preserve">and its closely related species. </w:t>
      </w:r>
      <w:r>
        <w:rPr>
          <w:rFonts w:ascii="Calibri" w:hAnsi="Calibri" w:eastAsia="Calibri" w:cs="Calibri"/>
          <w:i/>
          <w:iCs/>
          <w:color w:val="000000"/>
          <w:sz w:val="22"/>
          <w:szCs w:val="22"/>
        </w:rPr>
        <w:t xml:space="preserve">Acta Botanica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102-110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FAO, Rome, 24 pp. </w:t>
      </w:r>
      <w:hyperlink r:id="rId25286969d084b9ec6"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Langor DW, Situ, YX &amp; Zhang, R (1999) Two new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(Coleoptera: Curculionidae) from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593-603.</w:t>
      </w:r>
    </w:p>
    <w:p>
      <w:pPr>
        <w:widowControl w:val="on"/>
        <w:pBdr/>
        <w:spacing w:before="220" w:after="220" w:line="240" w:lineRule="auto"/>
        <w:ind w:left="0" w:right="0"/>
        <w:jc w:val="left"/>
      </w:pPr>
      <w:r>
        <w:rPr>
          <w:rFonts w:ascii="Calibri" w:hAnsi="Calibri" w:eastAsia="Calibri" w:cs="Calibri"/>
          <w:color w:val="000000"/>
          <w:sz w:val="22"/>
          <w:szCs w:val="22"/>
        </w:rPr>
        <w:t xml:space="preserve">Li Y, Zhang Y, Yang F, Zhou J &amp; Chen S (2001) Damage by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sp. in Kunming City. </w:t>
      </w:r>
      <w:r>
        <w:rPr>
          <w:rFonts w:ascii="Calibri" w:hAnsi="Calibri" w:eastAsia="Calibri" w:cs="Calibri"/>
          <w:i/>
          <w:iCs/>
          <w:color w:val="000000"/>
          <w:sz w:val="22"/>
          <w:szCs w:val="22"/>
        </w:rPr>
        <w:t xml:space="preserve">Yunnan Forest Science Technology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Yunnan Lin Ye Ke Ji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53–5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 &amp; Langor DW (2011) Description of mature larvae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Langor and Zhang and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Langor and Zhang (Coleoptera: Curculionidae) from China.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157-166.</w:t>
      </w:r>
    </w:p>
    <w:p>
      <w:pPr>
        <w:widowControl w:val="on"/>
        <w:pBdr/>
        <w:spacing w:before="220" w:after="220" w:line="240" w:lineRule="auto"/>
        <w:ind w:left="0" w:right="0"/>
        <w:jc w:val="left"/>
      </w:pPr>
      <w:r>
        <w:rPr>
          <w:rFonts w:ascii="Calibri" w:hAnsi="Calibri" w:eastAsia="Calibri" w:cs="Calibri"/>
          <w:color w:val="000000"/>
          <w:sz w:val="22"/>
          <w:szCs w:val="22"/>
        </w:rPr>
        <w:t xml:space="preserve">Xu C, Zhang H, Zhang Z, Huang S &amp; Ye H (2002) Damage of </w:t>
      </w:r>
      <w:r>
        <w:rPr>
          <w:rFonts w:ascii="Calibri" w:hAnsi="Calibri" w:eastAsia="Calibri" w:cs="Calibri"/>
          <w:i/>
          <w:iCs/>
          <w:color w:val="000000"/>
          <w:sz w:val="22"/>
          <w:szCs w:val="22"/>
        </w:rPr>
        <w:t xml:space="preserve">Pissodes yunnanensis </w:t>
      </w:r>
      <w:r>
        <w:rPr>
          <w:rFonts w:ascii="Calibri" w:hAnsi="Calibri" w:eastAsia="Calibri" w:cs="Calibri"/>
          <w:color w:val="000000"/>
          <w:sz w:val="22"/>
          <w:szCs w:val="22"/>
        </w:rPr>
        <w:t xml:space="preserve">to the young trees of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Pests and Diseases of China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Zhong Guo Sen Lin Bing Chong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(3), 45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Zhang H, Langor DW, Ye H, Li Z &amp; Laffin RD (2007) Genetic divergence among populations of </w:t>
      </w:r>
      <w:r>
        <w:rPr>
          <w:rFonts w:ascii="Calibri" w:hAnsi="Calibri" w:eastAsia="Calibri" w:cs="Calibri"/>
          <w:i/>
          <w:iCs/>
          <w:color w:val="000000"/>
          <w:sz w:val="22"/>
          <w:szCs w:val="22"/>
        </w:rPr>
        <w:t xml:space="preserve">Pissodes </w:t>
      </w:r>
      <w:r>
        <w:rPr>
          <w:rFonts w:ascii="Calibri" w:hAnsi="Calibri" w:eastAsia="Calibri" w:cs="Calibri"/>
          <w:i/>
          <w:iCs/>
          <w:color w:val="000000"/>
          <w:sz w:val="22"/>
          <w:szCs w:val="22"/>
        </w:rPr>
        <w:t xml:space="preserve">yunnanensis</w:t>
      </w:r>
      <w:r>
        <w:rPr>
          <w:rFonts w:ascii="Calibri" w:hAnsi="Calibri" w:eastAsia="Calibri" w:cs="Calibri"/>
          <w:color w:val="000000"/>
          <w:sz w:val="22"/>
          <w:szCs w:val="22"/>
        </w:rPr>
        <w:t xml:space="preserve"> (Coleoptera: Curculionidae) in southwestern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308-318.</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Li Y, Yang F, Li P &amp; Li K (1999) A study of bionomics and control on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Journal of Southwest </w:t>
      </w:r>
      <w:r>
        <w:rPr>
          <w:rFonts w:ascii="Calibri" w:hAnsi="Calibri" w:eastAsia="Calibri" w:cs="Calibri"/>
          <w:i/>
          <w:iCs/>
          <w:color w:val="000000"/>
          <w:sz w:val="22"/>
          <w:szCs w:val="22"/>
        </w:rPr>
        <w:t xml:space="preserve">Forest College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Xinan Lin Xue Yuan Xuebao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118–21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Zhang H, Ye H, Haack RA &amp; Langor DW (2004) Biology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(Coleoptera: Curculionidae), a pest of Yunnan pine in southwestern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719-726.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Available at: </w:t>
      </w:r>
      <w:hyperlink r:id="rId77116969d084ba350" w:history="1">
        <w:r>
          <w:rPr>
            <w:rFonts w:ascii="Calibri" w:hAnsi="Calibri" w:eastAsia="Calibri" w:cs="Calibri"/>
            <w:color w:val="0000CC"/>
            <w:sz w:val="22"/>
            <w:szCs w:val="22"/>
            <w:u w:val="single"/>
          </w:rPr>
          <w:t xml:space="preserve">https://www.cabi.org/isc/datasheet/41494</w:t>
        </w:r>
      </w:hyperlink>
      <w:r>
        <w:rPr>
          <w:rFonts w:ascii="Calibri" w:hAnsi="Calibri" w:eastAsia="Calibri" w:cs="Calibri"/>
          <w:color w:val="000000"/>
          <w:sz w:val="22"/>
          <w:szCs w:val="22"/>
        </w:rPr>
        <w:t xml:space="preserve"> [Accessed 15 June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26856969d084ba3cc"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15 June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David W. Langor (Natural Resources Canada, Canadian Forest Service) and Stephen D. Langor. A brief update of the current status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in Yunnan Province was provided to D. Langor by Hongrui Zhang in July 2021.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EPPO datasheets on pests recommended for regulation. Available online. </w:t>
      </w:r>
      <w:hyperlink r:id="rId17576969d084ba4a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9986579" name="name99906969d084ba65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2476969d084ba65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396028">
    <w:multiLevelType w:val="hybridMultilevel"/>
    <w:lvl w:ilvl="0" w:tplc="52715495">
      <w:start w:val="1"/>
      <w:numFmt w:val="decimal"/>
      <w:lvlText w:val="%1."/>
      <w:lvlJc w:val="left"/>
      <w:pPr>
        <w:ind w:left="720" w:hanging="360"/>
      </w:pPr>
    </w:lvl>
    <w:lvl w:ilvl="1" w:tplc="52715495" w:tentative="1">
      <w:start w:val="1"/>
      <w:numFmt w:val="lowerLetter"/>
      <w:lvlText w:val="%2."/>
      <w:lvlJc w:val="left"/>
      <w:pPr>
        <w:ind w:left="1440" w:hanging="360"/>
      </w:pPr>
    </w:lvl>
    <w:lvl w:ilvl="2" w:tplc="52715495" w:tentative="1">
      <w:start w:val="1"/>
      <w:numFmt w:val="lowerRoman"/>
      <w:lvlText w:val="%3."/>
      <w:lvlJc w:val="right"/>
      <w:pPr>
        <w:ind w:left="2160" w:hanging="180"/>
      </w:pPr>
    </w:lvl>
    <w:lvl w:ilvl="3" w:tplc="52715495" w:tentative="1">
      <w:start w:val="1"/>
      <w:numFmt w:val="decimal"/>
      <w:lvlText w:val="%4."/>
      <w:lvlJc w:val="left"/>
      <w:pPr>
        <w:ind w:left="2880" w:hanging="360"/>
      </w:pPr>
    </w:lvl>
    <w:lvl w:ilvl="4" w:tplc="52715495" w:tentative="1">
      <w:start w:val="1"/>
      <w:numFmt w:val="lowerLetter"/>
      <w:lvlText w:val="%5."/>
      <w:lvlJc w:val="left"/>
      <w:pPr>
        <w:ind w:left="3600" w:hanging="360"/>
      </w:pPr>
    </w:lvl>
    <w:lvl w:ilvl="5" w:tplc="52715495" w:tentative="1">
      <w:start w:val="1"/>
      <w:numFmt w:val="lowerRoman"/>
      <w:lvlText w:val="%6."/>
      <w:lvlJc w:val="right"/>
      <w:pPr>
        <w:ind w:left="4320" w:hanging="180"/>
      </w:pPr>
    </w:lvl>
    <w:lvl w:ilvl="6" w:tplc="52715495" w:tentative="1">
      <w:start w:val="1"/>
      <w:numFmt w:val="decimal"/>
      <w:lvlText w:val="%7."/>
      <w:lvlJc w:val="left"/>
      <w:pPr>
        <w:ind w:left="5040" w:hanging="360"/>
      </w:pPr>
    </w:lvl>
    <w:lvl w:ilvl="7" w:tplc="52715495" w:tentative="1">
      <w:start w:val="1"/>
      <w:numFmt w:val="lowerLetter"/>
      <w:lvlText w:val="%8."/>
      <w:lvlJc w:val="left"/>
      <w:pPr>
        <w:ind w:left="5760" w:hanging="360"/>
      </w:pPr>
    </w:lvl>
    <w:lvl w:ilvl="8" w:tplc="52715495" w:tentative="1">
      <w:start w:val="1"/>
      <w:numFmt w:val="lowerRoman"/>
      <w:lvlText w:val="%9."/>
      <w:lvlJc w:val="right"/>
      <w:pPr>
        <w:ind w:left="6480" w:hanging="180"/>
      </w:pPr>
    </w:lvl>
  </w:abstractNum>
  <w:abstractNum w:abstractNumId="67396027">
    <w:multiLevelType w:val="hybridMultilevel"/>
    <w:lvl w:ilvl="0" w:tplc="293717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396027">
    <w:abstractNumId w:val="67396027"/>
  </w:num>
  <w:num w:numId="67396028">
    <w:abstractNumId w:val="6739602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3263998" Type="http://schemas.microsoft.com/office/2011/relationships/commentsExtended" Target="commentsExtended.xml"/><Relationship Id="rId159979523" Type="http://schemas.microsoft.com/office/2011/relationships/people" Target="people.xml"/><Relationship Id="rId57746969d084b7dad" Type="http://schemas.openxmlformats.org/officeDocument/2006/relationships/hyperlink" Target="https://gd.eppo.int/taxon/PISOYU/" TargetMode="External"/><Relationship Id="rId52786969d084b7e03" Type="http://schemas.openxmlformats.org/officeDocument/2006/relationships/hyperlink" Target="https://gd.eppo.int/taxon/PISOYU/categorization" TargetMode="External"/><Relationship Id="rId27146969d084b853c" Type="http://schemas.openxmlformats.org/officeDocument/2006/relationships/hyperlink" Target="https://gd.eppo.int/taxon/PISOYU/photos" TargetMode="External"/><Relationship Id="rId62486969d084b9a0f" Type="http://schemas.openxmlformats.org/officeDocument/2006/relationships/hyperlink" Target="https://www.ncbi.nlm.nih.gov/nuccore/?term=pissodes+yunnanensis" TargetMode="External"/><Relationship Id="rId25286969d084b9ec6" Type="http://schemas.openxmlformats.org/officeDocument/2006/relationships/hyperlink" Target="https://www.ippc.int/en/publications/640/" TargetMode="External"/><Relationship Id="rId77116969d084ba350" Type="http://schemas.openxmlformats.org/officeDocument/2006/relationships/hyperlink" Target="https://www.cabi.org/isc/datasheet/41494" TargetMode="External"/><Relationship Id="rId26856969d084ba3cc" Type="http://schemas.openxmlformats.org/officeDocument/2006/relationships/hyperlink" Target="https://efsa.onlinelibrary.wiley.com/doi/epdf/10.2903/sp.efsa.2020.EN-1910" TargetMode="External"/><Relationship Id="rId17576969d084ba4ad" Type="http://schemas.openxmlformats.org/officeDocument/2006/relationships/hyperlink" Target="https://gd.eppo.int" TargetMode="External"/><Relationship Id="rId54566969d084b840f" Type="http://schemas.openxmlformats.org/officeDocument/2006/relationships/image" Target="media/imgrId54566969d084b840f.jpg"/><Relationship Id="rId14426969d084b931d" Type="http://schemas.openxmlformats.org/officeDocument/2006/relationships/image" Target="media/imgrId14426969d084b931d.jpg"/><Relationship Id="rId32476969d084ba654" Type="http://schemas.openxmlformats.org/officeDocument/2006/relationships/image" Target="media/imgrId32476969d084ba65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