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terminalis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terminalis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Hopping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lodgepole terminal weevil, lodgepole-pine terminal weevil</w:t>
            </w:r>
            <w:hyperlink r:id="rId996366347aa91960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7066347aa9196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PISOTE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539231" name="name957066347aa919c3c" descr="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5.jpg"/>
                          <pic:cNvPicPr/>
                        </pic:nvPicPr>
                        <pic:blipFill>
                          <a:blip r:embed="rId829066347aa919c3b" cstate="print"/>
                          <a:stretch>
                            <a:fillRect/>
                          </a:stretch>
                        </pic:blipFill>
                        <pic:spPr>
                          <a:xfrm>
                            <a:off x="0" y="0"/>
                            <a:ext cx="2160000" cy="1281600"/>
                          </a:xfrm>
                          <a:prstGeom prst="rect">
                            <a:avLst/>
                          </a:prstGeom>
                          <a:ln w="0">
                            <a:noFill/>
                          </a:ln>
                        </pic:spPr>
                      </pic:pic>
                    </a:graphicData>
                  </a:graphic>
                </wp:inline>
              </w:drawing>
            </w:r>
            <w:hyperlink r:id="rId422466347aa919cf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was described by Hopping (1920) and there have been no further taxonomic or nomenclature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breeds in coniferous trees in the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attacking mainly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throughout most of its range and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jack pine x lodgepole pine hybrids in the prairie provinces of Canada. Bishop pine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Monterey pine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known to be occasionally attacked in California.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weevil species is distributed in the western half of the United States of America and Canada, ranging from southern parts of both Yukon and the Northwest Territories in the north, to California, Utah and Colorado in the south. Its distribution follows that of lodgepole pine, but it also occurs in the boreal forest in Alberta, Saskatchewan and Manitoba where the host is jack pine and its hybrids.</w:t>
      </w:r>
    </w:p>
    <w:p>
      <w:r>
        <w:drawing>
          <wp:inline distT="0" distB="0" distL="0" distR="0">
            <wp:extent cx="6120000" cy="3067200"/>
            <wp:docPr id="12026616" name="name396766347aa91ab8e" descr="PISOT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TE_distribution_map.jpg"/>
                    <pic:cNvPicPr/>
                  </pic:nvPicPr>
                  <pic:blipFill>
                    <a:blip r:embed="rId143266347aa91ab8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Northwest Territories, Saskatchewan, Yukon Territory), United States of America (California, Colorado, Idaho, Montana, Oregon, South Dakota,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this weevil species takes 1-2 years, depending on altitude and latitude. In the Cordilleran forests of Canada and at altitudes above 2000 m in Nevada and California and above 2500 m in Colorado a 2-year life cycle is common (Stevens &amp; Knopf, 1974;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Langor &amp; Williams, 1998). Overwintering adults emerge from the litter before all the snow has melted and are found on terminal leaders of trees from May to July. Beetles are more likely to be found on the longest, thickest, and most sun-exposed terminals in a stand (Maher, 1982; Langor &amp; Williams, 1998). Beetles feed for about two weeks during which the gonads mature and the fat body enlarges (Langor &amp; Williams, 1998). During feeding, beetles chew small feeding punctures into the phloem, usually near the base of the elongating terminal, consuming the tissue. Mating and oviposition occurs by about mid-June. All eggs are laid in the developing terminal leader. The female first chews an oviposition puncture into the phloem wherein one egg (rarely two) is deposited and the puncture capped with a plug of macerated phloem. Typically, fewer than 15 eggs are laid per terminal, but females oviposit on multiple terminals. The mean fecundity is 115 eggs per female (Kovacs &amp; McLean, 1990a). Larvae first appear in late June, and development proceeds through four larval instars. Upon hatching, young larvae feed in the phloem and move downward in the terminal for 1-2 cm before reversing direction 180° to mine upwards. Starting in early to mid-August, larvae move from the phloem into the pith of the terminal as third or fourth instars. Before entering the pith, each larva feeds around the entire circumference of the terminal, effectively girdling it, before boring into the pith. Once in the pith larvae feed upwards (70% of individuals) or downwards. Those that feed downward do not go beyond the first node. Most third instars moult before onset of winter so about 70-100% of the population overwinter as fourth instars in Western Alberta (Langor &amp; Williams, 1998). With onset of cold temperatures, guts are voided, and development stopped. Larvae do not have an obligatory diapause. Larval development continues in May of the following year, with pupation occurring from late May to June and adults appearing by early July. Adults emerge from the terminal after several days by chewing round emergence holes of 2-4 mm diameter. Adults feed on fresh phloem of branches until autumn when they enter the litter layer to overwinter. Adults have an obligatory diapause and there are overlapping generations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boreal forest of Western Canada and at altitudes below 2000 m in the southern parts of its range in Nevada, California and Colorado, a 1-year life cycle is typical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With a 1-year life cycle, the entire population is synchronized (i.e., there are not overlapping generations)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Overwintering adults emerge from the litter in May and June, and their subsequent behaviour is similar to that reported in the previous paragraph. Pupation occurs in late July in the pith, and an average of two (but up to eight) adults emerge from each terminal from mid-August to September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After a brief feeding period, adults fall or crawl to the ground to overwinter.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variations on these two common phenologies reported in California (Stark &amp; Wood, 1964; Cameron &amp; Stark, 1989) and British Columbia (Maher, 1982; Kovacs &amp; McLean, 1990a).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Alberta and Saskatchewan (Canada), adult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trees 1.5–9.0 m tall, but typically 2.0–6.0 m tall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this is similar in Colorado (Stevens &amp; Knopf, 1974). The first signs of attack are visible on the terminals of pines in late May or June when beads of resin ooze from feeding and oviposition punctures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glistening resin is visible from up to 15 m away on sunny days. Upon close examination of terminal leaders, feeding and oviposition punctures (~1 mm diameter) are visible, particularly in the lower third of the terminal and sometimes on secondary shoots and second-year conelets. When larvae start mining the phloem, the tissue over the feeding tunnels turns magenta, contrasting with the typical green of healthy tissue. The feeding of the larvae and eventual girdling of the terminal leader ultimately causes the foliage of the leader to fade to yellow or orange-red. In jack pine in the boreal forest of Western Canada, where there is a 1-year life cycle, foliage of terminals slowly fades from yellow in June to rusty-red by late July. In addition, the terminal leader tends to droop into the shape of a shepherd’s crook by July. In Cordilleran forests of Alberta and British Columbia, infested terminals of lodgepole pine usually fades in September or October, turning a brick-red colour by the following spring, but terminals do not droop to form a shepherd’s crook. Dissection of discoloured terminals will reveal the presence of larvae, pupae and/or adults in the pith. This species does not make chip cocoons before pupation. After adults emerge, they create circular emergence holes of 2-4 mm diameter in the bark. Dead terminals can remain on trees for many years after beetles have emerged. Old feeding and oviposition punctures, larval galleries and adult emergence holes can be used to identify old attacks. When the terminal leader dies, the main stem usually develops a major crook or fork, but these usually straighten out after 2-3 years. It is unusual for the same tree to be attacked in successive years.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to confuse the symptoms caused by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with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both species attack the tops of trees and cause the terminal leader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However, it is possible to distinguish these two species even as early as during feeding and oviposition: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leader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i.e., the portion of the stem below the current year’s elongating terminal,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in the phloem and outer wood of the stem growth of the previous year (or even 2-4 years)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can be discriminated from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 similar ways.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average 0.9 mm in length and 0.6 mm wide in California (Cameron &amp; Stark, 1989),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accompanied by illustrations, are provided by Williams &amp; Langor (2002a), and detailed descriptions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5-9 mm in length and are milk-white, but they become darker when the adult is nearly ready to emerge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5-9 mm long. There is no easy way to discriminate between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distinct from native species in the EPPO region and from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commonly attacks pine saplings ranging from 1.5-9.0 m tall and is most common on trees growing in plantations with an open canopy. Young saplings with copious resin droplets on the current year’s stem growth should be investigated for signs of weevil attack such as feeding and oviposition punctures and presence of adults on the bark. Drooping of the terminal leader on some pine species and eventual discoloration of needles is also a sign of infestation. Removal of bark on current year’s growth on trees suspected of being infested may reveal larval galleries in the phloem, sapwood and pith, pupae, callow adults and/or round adult emergence holes in the bark. This species does not produce chip cocoons.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likely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Christmas trees, especially lodgepole pine and jack pine. As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attacks only the terminal leader, it is unlikely to be carried by wood commodities or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terminalis </w:t>
      </w:r>
      <w:r>
        <w:rPr>
          <w:rFonts w:ascii="Calibri" w:hAnsi="Calibri" w:eastAsia="Calibri" w:cs="Calibri"/>
          <w:color w:val="000000"/>
          <w:sz w:val="22"/>
          <w:szCs w:val="22"/>
        </w:rPr>
        <w:t xml:space="preserve">feed upward in the leader and thus can kill only one year’s height growth during the year of attack. After a leader dies, one or more of the branches of the node below the terminal assumes leadership. Tree height loss caused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can be recovered in 2-3 years if the tree is not attacked in succeeding years (Stevenson &amp; Petty, 1968). However, occasionally some trees may be attacked for up to four successive years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and repeated attacks can cause a crooked or forked stem which reduces the tree’s value for lumber production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Stem deformities can result in reduction of merchantable volume through lost height growth and degrading of lumber due to grain aberrations at the site of the crook (Maher, 1982). Thinning of young lodgepole pine and jack pine stands can increase the number of trees attacked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by 15-480%, and as many as 87% (cumulative) of pines can be attacked in thinned plantations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yearly incidence of attack is typically 2-5% but can be as high as 30%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un-thinned plantations managed for wood production, weevil control is generally not necessary. In thinned or spaced high value plantations (e.g. genetics trials, Christmas tree nurseries), control measures may be necessary. Small infestations in plantations may be controlled by pruning the infested leader just above the topmost whorl of branches as soon as damage symptoms are seen (e.g. resin flow from leaders, foliage discolouration, shepherd’s crook). As weevils can survive in cut terminals, it is necessary that pruned terminals are destroyed by chipping, burning or burying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 new leader can be encouraged by clipping all but the strongest branch of the uppermost whorl.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eradicate the population or keep it in check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As there are several species of parasitoids that attack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(Kovacs &amp; McLean 1990b,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may be possible to augment parasitoid populations in plantations by caging pruned infested terminals in meshed cages whereby the mesh size is sufficiently fine to trap the robust weevils but coarse enough to allow escape of the slender parasitoids (Langor &amp; Williams, 1998). Application of insecticides to infested terminal leaders may also be an effective control strategy as this tactic is effective for another North American terminal-infesting species,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is a more uncommon host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particularly in South-Western Europe (EUFORGEN, 2023), and the weevil could probably establish on these species under European conditions. In its native range,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infests mainly pines in the Subsection </w:t>
      </w:r>
      <w:r>
        <w:rPr>
          <w:rFonts w:ascii="Calibri" w:hAnsi="Calibri" w:eastAsia="Calibri" w:cs="Calibri"/>
          <w:i/>
          <w:iCs/>
          <w:color w:val="000000"/>
          <w:sz w:val="22"/>
          <w:szCs w:val="22"/>
        </w:rPr>
        <w:t xml:space="preserve">Contortae</w:t>
      </w:r>
      <w:r>
        <w:rPr>
          <w:rFonts w:ascii="Calibri" w:hAnsi="Calibri" w:eastAsia="Calibri" w:cs="Calibri"/>
          <w:color w:val="000000"/>
          <w:sz w:val="22"/>
          <w:szCs w:val="22"/>
        </w:rPr>
        <w:t xml:space="preserve"> and less frequently pines in the Subsection </w:t>
      </w:r>
      <w:r>
        <w:rPr>
          <w:rFonts w:ascii="Calibri" w:hAnsi="Calibri" w:eastAsia="Calibri" w:cs="Calibri"/>
          <w:i/>
          <w:iCs/>
          <w:color w:val="000000"/>
          <w:sz w:val="22"/>
          <w:szCs w:val="22"/>
        </w:rPr>
        <w:t xml:space="preserve">Australes</w:t>
      </w:r>
      <w:r>
        <w:rPr>
          <w:rFonts w:ascii="Calibri" w:hAnsi="Calibri" w:eastAsia="Calibri" w:cs="Calibri"/>
          <w:color w:val="000000"/>
          <w:sz w:val="22"/>
          <w:szCs w:val="22"/>
        </w:rPr>
        <w:t xml:space="preserve">. There are no species of these Subsections native to the EPPO Region. The potential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to spread and cause extensive damage to native European pines seems unlikely and, thus, it presents a relatively low-to-moderate risk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EPPO recommends that plants for planting (except seeds) and cut branches (including Christmas trees) of hosts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wood commodities are unlikely pathways (see Pathways for movement), phytosanitary measures are not detailed here. Measures for various wood commodities in relation to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EA &amp; Stark RW (1989) Variations in the life cycle of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793-601.</w:t>
      </w:r>
    </w:p>
    <w:p>
      <w:pPr>
        <w:widowControl w:val="on"/>
        <w:pBdr/>
        <w:spacing w:before="220" w:after="220" w:line="240" w:lineRule="auto"/>
        <w:ind w:left="0" w:right="0"/>
        <w:jc w:val="left"/>
      </w:pPr>
      <w:r>
        <w:rPr>
          <w:rFonts w:ascii="Calibri" w:hAnsi="Calibri" w:eastAsia="Calibri" w:cs="Calibri"/>
          <w:color w:val="000000"/>
          <w:sz w:val="22"/>
          <w:szCs w:val="22"/>
        </w:rPr>
        <w:t xml:space="preserve">Drouin JA, Sullivan CR &amp; Smith SG (1963) Occurrence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 (Coleoptera: Curculionidae) in Canada: life history, behaviour, and cytogenetic identification.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70-76.</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Natural Resources Canada, Canadian Forest Service, Northern Forestry Centre,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436666347aa91b7f5"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EUFORGEN (2023) Species -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European Forest Genetic Resources Programme. </w:t>
      </w:r>
      <w:hyperlink r:id="rId839966347aa91b83b" w:history="1">
        <w:r>
          <w:rPr>
            <w:rFonts w:ascii="Calibri" w:hAnsi="Calibri" w:eastAsia="Calibri" w:cs="Calibri"/>
            <w:color w:val="0000CC"/>
            <w:sz w:val="22"/>
            <w:szCs w:val="22"/>
            <w:u w:val="single"/>
          </w:rPr>
          <w:t xml:space="preserve">https://www.euforgen.org/species/</w:t>
        </w:r>
      </w:hyperlink>
      <w:r>
        <w:rPr>
          <w:rFonts w:ascii="Calibri" w:hAnsi="Calibri" w:eastAsia="Calibri" w:cs="Calibri"/>
          <w:color w:val="000000"/>
          <w:sz w:val="22"/>
          <w:szCs w:val="22"/>
        </w:rPr>
        <w:t xml:space="preserve"> [accessed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Hopping R (1920) A new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132-134.</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(1990a) Notes on the longevity, fecundity and development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68-73.</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(1990b) Emergence patterns of terminal weevils (Coleoptera: Curculionidae) and their parasitoids from lodgepole pine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Forestry Canada, Northwest Region,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Williams DJM (1998) Life history and mortality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(Coleoptera: Curculionidae) in lodgepole pine in Alberta.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Maher TF (1982) The biology and impact of the lodgepole terminal weevil in the Cariboo Forest Region. MF thesis, University of British Columbia, Vancouver,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Stark RW &amp; Wood DL (1964) The biology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1208-1218.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&amp; Knopf FA (1974) Lodgepole terminal weevil in interior lodgepole forests.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998-1002.</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RE &amp; Petty JJ (1968)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in the Alberta/ Northwest Territories Region. Canadian Department of Forestry and Rural Development</w:t>
      </w:r>
      <w:r>
        <w:rPr>
          <w:rFonts w:ascii="Calibri" w:hAnsi="Calibri" w:eastAsia="Calibri" w:cs="Calibri"/>
          <w:i/>
          <w:iCs/>
          <w:color w:val="000000"/>
          <w:sz w:val="22"/>
          <w:szCs w:val="22"/>
        </w:rPr>
        <w:t xml:space="preserve">, Bimonthly Research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6.</w:t>
      </w:r>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Review, 1-15.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EPPO datasheets on pests recommended for regulation. Available online. </w:t>
      </w:r>
      <w:hyperlink r:id="rId433166347aa91bd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851866347aa91be85" w:history="1">
        <w:r>
          <w:rPr>
            <w:rFonts w:ascii="Calibri" w:hAnsi="Calibri" w:eastAsia="Calibri" w:cs="Calibri"/>
            <w:color w:val="0000CC"/>
            <w:sz w:val="22"/>
            <w:szCs w:val="22"/>
            <w:u w:val="single"/>
          </w:rPr>
          <w:t xml:space="preserve">https://doi.org/10.1111/j.1365-2338.1980.tb02698.x</w:t>
        </w:r>
      </w:hyperlink>
      <w:r>
        <w:rPr>
          <w:rFonts w:ascii="Calibri" w:hAnsi="Calibri" w:eastAsia="Calibri" w:cs="Calibri"/>
          <w:color w:val="000000"/>
          <w:sz w:val="22"/>
          <w:szCs w:val="22"/>
        </w:rPr>
        <w:t xml:space="preserve"> </w:t>
      </w:r>
    </w:p>
    <w:p>
      <w:r>
        <w:drawing>
          <wp:inline distT="0" distB="0" distL="0" distR="0">
            <wp:extent cx="1800000" cy="604800"/>
            <wp:docPr id="90809587" name="name237966347aa91c1e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4366347aa91c1e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59344">
    <w:multiLevelType w:val="hybridMultilevel"/>
    <w:lvl w:ilvl="0" w:tplc="93426784">
      <w:start w:val="1"/>
      <w:numFmt w:val="decimal"/>
      <w:lvlText w:val="%1."/>
      <w:lvlJc w:val="left"/>
      <w:pPr>
        <w:ind w:left="720" w:hanging="360"/>
      </w:pPr>
    </w:lvl>
    <w:lvl w:ilvl="1" w:tplc="93426784" w:tentative="1">
      <w:start w:val="1"/>
      <w:numFmt w:val="lowerLetter"/>
      <w:lvlText w:val="%2."/>
      <w:lvlJc w:val="left"/>
      <w:pPr>
        <w:ind w:left="1440" w:hanging="360"/>
      </w:pPr>
    </w:lvl>
    <w:lvl w:ilvl="2" w:tplc="93426784" w:tentative="1">
      <w:start w:val="1"/>
      <w:numFmt w:val="lowerRoman"/>
      <w:lvlText w:val="%3."/>
      <w:lvlJc w:val="right"/>
      <w:pPr>
        <w:ind w:left="2160" w:hanging="180"/>
      </w:pPr>
    </w:lvl>
    <w:lvl w:ilvl="3" w:tplc="93426784" w:tentative="1">
      <w:start w:val="1"/>
      <w:numFmt w:val="decimal"/>
      <w:lvlText w:val="%4."/>
      <w:lvlJc w:val="left"/>
      <w:pPr>
        <w:ind w:left="2880" w:hanging="360"/>
      </w:pPr>
    </w:lvl>
    <w:lvl w:ilvl="4" w:tplc="93426784" w:tentative="1">
      <w:start w:val="1"/>
      <w:numFmt w:val="lowerLetter"/>
      <w:lvlText w:val="%5."/>
      <w:lvlJc w:val="left"/>
      <w:pPr>
        <w:ind w:left="3600" w:hanging="360"/>
      </w:pPr>
    </w:lvl>
    <w:lvl w:ilvl="5" w:tplc="93426784" w:tentative="1">
      <w:start w:val="1"/>
      <w:numFmt w:val="lowerRoman"/>
      <w:lvlText w:val="%6."/>
      <w:lvlJc w:val="right"/>
      <w:pPr>
        <w:ind w:left="4320" w:hanging="180"/>
      </w:pPr>
    </w:lvl>
    <w:lvl w:ilvl="6" w:tplc="93426784" w:tentative="1">
      <w:start w:val="1"/>
      <w:numFmt w:val="decimal"/>
      <w:lvlText w:val="%7."/>
      <w:lvlJc w:val="left"/>
      <w:pPr>
        <w:ind w:left="5040" w:hanging="360"/>
      </w:pPr>
    </w:lvl>
    <w:lvl w:ilvl="7" w:tplc="93426784" w:tentative="1">
      <w:start w:val="1"/>
      <w:numFmt w:val="lowerLetter"/>
      <w:lvlText w:val="%8."/>
      <w:lvlJc w:val="left"/>
      <w:pPr>
        <w:ind w:left="5760" w:hanging="360"/>
      </w:pPr>
    </w:lvl>
    <w:lvl w:ilvl="8" w:tplc="93426784" w:tentative="1">
      <w:start w:val="1"/>
      <w:numFmt w:val="lowerRoman"/>
      <w:lvlText w:val="%9."/>
      <w:lvlJc w:val="right"/>
      <w:pPr>
        <w:ind w:left="6480" w:hanging="180"/>
      </w:pPr>
    </w:lvl>
  </w:abstractNum>
  <w:abstractNum w:abstractNumId="66559343">
    <w:multiLevelType w:val="hybridMultilevel"/>
    <w:lvl w:ilvl="0" w:tplc="74942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59343">
    <w:abstractNumId w:val="66559343"/>
  </w:num>
  <w:num w:numId="66559344">
    <w:abstractNumId w:val="665593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8051242" Type="http://schemas.microsoft.com/office/2011/relationships/commentsExtended" Target="commentsExtended.xml"/><Relationship Id="rId660939212" Type="http://schemas.microsoft.com/office/2011/relationships/people" Target="people.xml"/><Relationship Id="rId996366347aa91960d" Type="http://schemas.openxmlformats.org/officeDocument/2006/relationships/hyperlink" Target="https://gd.eppo.int/taxon/PISOTE/" TargetMode="External"/><Relationship Id="rId817066347aa919657" Type="http://schemas.openxmlformats.org/officeDocument/2006/relationships/hyperlink" Target="https://gd.eppo.int/taxon/PISOTE/categorization" TargetMode="External"/><Relationship Id="rId422466347aa919cfd" Type="http://schemas.openxmlformats.org/officeDocument/2006/relationships/hyperlink" Target="https://gd.eppo.int/taxon/PISOTE/photos" TargetMode="External"/><Relationship Id="rId436666347aa91b7f5" Type="http://schemas.openxmlformats.org/officeDocument/2006/relationships/hyperlink" Target="https://eur-lex.europa.eu/legal-content/EN/TXT/?uri=CELEX%3A32019R2072" TargetMode="External"/><Relationship Id="rId839966347aa91b83b" Type="http://schemas.openxmlformats.org/officeDocument/2006/relationships/hyperlink" Target="https://www.euforgen.org/species/" TargetMode="External"/><Relationship Id="rId433166347aa91bd83" Type="http://schemas.openxmlformats.org/officeDocument/2006/relationships/hyperlink" Target="https://gd.eppo.int" TargetMode="External"/><Relationship Id="rId851866347aa91be85" Type="http://schemas.openxmlformats.org/officeDocument/2006/relationships/hyperlink" Target="https://doi.org/10.1111/j.1365-2338.1980.tb02698.x" TargetMode="External"/><Relationship Id="rId829066347aa919c3b" Type="http://schemas.openxmlformats.org/officeDocument/2006/relationships/image" Target="media/imgrId829066347aa919c3b.jpg"/><Relationship Id="rId143266347aa91ab8c" Type="http://schemas.openxmlformats.org/officeDocument/2006/relationships/image" Target="media/imgrId143266347aa91ab8c.jpg"/><Relationship Id="rId324366347aa91c1e1" Type="http://schemas.openxmlformats.org/officeDocument/2006/relationships/image" Target="media/imgrId324366347aa91c1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