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Pissodes strobi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2023-03-30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Pissodes strobi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(Peck)</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Molytinae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Pissodes engelmanni</w:t>
            </w:r>
            <w:r>
              <w:rPr>
                <w:rFonts w:ascii="Calibri" w:hAnsi="Calibri" w:eastAsia="Calibri" w:cs="Calibri"/>
                <w:color w:val="000000"/>
                <w:position w:val="-3"/>
                <w:sz w:val="22"/>
                <w:szCs w:val="22"/>
              </w:rPr>
              <w:t xml:space="preserve"> Hopkins, </w:t>
            </w:r>
            <w:r>
              <w:rPr>
                <w:rFonts w:ascii="Calibri" w:hAnsi="Calibri" w:eastAsia="Calibri" w:cs="Calibri"/>
                <w:i/>
                <w:iCs/>
                <w:color w:val="000000"/>
                <w:position w:val="-3"/>
                <w:sz w:val="22"/>
                <w:szCs w:val="22"/>
              </w:rPr>
              <w:t xml:space="preserve">Pissodes sitchensis</w:t>
            </w:r>
            <w:r>
              <w:rPr>
                <w:rFonts w:ascii="Calibri" w:hAnsi="Calibri" w:eastAsia="Calibri" w:cs="Calibri"/>
                <w:color w:val="000000"/>
                <w:position w:val="-3"/>
                <w:sz w:val="22"/>
                <w:szCs w:val="22"/>
              </w:rPr>
              <w:t xml:space="preserve"> Hopkins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Engelmann-spruce weevil, Sitka-spruce weevil, white-pine weevil</w:t>
            </w:r>
            <w:hyperlink r:id="rId141767e88de53292a"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304367e88de532998"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PISOST</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61661707" name="name302567e88de532a8d" descr="148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875.jpg"/>
                          <pic:cNvPicPr/>
                        </pic:nvPicPr>
                        <pic:blipFill>
                          <a:blip r:embed="rId556067e88de532a8b" cstate="print"/>
                          <a:stretch>
                            <a:fillRect/>
                          </a:stretch>
                        </pic:blipFill>
                        <pic:spPr>
                          <a:xfrm>
                            <a:off x="0" y="0"/>
                            <a:ext cx="2160000" cy="1281600"/>
                          </a:xfrm>
                          <a:prstGeom prst="rect">
                            <a:avLst/>
                          </a:prstGeom>
                          <a:ln w="0">
                            <a:noFill/>
                          </a:ln>
                        </pic:spPr>
                      </pic:pic>
                    </a:graphicData>
                  </a:graphic>
                </wp:inline>
              </w:drawing>
            </w:r>
            <w:hyperlink r:id="rId864467e88de532be3"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Much information about this species is published under the junior synonyms </w:t>
      </w:r>
      <w:r>
        <w:rPr>
          <w:rFonts w:ascii="Calibri" w:hAnsi="Calibri" w:eastAsia="Calibri" w:cs="Calibri"/>
          <w:i/>
          <w:iCs/>
          <w:color w:val="000000"/>
          <w:sz w:val="22"/>
          <w:szCs w:val="22"/>
        </w:rPr>
        <w:t xml:space="preserve">P. engelmanni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sitchensis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is known to naturally hybridize with </w:t>
      </w:r>
      <w:r>
        <w:rPr>
          <w:rFonts w:ascii="Calibri" w:hAnsi="Calibri" w:eastAsia="Calibri" w:cs="Calibri"/>
          <w:i/>
          <w:iCs/>
          <w:color w:val="000000"/>
          <w:sz w:val="22"/>
          <w:szCs w:val="22"/>
        </w:rPr>
        <w:t xml:space="preserve">P. nemorensis</w:t>
      </w:r>
      <w:r>
        <w:rPr>
          <w:rFonts w:ascii="Calibri" w:hAnsi="Calibri" w:eastAsia="Calibri" w:cs="Calibri"/>
          <w:color w:val="000000"/>
          <w:sz w:val="22"/>
          <w:szCs w:val="22"/>
        </w:rPr>
        <w:t xml:space="preserve"> in eastern North America and produce viable offspring (Boyce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but it is not known how commonly this happens.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is confined to coniferous trees and almost exclusively infests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Picea</w:t>
      </w:r>
      <w:r>
        <w:rPr>
          <w:rFonts w:ascii="Calibri" w:hAnsi="Calibri" w:eastAsia="Calibri" w:cs="Calibri"/>
          <w:color w:val="000000"/>
          <w:sz w:val="22"/>
          <w:szCs w:val="22"/>
        </w:rPr>
        <w:t xml:space="preserve"> throughout its range. It attacks mainly Sitka spruce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along the Pacific coast of North America, Engelmann spruce (</w:t>
      </w:r>
      <w:r>
        <w:rPr>
          <w:rFonts w:ascii="Calibri" w:hAnsi="Calibri" w:eastAsia="Calibri" w:cs="Calibri"/>
          <w:i/>
          <w:iCs/>
          <w:color w:val="000000"/>
          <w:sz w:val="22"/>
          <w:szCs w:val="22"/>
        </w:rPr>
        <w:t xml:space="preserve">Picea engelmannii</w:t>
      </w:r>
      <w:r>
        <w:rPr>
          <w:rFonts w:ascii="Calibri" w:hAnsi="Calibri" w:eastAsia="Calibri" w:cs="Calibri"/>
          <w:color w:val="000000"/>
          <w:sz w:val="22"/>
          <w:szCs w:val="22"/>
        </w:rPr>
        <w:t xml:space="preserve">), white spruce (</w:t>
      </w:r>
      <w:r>
        <w:rPr>
          <w:rFonts w:ascii="Calibri" w:hAnsi="Calibri" w:eastAsia="Calibri" w:cs="Calibri"/>
          <w:i/>
          <w:iCs/>
          <w:color w:val="000000"/>
          <w:sz w:val="22"/>
          <w:szCs w:val="22"/>
        </w:rPr>
        <w:t xml:space="preserve">Picea glauca</w:t>
      </w:r>
      <w:r>
        <w:rPr>
          <w:rFonts w:ascii="Calibri" w:hAnsi="Calibri" w:eastAsia="Calibri" w:cs="Calibri"/>
          <w:color w:val="000000"/>
          <w:sz w:val="22"/>
          <w:szCs w:val="22"/>
        </w:rPr>
        <w:t xml:space="preserve">) and their hybrids in British Columbia and Pacific Northwest states, white spruce in the Canadian Prairie Provinces and US Great Plains, jack pine (</w:t>
      </w:r>
      <w:r>
        <w:rPr>
          <w:rFonts w:ascii="Calibri" w:hAnsi="Calibri" w:eastAsia="Calibri" w:cs="Calibri"/>
          <w:i/>
          <w:iCs/>
          <w:color w:val="000000"/>
          <w:sz w:val="22"/>
          <w:szCs w:val="22"/>
        </w:rPr>
        <w:t xml:space="preserve">Pinus banksiana</w:t>
      </w:r>
      <w:r>
        <w:rPr>
          <w:rFonts w:ascii="Calibri" w:hAnsi="Calibri" w:eastAsia="Calibri" w:cs="Calibri"/>
          <w:color w:val="000000"/>
          <w:sz w:val="22"/>
          <w:szCs w:val="22"/>
        </w:rPr>
        <w:t xml:space="preserve">) in the eastern half of Canada, and eastern white pine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in Eastern Canada and North-Eastern USA.Many other native pines and spruces also serve as hosts.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also readily attacks and successfully breeds in several tree species native to the EPPO region that are planted in North America. Norway spruce (</w:t>
      </w:r>
      <w:r>
        <w:rPr>
          <w:rFonts w:ascii="Calibri" w:hAnsi="Calibri" w:eastAsia="Calibri" w:cs="Calibri"/>
          <w:i/>
          <w:iCs/>
          <w:color w:val="000000"/>
          <w:sz w:val="22"/>
          <w:szCs w:val="22"/>
        </w:rPr>
        <w:t xml:space="preserve">Picea abies</w:t>
      </w:r>
      <w:r>
        <w:rPr>
          <w:rFonts w:ascii="Calibri" w:hAnsi="Calibri" w:eastAsia="Calibri" w:cs="Calibri"/>
          <w:color w:val="000000"/>
          <w:sz w:val="22"/>
          <w:szCs w:val="22"/>
        </w:rPr>
        <w:t xml:space="preserve">) is commonly infested in Eastern Canada and is even preferred for oviposition over the native </w:t>
      </w:r>
      <w:r>
        <w:rPr>
          <w:rFonts w:ascii="Calibri" w:hAnsi="Calibri" w:eastAsia="Calibri" w:cs="Calibri"/>
          <w:i/>
          <w:iCs/>
          <w:color w:val="000000"/>
          <w:sz w:val="22"/>
          <w:szCs w:val="22"/>
        </w:rPr>
        <w:t xml:space="preserve">P. glauca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(Hamel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On Vancouver Island, the European </w:t>
      </w:r>
      <w:r>
        <w:rPr>
          <w:rFonts w:ascii="Calibri" w:hAnsi="Calibri" w:eastAsia="Calibri" w:cs="Calibri"/>
          <w:i/>
          <w:iCs/>
          <w:color w:val="000000"/>
          <w:sz w:val="22"/>
          <w:szCs w:val="22"/>
        </w:rPr>
        <w:t xml:space="preserve">Picea omorika</w:t>
      </w:r>
      <w:r>
        <w:rPr>
          <w:rFonts w:ascii="Calibri" w:hAnsi="Calibri" w:eastAsia="Calibri" w:cs="Calibri"/>
          <w:color w:val="000000"/>
          <w:sz w:val="22"/>
          <w:szCs w:val="22"/>
        </w:rPr>
        <w:t xml:space="preserve"> proved as susceptible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as the native Sitka spruce (Hulme &amp; Dawson, 1992). Scots pine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is also readily colonized in North American plantations (Khalil, 1969; Klein, 1971). A comprehensive list of host plants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is found in Smith &amp; Sugden (1969).</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abies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engelmannii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mariana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omorika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pungens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rubens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balfouriana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banksiana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cembra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densiflora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flexilis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monticola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mugo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pungens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resinosa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rigida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wallichiana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Pseudotsuga menziesii</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has a large distribution in North America ranging from Alaska and the southern part of Northwest Territories south to California, Arizona and New Mexico, across the entirety of Canada (except for Newfoundland and Labrador) and adjacent states, and throughout the North-Eastern USA as far south as Georgia and Tennessee. Old records from Mexico and Newfoundland are incorrect.</w:t>
      </w:r>
    </w:p>
    <w:p>
      <w:r>
        <w:drawing>
          <wp:inline distT="0" distB="0" distL="0" distR="0">
            <wp:extent cx="6120000" cy="3067200"/>
            <wp:docPr id="24407183" name="name511767e88de53435e" descr="PISOST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SOST_distribution_map.jpg"/>
                    <pic:cNvPicPr/>
                  </pic:nvPicPr>
                  <pic:blipFill>
                    <a:blip r:embed="rId446067e88de53435a"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Northwest Territories, Nova Scotia, Ontario, Prince Edward Island, Québec, Saskatchewan), United States of America (Alaska, Arizona, California, Colorado, Connecticut, Delaware, Georgia, Idaho, Illinois, Indiana, Iowa, Maine, Maryland, Massachusetts, Michigan, Minnesota, Montana, New Hampshire, New Jersey, New Mexico, New York, North Carolina, North Dakota, Ohio, Oregon, Pennsylvania, Rhode Island, South Carolina, Tennessee, Utah, Vermont, Virginia, Washington, West Virginia, Wisconsin)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biology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is well documented (e.g., Alfaro, 1994; Hamid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and these publications are the main sources utilized for this summary. Adults overwinter in the leaf litter. They leave their hibernation sites in March to late April and walk or fly to host trees where they feed on the previous year’s terminal leader (referred to as ‘terminal’ from here on). There can be more than one terminal on a tree and 1-3 of these can be attacked in the same year. It is not known how far adults can disperse in a season, but they probably travel only far enough to find suitable hosts, which is typically tens to hundreds of metres in forests where there has been harvesting activity and thus where there are plentiful young, regenerating trees. Adults tend to select host trees with the longest and thickest terminal leaders, and these are usually open growing individuals. Adults feed on the inner bark and cambium, chewing a hole of about 1.0-1.5 mm in diameter through the bark to reach these tissues. Feeding is usually concentrated in the apical half of the previous year’s terminal, but can extend over its entirety when weevil populations are high. Adult feeding activity is influenced by chemical stimulants in the bark (Alfaro &amp; Borden, 1985). During feeding, males produce an aggregation pheromone consisting of grandisol and grandisal (Booth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 Mating occurs on the terminal. A few days after the start of adult feeding, oviposition commences whereby eggs are laid in some of the feeding punctures, which are then termed oviposition punctures. Oviposition punctures are capped with a dark brown plug of excrement but punctures made only for feeding are not. In areas where there are very high weevil populations, oviposition can occur on the stem just below the emergence holes of the previous year, and larval feeding continues down the stem destroying additional years of growth.</w:t>
      </w:r>
    </w:p>
    <w:p>
      <w:pPr>
        <w:widowControl w:val="on"/>
        <w:pBdr/>
        <w:spacing w:before="220" w:after="220" w:line="240" w:lineRule="auto"/>
        <w:ind w:left="0" w:right="0"/>
        <w:jc w:val="both"/>
      </w:pPr>
      <w:r>
        <w:rPr>
          <w:rFonts w:ascii="Calibri" w:hAnsi="Calibri" w:eastAsia="Calibri" w:cs="Calibri"/>
          <w:color w:val="000000"/>
          <w:sz w:val="22"/>
          <w:szCs w:val="22"/>
        </w:rPr>
        <w:t xml:space="preserve">Typically one egg, but occasionally as many as four, are laid in each oviposition puncture. Adults usually remain on trees between late March and July. Air temperatures of at least 8°C are required for adult activity, and activity stops above 35°C (Hulme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On eastern white pine, females lay an average of 132 eggs (range 40-344) in the laboratory when supplied with unlimited host material (Trudel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Most females oviposit in more than one terminal and most terminals contain eggs from more than one female. Many eggs and newly hatched larvae can be inundated with resin and killed. When eggs hatch, young larvae commence feeding in the phloem, moving downward in the terminal. Eventually feeding galleries coalesce forming feeding groups, and groups eventually join together to form a feeding ring that spans the circumference of the terminal, effectively girdling it. Larvae that hatch first and become part of the feeding ring tend to be most successful. Late hatching larvae and those that lag behind the feeding ring find little to eat and die of starvation, or are killed by insect predators under the bark. Larvae first feed in the phloem and as they grow they can also feed on the cambium and even outer wood. There are four larval instars, and third and fourth instars are attacked by hymenopterous parasitoids. Feeding continues for 5-6 weeks, and by late May pupae start to appear. Mature larvae excavate chambers in the outer wood, which can even reach the pith in thin terminals. Larvae chew off small shreds of wood which they use to line the walls of the so called ‘chip cocoon’, and pupate within.</w:t>
      </w:r>
    </w:p>
    <w:p>
      <w:pPr>
        <w:widowControl w:val="on"/>
        <w:pBdr/>
        <w:spacing w:before="220" w:after="220" w:line="240" w:lineRule="auto"/>
        <w:ind w:left="0" w:right="0"/>
        <w:jc w:val="both"/>
      </w:pPr>
      <w:r>
        <w:rPr>
          <w:rFonts w:ascii="Calibri" w:hAnsi="Calibri" w:eastAsia="Calibri" w:cs="Calibri"/>
          <w:color w:val="000000"/>
          <w:sz w:val="22"/>
          <w:szCs w:val="22"/>
        </w:rPr>
        <w:t xml:space="preserve">Pupation lasts 2-3 weeks and new callow adults remain in their chip cocoons for two weeks as their cuticle hardens. The adult emergence period extends from mid-July to late August or even to September in some cooler environments. Hardened adults chew round holes of 3-4 mm diameter through the bark to emerge. They then feed on buds and phloem of side branches and the stem for a few weeks. During this period mating can occur but there is a reproductive diapause. As temperatures decline in early autumn, new adults (and presumably surviving adults from the previous generation) move to the leaf litter to overwinter. Adults typically live only until autumn or winter, but a few can survive winter and live for an additional 1-3 years.</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variation in phenology. In areas with cooler climates (e.g., higher latitudes and altitudes), some individuals may overwinter in the terminals as large larvae, pupae or callow adults.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occurs in relatively small numbers in natural, undisturbed mature conifer forests where they breed in young trees in open areas around edges of stands and in forest gaps caused by blowdown or disease. Populations may build up somewhat in young regenerating stands resulting from wildfire; however, the typical high stem density and presence of overtopping vegetation (e.g., hardwood trees) prevents devastating outbreaks. Industrial forest activities resulting in the creation of large expanses of young and open conifer plantations, many of them managed to eliminate competing vegetation, has been an advantage for this weevil species.</w:t>
      </w:r>
    </w:p>
    <w:p>
      <w:pPr>
        <w:widowControl w:val="on"/>
        <w:pBdr/>
        <w:spacing w:before="220" w:after="220" w:line="240" w:lineRule="auto"/>
        <w:ind w:left="0" w:right="0"/>
        <w:jc w:val="both"/>
      </w:pPr>
      <w:r>
        <w:rPr>
          <w:rFonts w:ascii="Calibri" w:hAnsi="Calibri" w:eastAsia="Calibri" w:cs="Calibri"/>
          <w:color w:val="000000"/>
          <w:sz w:val="22"/>
          <w:szCs w:val="22"/>
        </w:rPr>
        <w:t xml:space="preserve">In coastal Sitka spruce stands of British Columbia and Oregon, plantations start being attacked by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by the time they are only five years old (Alfaro &amp; Omule, 1990; Mitchell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Initially only a few trees are attacked but then populations can grow exponentially for 8-10 years. After this period of increase the rate of attack stabilizes at a high level (30-40%), with interannual fluctuations, for 10-20 years. This phase of stability represents an equilibrium between the weevil population level and food supply (i.e., number of leaders available for colonization). This phase of stability eventually gives way to a population decline phase when the plantation is 35-40 years old, when annual rate of attack declines, eventually to about 5%. At this point the growth rate of trees has declined, affecting quality of food supply, and the canopy has started to close, probably adversely affecting environmental conditions for the weevil. A similar epidemiological pattern has been observed for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populations in white spruce in the boreal forest of Alberta.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are summarised in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Adult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attack trees 0.5–9.0 m tall, but typically 1.5–8.0 m tall. The first signs of attack are visible in early spring on the previous year’s terminal growth of spruces and pines, often before all snow has melted from the ground. Beads of resin ooze from feeding punctures and the glistening resin is visible from up to 15 m away on sunny days. Upon close examination of terminal leaders, feeding punctures (1.0-1.5 mm diameter) are visible, particularly on the apical half of the previous year’s growth. The feeding of larvae eventually girdles the 2-year-old stem, killing it and the current year’s growth above it, causing the affected foliage to wilt, forming a shepherd’s crook, and fade to yellow or yellow-brown (in spruces) and yellow to rusty-red (in pines) by June. Dissection of discoloured terminals will reveal the presence of larvae, pupae, adults and/or empty chip cocoons in the bark or outer sapwood of the previous year’s terminal; however, as the larvae feed downward in the terminal, it is not uncommon for more than one and up to four years of terminal growth to be infested in one season. After adults emerge, they create circular emergence holes of 3-4 mm diameter in the bark. Dead terminals can remain on trees for many years (even decades) after beetles have emerged, and the presence on these of old adult feeding and oviposition punctures, larval feeding damage to phloem, chip cocoons in the outer wood and adult emergence holes can be used to identify old attacks. When the terminal leader dies, the main stem usually develops a major crook or fork, but these usually straighten out after 2-3 years if the stem is not attacked again. It is common for the same tree to be attacked in successive years with adults feeding and laying eggs in the stem just below the adult emergence holes of the previous generation. Trees attacked in successive years have a bushy appearance and deformed stems.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caused by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may be confused with those caused by the lodgepole terminal weevil, </w:t>
      </w:r>
      <w:r>
        <w:rPr>
          <w:rFonts w:ascii="Calibri" w:hAnsi="Calibri" w:eastAsia="Calibri" w:cs="Calibri"/>
          <w:i/>
          <w:iCs/>
          <w:color w:val="000000"/>
          <w:sz w:val="22"/>
          <w:szCs w:val="22"/>
        </w:rPr>
        <w:t xml:space="preserve">Pissodes terminalis</w:t>
      </w:r>
      <w:r>
        <w:rPr>
          <w:rFonts w:ascii="Calibri" w:hAnsi="Calibri" w:eastAsia="Calibri" w:cs="Calibri"/>
          <w:color w:val="000000"/>
          <w:sz w:val="22"/>
          <w:szCs w:val="22"/>
        </w:rPr>
        <w:t xml:space="preserve">, as both species attack the tops of trees and cause the terminal to become discoloured and sometimes form a shepherd’s crook. The distributions of both weevil species overlap throughout most of the range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(i.e., the western half of North America from southern parts of both Yukon and Northwest Territories south to Colorado and California (Langor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However, it is possible to distinguish these two species even as early as during feeding and oviposition as: 1)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feeds and oviposits on the current year’s terminal with punctures largely limited to the lower third of the terminal, whereas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feeds and oviposits on the previous year’s terminal with most punctures on the upper half and punctures can occur along the entire length of the previous year’s growth; 2) larvae of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feed mainly upward in the leader, at least after the first two weeks following hatching, and individual larval galleries rarely coalesce, whereas the larvae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feed predominantly downwards in the stem and individual galleries eventually coalesce so that there is an agglomeration of larvae around most or all of the circumference of the stem forming a so-called ‘feeding ring’; and 3)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pupates in the pith of current year’s leader and does not form chip cocoons, whereas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pupates mainly in the phloem and outer wood of the previous year’s terminal (or even further down the stem) and chip cocoons are formed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The only other predominantly terminal-infesting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world are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from North-Eastern China, adjacent parts of Russia, the Korean Peninsula and Japan (Hokkaido)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from the Yunnan Province of China. Symptoms caused by these species are similar to those caused by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examination of mature larvae or adults is necessary for identification.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translucent, pearly white, ovoid, 0.7-0.9 mm long and 0.4-0.5 mm wide (Plummer &amp; Pillsbury, 1929), and look like the eggs of many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are legless, have milk-white bodies and light brown heads, the abdomen is slightly curved downwards, and are about 10-12 mm long at maturity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Superficially, larvae of this species look like larvae of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Detailed descriptions of mature larvae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as well as those of the closely related </w:t>
      </w:r>
      <w:r>
        <w:rPr>
          <w:rFonts w:ascii="Calibri" w:hAnsi="Calibri" w:eastAsia="Calibri" w:cs="Calibri"/>
          <w:i/>
          <w:iCs/>
          <w:color w:val="000000"/>
          <w:sz w:val="22"/>
          <w:szCs w:val="22"/>
        </w:rPr>
        <w:t xml:space="preserve">P. nemorensis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schwarzi</w:t>
      </w:r>
      <w:r>
        <w:rPr>
          <w:rFonts w:ascii="Calibri" w:hAnsi="Calibri" w:eastAsia="Calibri" w:cs="Calibri"/>
          <w:color w:val="000000"/>
          <w:sz w:val="22"/>
          <w:szCs w:val="22"/>
        </w:rPr>
        <w:t xml:space="preserve">, accompanied by illustrations, are provided by Williams &amp; Langor (2002a). Detailed descriptions mature larvae of the two other known terminal-infesting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world,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are provided by Lee (1992) and Williams &amp; Langor (2011), respectively.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Pupae are about 6-8 mm in length and are milk-white, but the mandibles, eyes, rostrum, prothorax and legs become medium brown before adult emergence (Plummer &amp; Pillsbury, 1929). Pupae of different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species cannot currently be distinguished.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have a long snout, are mottled brown with variable white and yellow patches on the elytra, and 5-8 mm long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There is no easy way to discriminate between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without using a morphometric approach (Williams &amp; Langor, 2002b). Adults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are distinct from native species in the EPPO region and from the terminal-infesting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 morphology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is also similar to that of another Nearctic species, </w:t>
      </w:r>
      <w:r>
        <w:rPr>
          <w:rFonts w:ascii="Calibri" w:hAnsi="Calibri" w:eastAsia="Calibri" w:cs="Calibri"/>
          <w:i/>
          <w:iCs/>
          <w:color w:val="000000"/>
          <w:sz w:val="22"/>
          <w:szCs w:val="22"/>
        </w:rPr>
        <w:t xml:space="preserve">P. nemorensis</w:t>
      </w:r>
      <w:r>
        <w:rPr>
          <w:rFonts w:ascii="Calibri" w:hAnsi="Calibri" w:eastAsia="Calibri" w:cs="Calibri"/>
          <w:color w:val="000000"/>
          <w:sz w:val="22"/>
          <w:szCs w:val="22"/>
        </w:rPr>
        <w:t xml:space="preserve">, a predominantly bole-inhabiting species (Phillips &amp; Lanier, 1983) that also poses a risk to the EPPO region. The two species are not easily separated except using DNA barcodes. These two species overlap in range in eastern North America. There are forms that are intermediate between the two species and may represent hybrids.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This species typically attacks spruce and pine saplings ranging from 0.5-9.0 m tall and is most common on trees growing in plantations with an open canopy. More uncommonly, trees less than 0.5 m or greater than 9.0 m tall may be infested. Young saplings with copious resin droplets on the previous year’s stem growth should be investigated for signs of weevil attack such as feeding and oviposition punctures and presence of adults on the bark. Drooping of the terminal leader and eventual wilting and discoloration of foliage is also a sign of infestation. Removal of bark on previous year’s leader growth on trees suspected of being infested may reveal larval galleries in the phloem, sapwood and pith, pupae, callow adults, chip cocoons and round adult emergence holes in the bark. The presence of chip cocoons is certain evidence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damage. There are no native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 the EPPO region that specifically target the terminal leaders of spruces and pines, so detection of young spruces and pines with such damage and clear evidence of the presence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is likely to signal the presence of one of four non-native terminal-infesting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one of which is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(others are </w:t>
      </w:r>
      <w:r>
        <w:rPr>
          <w:rFonts w:ascii="Calibri" w:hAnsi="Calibri" w:eastAsia="Calibri" w:cs="Calibri"/>
          <w:i/>
          <w:iCs/>
          <w:color w:val="000000"/>
          <w:sz w:val="22"/>
          <w:szCs w:val="22"/>
        </w:rPr>
        <w:t xml:space="preserve">P. terminalis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yunnanensis</w:t>
      </w:r>
      <w:r>
        <w:rPr>
          <w:rFonts w:ascii="Calibri" w:hAnsi="Calibri" w:eastAsia="Calibri" w:cs="Calibri"/>
          <w:color w:val="000000"/>
          <w:sz w:val="22"/>
          <w:szCs w:val="22"/>
        </w:rPr>
        <w:t xml:space="preserve">). DNA barcodes are available for most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native to the EPPO region, as well as for all terminal-infesting species except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(Langor &amp; Sperling, 1997;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natural spread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spp. is determined by the flight performance of the species which is probably not more than 10 km per year based on what is known about flight capabilities of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International spread would most probably occur via the shipment of living pines and spruces for planting and Christmas trees. As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attacks only the previous year’s leader (and sometimes an additional 1-3 years of stem growth), it is unlikely to be carried by wood commodities, isolated bark or wood packaging material (incl. dunnage).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larvae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feed downward in the previous year’s leader growth and therefore kill at least two year’s height growth during the year of attack (previous and current), and sometimes an additional 1-3 years growth depending how far down the stem the larvae tunnel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After a leader dies, one or more of the side branches of the first live node below the dead terminal assumes leadership, resulting in a crooked or forked stem with a bushy top. Secondary organisms, especially heartwood rot fungi, may enter through the infested terminals (Ostrander &amp; Foster, 1957). Commonly, trees may be attacked in two or more successive years, with the new attacks (egg laying) commencing on the stem just below the emergence holes of adults of the previous generation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The more cumulative attacks a tree sustains, the more severe the impact on stem quality and growth, which reduces the tree’s value for lumber production. Stem deformities can result in reduction of merchantable volume, and lumber can be degraded due to grain aberrations and bark encased knots at the site of the crooks (Ostrander, 1971; Brace, 1972). Small trees &lt;0.5 m tall may be infested down to the root collar in a single year, resulting in tree death (Hiratsuka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Stand development may also be affected by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Sitka spruce in mixed plantations were virtually eliminated resulting in development into pure stands of Douglas-fir (</w:t>
      </w:r>
      <w:r>
        <w:rPr>
          <w:rFonts w:ascii="Calibri" w:hAnsi="Calibri" w:eastAsia="Calibri" w:cs="Calibri"/>
          <w:i/>
          <w:iCs/>
          <w:color w:val="000000"/>
          <w:sz w:val="22"/>
          <w:szCs w:val="22"/>
        </w:rPr>
        <w:t xml:space="preserve">Pseudotsuga menziesii</w:t>
      </w:r>
      <w:r>
        <w:rPr>
          <w:rFonts w:ascii="Calibri" w:hAnsi="Calibri" w:eastAsia="Calibri" w:cs="Calibri"/>
          <w:color w:val="000000"/>
          <w:sz w:val="22"/>
          <w:szCs w:val="22"/>
        </w:rPr>
        <w:t xml:space="preserve">) in British Columbia (Alfaro &amp; Wegwitz, 1994) and western hemlock (</w:t>
      </w:r>
      <w:r>
        <w:rPr>
          <w:rFonts w:ascii="Calibri" w:hAnsi="Calibri" w:eastAsia="Calibri" w:cs="Calibri"/>
          <w:i/>
          <w:iCs/>
          <w:color w:val="000000"/>
          <w:sz w:val="22"/>
          <w:szCs w:val="22"/>
        </w:rPr>
        <w:t xml:space="preserve">Tsuga heterophylla</w:t>
      </w:r>
      <w:r>
        <w:rPr>
          <w:rFonts w:ascii="Calibri" w:hAnsi="Calibri" w:eastAsia="Calibri" w:cs="Calibri"/>
          <w:color w:val="000000"/>
          <w:sz w:val="22"/>
          <w:szCs w:val="22"/>
        </w:rPr>
        <w:t xml:space="preserve">) in Oregon and Washington (Wright &amp; Baisinger, 1955). The high susceptibility of Sitka spruce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has virtually eliminated this species from reforestation programs in most of coastal British Columbia, Washington and Oregon (King &amp; Alfaro, 2004).</w:t>
      </w:r>
    </w:p>
    <w:p>
      <w:pPr>
        <w:widowControl w:val="on"/>
        <w:pBdr/>
        <w:spacing w:before="220" w:after="220" w:line="240" w:lineRule="auto"/>
        <w:ind w:left="0" w:right="0"/>
        <w:jc w:val="both"/>
      </w:pPr>
      <w:r>
        <w:rPr>
          <w:rFonts w:ascii="Calibri" w:hAnsi="Calibri" w:eastAsia="Calibri" w:cs="Calibri"/>
          <w:color w:val="000000"/>
          <w:sz w:val="22"/>
          <w:szCs w:val="22"/>
        </w:rPr>
        <w:t xml:space="preserve">Throughout its range in Canada and the northern and eastern parts of the USA, this weevil is one of the most destructive pests of young spruce and pine plantations, especially of the native </w:t>
      </w:r>
      <w:r>
        <w:rPr>
          <w:rFonts w:ascii="Calibri" w:hAnsi="Calibri" w:eastAsia="Calibri" w:cs="Calibri"/>
          <w:i/>
          <w:iCs/>
          <w:color w:val="000000"/>
          <w:sz w:val="22"/>
          <w:szCs w:val="22"/>
        </w:rPr>
        <w:t xml:space="preserve">Picea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as well as of the European </w:t>
      </w:r>
      <w:r>
        <w:rPr>
          <w:rFonts w:ascii="Calibri" w:hAnsi="Calibri" w:eastAsia="Calibri" w:cs="Calibri"/>
          <w:i/>
          <w:iCs/>
          <w:color w:val="000000"/>
          <w:sz w:val="22"/>
          <w:szCs w:val="22"/>
        </w:rPr>
        <w:t xml:space="preserve">Picea abies</w:t>
      </w:r>
      <w:r>
        <w:rPr>
          <w:rFonts w:ascii="Calibri" w:hAnsi="Calibri" w:eastAsia="Calibri" w:cs="Calibri"/>
          <w:color w:val="000000"/>
          <w:sz w:val="22"/>
          <w:szCs w:val="22"/>
        </w:rPr>
        <w:t xml:space="preserve"> planted in North America. The losses to Sitka spruce in British Columbia as well as the relative benefits of pest management have been modelled (McMullen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1987). In Ontario (Canada),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attacks on </w:t>
      </w:r>
      <w:r>
        <w:rPr>
          <w:rFonts w:ascii="Calibri" w:hAnsi="Calibri" w:eastAsia="Calibri" w:cs="Calibri"/>
          <w:i/>
          <w:iCs/>
          <w:color w:val="000000"/>
          <w:sz w:val="22"/>
          <w:szCs w:val="22"/>
        </w:rPr>
        <w:t xml:space="preserve">P. strobus</w:t>
      </w:r>
      <w:r>
        <w:rPr>
          <w:rFonts w:ascii="Calibri" w:hAnsi="Calibri" w:eastAsia="Calibri" w:cs="Calibri"/>
          <w:color w:val="000000"/>
          <w:sz w:val="22"/>
          <w:szCs w:val="22"/>
        </w:rPr>
        <w:t xml:space="preserve"> reduced height growth by over 3 m and merchantable volume by 3-20%, resulting in a reduction in timber value by 25% (Brace, 1972). Also, in Ontario from 1980-1983, growth losses in plantations were estimated at 8000 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and annual losses due to culling were estimated at 10 400 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in plantations and 5000 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in natural stands (Gross, 1985). In New Hampshire, weevil-caused volume loss to </w:t>
      </w:r>
      <w:r>
        <w:rPr>
          <w:rFonts w:ascii="Calibri" w:hAnsi="Calibri" w:eastAsia="Calibri" w:cs="Calibri"/>
          <w:i/>
          <w:iCs/>
          <w:color w:val="000000"/>
          <w:sz w:val="22"/>
          <w:szCs w:val="22"/>
        </w:rPr>
        <w:t xml:space="preserve">P. strobus</w:t>
      </w:r>
      <w:r>
        <w:rPr>
          <w:rFonts w:ascii="Calibri" w:hAnsi="Calibri" w:eastAsia="Calibri" w:cs="Calibri"/>
          <w:color w:val="000000"/>
          <w:sz w:val="22"/>
          <w:szCs w:val="22"/>
        </w:rPr>
        <w:t xml:space="preserve"> was about 40% in the saw-log portion of trees (Godwin &amp; Reeks, 1967).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Traps baited with ethanol and turpentine have been used to monitor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populations in a </w:t>
      </w:r>
      <w:r>
        <w:rPr>
          <w:rFonts w:ascii="Calibri" w:hAnsi="Calibri" w:eastAsia="Calibri" w:cs="Calibri"/>
          <w:i/>
          <w:iCs/>
          <w:color w:val="000000"/>
          <w:sz w:val="22"/>
          <w:szCs w:val="22"/>
        </w:rPr>
        <w:t xml:space="preserve">P. sylvestris</w:t>
      </w:r>
      <w:r>
        <w:rPr>
          <w:rFonts w:ascii="Calibri" w:hAnsi="Calibri" w:eastAsia="Calibri" w:cs="Calibri"/>
          <w:color w:val="000000"/>
          <w:sz w:val="22"/>
          <w:szCs w:val="22"/>
        </w:rPr>
        <w:t xml:space="preserve"> Christmas tree plantation in Wisconsin (Rieske &amp; Raffa, 1993).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is especially prevalent in open growing plantations of several conifer species. Once established, weevil populations increase quickly and remain high for many years. Control by pruning or application of pesticides is possible but typically annual interventions are required to keep weevil populations low. Such investment in pest management is economically feasible in only high value plantations (e.g., genetics trials, Christmas tree nurseries). Pruning infested leaders showing signs of wilting and discolouration of current year’s terminals can be effective if the entirety of the infested top is removed and the pruned material is destroyed before adults emerge by burning, burying or chipping. A new leader can be encouraged by clipping all but the strongest branch of the uppermost whorl, resulting in an improvement of stem form (Dirks, 1964). The effectiveness of pruning is dependent upon the percent of infested leaders discovered and removed. Not all leaders show symptoms simultaneously, so it is ideal for plantations to be surveyed and pruned twice each summer before adults begin emerging. Two or more years of pruning may be required to reduce the population to acceptable levels, and regular pruning thereafter will likely be necessary to keep populations from building up again.</w:t>
      </w:r>
    </w:p>
    <w:p>
      <w:pPr>
        <w:widowControl w:val="on"/>
        <w:pBdr/>
        <w:spacing w:before="220" w:after="220" w:line="240" w:lineRule="auto"/>
        <w:ind w:left="0" w:right="0"/>
        <w:jc w:val="both"/>
      </w:pPr>
      <w:r>
        <w:rPr>
          <w:rFonts w:ascii="Calibri" w:hAnsi="Calibri" w:eastAsia="Calibri" w:cs="Calibri"/>
          <w:color w:val="000000"/>
          <w:sz w:val="22"/>
          <w:szCs w:val="22"/>
        </w:rPr>
        <w:t xml:space="preserve">Many pesticides have been tested for control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Approved pesticides mixed with a commercial spreader/sticker to improve persistence on the tree may be applied to the previous year’s terminal growth in the spring before adult emergence from overwintering sites, thereby targeting feeding and ovipositing adults. Neem application to leaders containing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eggs and young larvae achieved 68-82% protection of leaders (Helson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Success is affected by the amount of precipitation following pesticide application. Stem implants containing the systemic insecticides oxydemeton-methyl or acephate have been used successfully against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on Sitka spruce in British Columbia (Fraser &amp; Heppner, 1993). Insect growth regulators such as Dimilin and precocene applied to leaders may be effective ovicides or sterilants under certain conditions (Retnakaran &amp; Smith, 1982).</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potential biological control options for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management. As there are several species of parasitoids that attack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it may be possible to augment parasitoid populations in plantations by caging pruned infested terminals in meshed cages whereby the mesh size is sufficiently fine to trap the robust weevils but coarse enough to allow escape of the slender parasitoids (Hulme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Some parasitoids of European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were identified as having good potential for introduction into North America for classical biological control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(Hulme, 1994; Kenis &amp; Mills, 1994). Adults, larvae and pupae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were highly susceptible to several entomopathogenic fungi in laboratory tests (Timonin &amp; Morris, 1974; Kope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Trudel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w:t>
      </w:r>
    </w:p>
    <w:p>
      <w:pPr>
        <w:widowControl w:val="on"/>
        <w:pBdr/>
        <w:spacing w:before="220" w:after="220" w:line="240" w:lineRule="auto"/>
        <w:ind w:left="0" w:right="0"/>
        <w:jc w:val="both"/>
      </w:pPr>
      <w:r>
        <w:rPr>
          <w:rFonts w:ascii="Calibri" w:hAnsi="Calibri" w:eastAsia="Calibri" w:cs="Calibri"/>
          <w:color w:val="000000"/>
          <w:sz w:val="22"/>
          <w:szCs w:val="22"/>
        </w:rPr>
        <w:t xml:space="preserve">In mixed plantations, shading of conifer hosts creates suboptimal environmental (cooler) conditions for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may also interfere with host detection; however, shading also slows conifer growth. When crop trees are weevil-susceptible species, faster growing overstory trees (usually hardwoods) should not be all removed to increase conifer growth but rather a portion can be removed to maintain some shade while increasing conifer growth somewhat (Ledig &amp; Smith, 1981; Taylor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Reduced spacing between trees in plantations can also reduce weevil damage (Alfaro &amp; Omule, 1990), although this was not the case for Norway spruce in Quebec (Archambault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native and introduced species of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Picea</w:t>
      </w:r>
      <w:r>
        <w:rPr>
          <w:rFonts w:ascii="Calibri" w:hAnsi="Calibri" w:eastAsia="Calibri" w:cs="Calibri"/>
          <w:color w:val="000000"/>
          <w:sz w:val="22"/>
          <w:szCs w:val="22"/>
        </w:rPr>
        <w:t xml:space="preserve"> susceptible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have variants that appear to exhibit resistance to weevil attack or reproduction. Most work on genetic resistance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has occurred in Sitka spruce and eastern white pine. Resistance is related to relative amounts of different foliar and cortical chemicals (Harris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 Brooks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intensity of the induced resin response during injury (Alfaro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1996b), density of outer resin ducts (Tomlin &amp; Borden, 1997), crystallization of resin (Santamour &amp; Zinkel, 1977), and chemical-induced reduction of reproduction and progeny development and survival (Sahota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Breeding for genetic resistance to weevil attack could be utilized to complement silvicultural tactics in the management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(Alfaro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1996a). Varieties of trees resistant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can be mass-propagated using somatic embryogenesis (Roberts, 1994). While there was some evidence for resistance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in Norway spruce, this species may not possess the defence mechanisms to fight off weevil attack (Poulin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It is possible to breed for high‐quality,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-resistant Norway spruce reforestation stock with high accuracy achieved from single‐trait or multi‐trait genomic selection (Lenz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Alfaro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describe an integrated pest management (IPM) system relying on accurate hazard rating of plantation sites and continuous monitoring of attack levels.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As a serious pest of the non-native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planted in the EPPO region, and of the native </w:t>
      </w:r>
      <w:r>
        <w:rPr>
          <w:rFonts w:ascii="Calibri" w:hAnsi="Calibri" w:eastAsia="Calibri" w:cs="Calibri"/>
          <w:i/>
          <w:iCs/>
          <w:color w:val="000000"/>
          <w:sz w:val="22"/>
          <w:szCs w:val="22"/>
        </w:rPr>
        <w:t xml:space="preserve">Picea abies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three very important timber species in Europe, and with an obvious potential to establish in the conditions of Northern Europe which resemble those of Canada,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clearly presents a serious risk for the EPPO region. Lodgepole pine is planted in the EPPO region, particularly in Northern Europe (Vacek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and it is an occasional host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in Canada (Humble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Finally, other species that are native and widespread in the EPPO region have been recorded as hosts, such as </w:t>
      </w:r>
      <w:r>
        <w:rPr>
          <w:rFonts w:ascii="Calibri" w:hAnsi="Calibri" w:eastAsia="Calibri" w:cs="Calibri"/>
          <w:i/>
          <w:iCs/>
          <w:color w:val="000000"/>
          <w:sz w:val="22"/>
          <w:szCs w:val="22"/>
        </w:rPr>
        <w:t xml:space="preserve">Pinus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cembra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mugo</w:t>
      </w:r>
      <w:r>
        <w:rPr>
          <w:rFonts w:ascii="Calibri" w:hAnsi="Calibri" w:eastAsia="Calibri" w:cs="Calibri"/>
          <w:color w:val="000000"/>
          <w:sz w:val="22"/>
          <w:szCs w:val="22"/>
        </w:rPr>
        <w:t xml:space="preserve"> or </w:t>
      </w:r>
      <w:r>
        <w:rPr>
          <w:rFonts w:ascii="Calibri" w:hAnsi="Calibri" w:eastAsia="Calibri" w:cs="Calibri"/>
          <w:i/>
          <w:iCs/>
          <w:color w:val="000000"/>
          <w:sz w:val="22"/>
          <w:szCs w:val="22"/>
        </w:rPr>
        <w:t xml:space="preserve">Picea omorika</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To prevent the introduction of life stages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to Europe, EPPO recommends that host plants for planting (except seeds) and cut branches (including Christmas trees) should originate in a pest free area (EPPO, 2018). Pest free place of production is the specific requirement mentioned in the EU regulation (EU, 2022).</w:t>
      </w:r>
    </w:p>
    <w:p>
      <w:pPr>
        <w:widowControl w:val="on"/>
        <w:pBdr/>
        <w:spacing w:before="220" w:after="220" w:line="240" w:lineRule="auto"/>
        <w:ind w:left="0" w:right="0"/>
        <w:jc w:val="both"/>
      </w:pPr>
      <w:r>
        <w:rPr>
          <w:rFonts w:ascii="Calibri" w:hAnsi="Calibri" w:eastAsia="Calibri" w:cs="Calibri"/>
          <w:color w:val="000000"/>
          <w:sz w:val="22"/>
          <w:szCs w:val="22"/>
        </w:rPr>
        <w:t xml:space="preserve">As wood commodities and isolated bark are unlikely pathways (see Pathways for movement), phytosanitary measures are not detailed here. Measures for such commodities in relation to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are mentioned in EPPO (2018) and EU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(1994) The white pine weevil in British Columbia: biology and damage. In </w:t>
      </w:r>
      <w:r>
        <w:rPr>
          <w:rFonts w:ascii="Calibri" w:hAnsi="Calibri" w:eastAsia="Calibri" w:cs="Calibri"/>
          <w:i/>
          <w:iCs/>
          <w:color w:val="000000"/>
          <w:sz w:val="22"/>
          <w:szCs w:val="22"/>
        </w:rPr>
        <w:t xml:space="preserve">The white pine weevil: biology, damage and management</w:t>
      </w:r>
      <w:r>
        <w:rPr>
          <w:rFonts w:ascii="Calibri" w:hAnsi="Calibri" w:eastAsia="Calibri" w:cs="Calibri"/>
          <w:color w:val="000000"/>
          <w:sz w:val="22"/>
          <w:szCs w:val="22"/>
        </w:rPr>
        <w:t xml:space="preserve"> (eds Alfaro RI, Kiss G &amp; Fraser RG), p. 7-22. Canadian Forest Service, Pacific Forestry Centre &amp; British Columbia Ministry of Forests, Forest Resource Development Agreement Report No. 226.</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&amp; Borden JH (1985) Factors determining the feeding of the white pine weevil (Coleoptera: Curculionidae) on its coastal British Columbia host, Sitka spruce. </w:t>
      </w:r>
      <w:r>
        <w:rPr>
          <w:rFonts w:ascii="Calibri" w:hAnsi="Calibri" w:eastAsia="Calibri" w:cs="Calibri"/>
          <w:i/>
          <w:iCs/>
          <w:color w:val="000000"/>
          <w:sz w:val="22"/>
          <w:szCs w:val="22"/>
        </w:rPr>
        <w:t xml:space="preserve">Proceedings of the Entomological Society of Ontario Supplement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116</w:t>
      </w:r>
      <w:r>
        <w:rPr>
          <w:rFonts w:ascii="Calibri" w:hAnsi="Calibri" w:eastAsia="Calibri" w:cs="Calibri"/>
          <w:color w:val="000000"/>
          <w:sz w:val="22"/>
          <w:szCs w:val="22"/>
        </w:rPr>
        <w:t xml:space="preserve">, 63-66.</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Borden JH, Fraser RG &amp; Yanchuk A (1995) The white pine weevil in British Columbia: basis for an integrated pest management system.</w:t>
      </w:r>
      <w:r>
        <w:rPr>
          <w:rFonts w:ascii="Calibri" w:hAnsi="Calibri" w:eastAsia="Calibri" w:cs="Calibri"/>
          <w:i/>
          <w:iCs/>
          <w:color w:val="000000"/>
          <w:sz w:val="22"/>
          <w:szCs w:val="22"/>
        </w:rPr>
        <w:t xml:space="preserve"> Forestry Chronicle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66-73.</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He F, Kiss G, King J &amp; Yanchuk A (1996a) Resistance of white spruce to white pine weevil: development of a resistance index. </w:t>
      </w:r>
      <w:r>
        <w:rPr>
          <w:rFonts w:ascii="Calibri" w:hAnsi="Calibri" w:eastAsia="Calibri" w:cs="Calibri"/>
          <w:i/>
          <w:iCs/>
          <w:color w:val="000000"/>
          <w:sz w:val="22"/>
          <w:szCs w:val="22"/>
        </w:rPr>
        <w:t xml:space="preserve">Forest Ecology and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51-62.</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Kiss GK &amp; Yanchuk A (1996b) Variation in the induced resin response of white spruce, </w:t>
      </w:r>
      <w:r>
        <w:rPr>
          <w:rFonts w:ascii="Calibri" w:hAnsi="Calibri" w:eastAsia="Calibri" w:cs="Calibri"/>
          <w:i/>
          <w:iCs/>
          <w:color w:val="000000"/>
          <w:sz w:val="22"/>
          <w:szCs w:val="22"/>
        </w:rPr>
        <w:t xml:space="preserve">Picea glauca</w:t>
      </w:r>
      <w:r>
        <w:rPr>
          <w:rFonts w:ascii="Calibri" w:hAnsi="Calibri" w:eastAsia="Calibri" w:cs="Calibri"/>
          <w:color w:val="000000"/>
          <w:sz w:val="22"/>
          <w:szCs w:val="22"/>
        </w:rPr>
        <w:t xml:space="preserve">, to attack by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967-972.</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&amp; Omule SAY (1990) The effect of spacing on Sitka spruce weevil damage to Sitka spruce.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179-184.</w:t>
      </w:r>
    </w:p>
    <w:p>
      <w:pPr>
        <w:widowControl w:val="on"/>
        <w:pBdr/>
        <w:spacing w:before="220" w:after="220" w:line="240" w:lineRule="auto"/>
        <w:ind w:left="0" w:right="0"/>
        <w:jc w:val="left"/>
      </w:pPr>
      <w:r>
        <w:rPr>
          <w:rFonts w:ascii="Calibri" w:hAnsi="Calibri" w:eastAsia="Calibri" w:cs="Calibri"/>
          <w:color w:val="000000"/>
          <w:sz w:val="22"/>
          <w:szCs w:val="22"/>
        </w:rPr>
        <w:t xml:space="preserve">Alfaro RI &amp; Wegwitz E (1994) The spruce weevil in the Green Timbers Plantations. In </w:t>
      </w:r>
      <w:r>
        <w:rPr>
          <w:rFonts w:ascii="Calibri" w:hAnsi="Calibri" w:eastAsia="Calibri" w:cs="Calibri"/>
          <w:i/>
          <w:iCs/>
          <w:color w:val="000000"/>
          <w:sz w:val="22"/>
          <w:szCs w:val="22"/>
        </w:rPr>
        <w:t xml:space="preserve">The white pine weevil: biology, damage and management</w:t>
      </w:r>
      <w:r>
        <w:rPr>
          <w:rFonts w:ascii="Calibri" w:hAnsi="Calibri" w:eastAsia="Calibri" w:cs="Calibri"/>
          <w:color w:val="000000"/>
          <w:sz w:val="22"/>
          <w:szCs w:val="22"/>
        </w:rPr>
        <w:t xml:space="preserve"> (eds Alfaro RI, Kiss G &amp; Fraser RG), p. 222-225. Canadian Forest Service, Pacific Forestry Centre &amp; British Columbia Ministry of Forests, Forest Resource Development Agreement Report No. 226.</w:t>
      </w:r>
    </w:p>
    <w:p>
      <w:pPr>
        <w:widowControl w:val="on"/>
        <w:pBdr/>
        <w:spacing w:before="220" w:after="220" w:line="240" w:lineRule="auto"/>
        <w:ind w:left="0" w:right="0"/>
        <w:jc w:val="left"/>
      </w:pPr>
      <w:r>
        <w:rPr>
          <w:rFonts w:ascii="Calibri" w:hAnsi="Calibri" w:eastAsia="Calibri" w:cs="Calibri"/>
          <w:color w:val="000000"/>
          <w:sz w:val="22"/>
          <w:szCs w:val="22"/>
        </w:rPr>
        <w:t xml:space="preserve">Archambault L, Morissette J, Lavallée R &amp; Comtois B (1993) Susceptibility of Norway spruce plantations to white pine weevil attacks in southern Quebec.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2362-2369.</w:t>
      </w:r>
    </w:p>
    <w:p>
      <w:pPr>
        <w:widowControl w:val="on"/>
        <w:pBdr/>
        <w:spacing w:before="220" w:after="220" w:line="240" w:lineRule="auto"/>
        <w:ind w:left="0" w:right="0"/>
        <w:jc w:val="left"/>
      </w:pPr>
      <w:r>
        <w:rPr>
          <w:rFonts w:ascii="Calibri" w:hAnsi="Calibri" w:eastAsia="Calibri" w:cs="Calibri"/>
          <w:color w:val="000000"/>
          <w:sz w:val="22"/>
          <w:szCs w:val="22"/>
        </w:rPr>
        <w:t xml:space="preserve">Booth DC, Phillips TW, Claesson A, Silverstein RM, Lanier GN &amp; West JR (1983) Aggregation pheromone components of two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weevils (Coleoptera: Curculionidae): isolation, identification and field activity. </w:t>
      </w:r>
      <w:r>
        <w:rPr>
          <w:rFonts w:ascii="Calibri" w:hAnsi="Calibri" w:eastAsia="Calibri" w:cs="Calibri"/>
          <w:i/>
          <w:iCs/>
          <w:color w:val="000000"/>
          <w:sz w:val="22"/>
          <w:szCs w:val="22"/>
        </w:rPr>
        <w:t xml:space="preserve">Journal of Chemical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1-12.</w:t>
      </w:r>
    </w:p>
    <w:p>
      <w:pPr>
        <w:widowControl w:val="on"/>
        <w:pBdr/>
        <w:spacing w:before="220" w:after="220" w:line="240" w:lineRule="auto"/>
        <w:ind w:left="0" w:right="0"/>
        <w:jc w:val="left"/>
      </w:pPr>
      <w:r>
        <w:rPr>
          <w:rFonts w:ascii="Calibri" w:hAnsi="Calibri" w:eastAsia="Calibri" w:cs="Calibri"/>
          <w:color w:val="000000"/>
          <w:sz w:val="22"/>
          <w:szCs w:val="22"/>
        </w:rPr>
        <w:t xml:space="preserve">Boyce TM, Zwick ME &amp; Aquadro CF (1994) Mitochondrial DNA in the bark weevils: phylogeny and evolution in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species group (Coleoptera: Curculionidae). </w:t>
      </w:r>
      <w:r>
        <w:rPr>
          <w:rFonts w:ascii="Calibri" w:hAnsi="Calibri" w:eastAsia="Calibri" w:cs="Calibri"/>
          <w:i/>
          <w:iCs/>
          <w:color w:val="000000"/>
          <w:sz w:val="22"/>
          <w:szCs w:val="22"/>
        </w:rPr>
        <w:t xml:space="preserve">Molecular Biology and Evolution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183-194.</w:t>
      </w:r>
    </w:p>
    <w:p>
      <w:pPr>
        <w:widowControl w:val="on"/>
        <w:pBdr/>
        <w:spacing w:before="220" w:after="220" w:line="240" w:lineRule="auto"/>
        <w:ind w:left="0" w:right="0"/>
        <w:jc w:val="left"/>
      </w:pPr>
      <w:r>
        <w:rPr>
          <w:rFonts w:ascii="Calibri" w:hAnsi="Calibri" w:eastAsia="Calibri" w:cs="Calibri"/>
          <w:color w:val="000000"/>
          <w:sz w:val="22"/>
          <w:szCs w:val="22"/>
        </w:rPr>
        <w:t xml:space="preserve">Brace LG (1972) Weevil control could raise value of white pine by 25%. </w:t>
      </w:r>
      <w:r>
        <w:rPr>
          <w:rFonts w:ascii="Calibri" w:hAnsi="Calibri" w:eastAsia="Calibri" w:cs="Calibri"/>
          <w:i/>
          <w:iCs/>
          <w:color w:val="000000"/>
          <w:sz w:val="22"/>
          <w:szCs w:val="22"/>
        </w:rPr>
        <w:t xml:space="preserve">Canadian Forest Industry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42-45.</w:t>
      </w:r>
    </w:p>
    <w:p>
      <w:pPr>
        <w:widowControl w:val="on"/>
        <w:pBdr/>
        <w:spacing w:before="220" w:after="220" w:line="240" w:lineRule="auto"/>
        <w:ind w:left="0" w:right="0"/>
        <w:jc w:val="left"/>
      </w:pPr>
      <w:r>
        <w:rPr>
          <w:rFonts w:ascii="Calibri" w:hAnsi="Calibri" w:eastAsia="Calibri" w:cs="Calibri"/>
          <w:color w:val="000000"/>
          <w:sz w:val="22"/>
          <w:szCs w:val="22"/>
        </w:rPr>
        <w:t xml:space="preserve">Brooks JE, Borden JH &amp; Pierce HD Jr (1987) Foliar and cortical monoterpenes in Sitka spruce: potential indicators of resistance to the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(Coleoptera: Curculionidae).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740-745.</w:t>
      </w:r>
    </w:p>
    <w:p>
      <w:pPr>
        <w:widowControl w:val="on"/>
        <w:pBdr/>
        <w:spacing w:before="220" w:after="220" w:line="240" w:lineRule="auto"/>
        <w:ind w:left="0" w:right="0"/>
        <w:jc w:val="left"/>
      </w:pPr>
      <w:r>
        <w:rPr>
          <w:rFonts w:ascii="Calibri" w:hAnsi="Calibri" w:eastAsia="Calibri" w:cs="Calibri"/>
          <w:color w:val="000000"/>
          <w:sz w:val="22"/>
          <w:szCs w:val="22"/>
        </w:rPr>
        <w:t xml:space="preserve">Dirks CO (1964) The white pine weevil in Maine: its biology and dispersal and the effect of prompt clipping of infested leaders on trunk form. </w:t>
      </w:r>
      <w:r>
        <w:rPr>
          <w:rFonts w:ascii="Calibri" w:hAnsi="Calibri" w:eastAsia="Calibri" w:cs="Calibri"/>
          <w:i/>
          <w:iCs/>
          <w:color w:val="000000"/>
          <w:sz w:val="22"/>
          <w:szCs w:val="22"/>
        </w:rPr>
        <w:t xml:space="preserve">Bulletin</w:t>
      </w:r>
      <w:r>
        <w:rPr>
          <w:rFonts w:ascii="Calibri" w:hAnsi="Calibri" w:eastAsia="Calibri" w:cs="Calibri"/>
          <w:color w:val="000000"/>
          <w:sz w:val="22"/>
          <w:szCs w:val="22"/>
        </w:rPr>
        <w:t xml:space="preserve"> 625. University of Maine, Agriculture Experiment Station, Orono, Maine, 23 pp.</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Commodity-specific phytosanitary measures. PM 8/2 (3) Coniferae.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463-494.</w:t>
      </w:r>
    </w:p>
    <w:p>
      <w:pPr>
        <w:widowControl w:val="on"/>
        <w:pBdr/>
        <w:spacing w:before="220" w:after="220" w:line="240" w:lineRule="auto"/>
        <w:ind w:left="0" w:right="0"/>
        <w:jc w:val="left"/>
      </w:pPr>
      <w:r>
        <w:rPr>
          <w:rFonts w:ascii="Calibri" w:hAnsi="Calibri" w:eastAsia="Calibri" w:cs="Calibri"/>
          <w:color w:val="000000"/>
          <w:sz w:val="22"/>
          <w:szCs w:val="22"/>
        </w:rPr>
        <w:t xml:space="preserve">EU (2022)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Consolidated version 32019R2072, 14/07/2022. </w:t>
      </w:r>
      <w:hyperlink r:id="rId479067e88de53608f" w:history="1">
        <w:r>
          <w:rPr>
            <w:rFonts w:ascii="Calibri" w:hAnsi="Calibri" w:eastAsia="Calibri" w:cs="Calibri"/>
            <w:color w:val="0000CC"/>
            <w:sz w:val="22"/>
            <w:szCs w:val="22"/>
            <w:u w:val="single"/>
          </w:rPr>
          <w:t xml:space="preserve">https://eur-lex.europa.eu/legal-content/EN/TXT/?uri=CELEX%3A32019R2072</w:t>
        </w:r>
      </w:hyperlink>
      <w:r>
        <w:rPr>
          <w:rFonts w:ascii="Calibri" w:hAnsi="Calibri" w:eastAsia="Calibri" w:cs="Calibri"/>
          <w:color w:val="000000"/>
          <w:sz w:val="22"/>
          <w:szCs w:val="22"/>
        </w:rPr>
        <w:t xml:space="preserve">[accessed on 25 January 2023].</w:t>
      </w:r>
    </w:p>
    <w:p>
      <w:pPr>
        <w:widowControl w:val="on"/>
        <w:pBdr/>
        <w:spacing w:before="220" w:after="220" w:line="240" w:lineRule="auto"/>
        <w:ind w:left="0" w:right="0"/>
        <w:jc w:val="left"/>
      </w:pPr>
      <w:r>
        <w:rPr>
          <w:rFonts w:ascii="Calibri" w:hAnsi="Calibri" w:eastAsia="Calibri" w:cs="Calibri"/>
          <w:color w:val="000000"/>
          <w:sz w:val="22"/>
          <w:szCs w:val="22"/>
        </w:rPr>
        <w:t xml:space="preserve">Fraser RG &amp; Heppner DG (1993) Control of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on Sitka spruce using implants containing systemic insecticide.</w:t>
      </w:r>
      <w:r>
        <w:rPr>
          <w:rFonts w:ascii="Calibri" w:hAnsi="Calibri" w:eastAsia="Calibri" w:cs="Calibri"/>
          <w:i/>
          <w:iCs/>
          <w:color w:val="000000"/>
          <w:sz w:val="22"/>
          <w:szCs w:val="22"/>
        </w:rPr>
        <w:t xml:space="preserve"> Forestry Chronicle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69</w:t>
      </w:r>
      <w:r>
        <w:rPr>
          <w:rFonts w:ascii="Calibri" w:hAnsi="Calibri" w:eastAsia="Calibri" w:cs="Calibri"/>
          <w:color w:val="000000"/>
          <w:sz w:val="22"/>
          <w:szCs w:val="22"/>
        </w:rPr>
        <w:t xml:space="preserve">, 600-603.</w:t>
      </w:r>
    </w:p>
    <w:p>
      <w:pPr>
        <w:widowControl w:val="on"/>
        <w:pBdr/>
        <w:spacing w:before="220" w:after="220" w:line="240" w:lineRule="auto"/>
        <w:ind w:left="0" w:right="0"/>
        <w:jc w:val="left"/>
      </w:pPr>
      <w:r>
        <w:rPr>
          <w:rFonts w:ascii="Calibri" w:hAnsi="Calibri" w:eastAsia="Calibri" w:cs="Calibri"/>
          <w:color w:val="000000"/>
          <w:sz w:val="22"/>
          <w:szCs w:val="22"/>
        </w:rPr>
        <w:t xml:space="preserve">Godwin PA &amp; Reeks WA (1967) White-pine weevil. In </w:t>
      </w:r>
      <w:r>
        <w:rPr>
          <w:rFonts w:ascii="Calibri" w:hAnsi="Calibri" w:eastAsia="Calibri" w:cs="Calibri"/>
          <w:i/>
          <w:iCs/>
          <w:color w:val="000000"/>
          <w:sz w:val="22"/>
          <w:szCs w:val="22"/>
        </w:rPr>
        <w:t xml:space="preserve">Important forest insects and diseases of mutual concern to Canada, the USA and Mexico</w:t>
      </w:r>
      <w:r>
        <w:rPr>
          <w:rFonts w:ascii="Calibri" w:hAnsi="Calibri" w:eastAsia="Calibri" w:cs="Calibri"/>
          <w:color w:val="000000"/>
          <w:sz w:val="22"/>
          <w:szCs w:val="22"/>
        </w:rPr>
        <w:t xml:space="preserve"> (eds by Davidson AG &amp; Prentice RM), p. 148-151. Canadian Department of Forestry and Rural Development, Publication No. 1180, Ottawa, ON.</w:t>
      </w:r>
    </w:p>
    <w:p>
      <w:pPr>
        <w:widowControl w:val="on"/>
        <w:pBdr/>
        <w:spacing w:before="220" w:after="220" w:line="240" w:lineRule="auto"/>
        <w:ind w:left="0" w:right="0"/>
        <w:jc w:val="left"/>
      </w:pPr>
      <w:r>
        <w:rPr>
          <w:rFonts w:ascii="Calibri" w:hAnsi="Calibri" w:eastAsia="Calibri" w:cs="Calibri"/>
          <w:color w:val="000000"/>
          <w:sz w:val="22"/>
          <w:szCs w:val="22"/>
        </w:rPr>
        <w:t xml:space="preserve">Gross HL (1985) Impact of pests on the white pine resource of Ontario. </w:t>
      </w:r>
      <w:r>
        <w:rPr>
          <w:rFonts w:ascii="Calibri" w:hAnsi="Calibri" w:eastAsia="Calibri" w:cs="Calibri"/>
          <w:i/>
          <w:iCs/>
          <w:color w:val="000000"/>
          <w:sz w:val="22"/>
          <w:szCs w:val="22"/>
        </w:rPr>
        <w:t xml:space="preserve">Proceedings of the Entomological Society of Ontario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116</w:t>
      </w:r>
      <w:r>
        <w:rPr>
          <w:rFonts w:ascii="Calibri" w:hAnsi="Calibri" w:eastAsia="Calibri" w:cs="Calibri"/>
          <w:color w:val="000000"/>
          <w:sz w:val="22"/>
          <w:szCs w:val="22"/>
        </w:rPr>
        <w:t xml:space="preserve">, 33-37.</w:t>
      </w:r>
    </w:p>
    <w:p>
      <w:pPr>
        <w:widowControl w:val="on"/>
        <w:pBdr/>
        <w:spacing w:before="220" w:after="220" w:line="240" w:lineRule="auto"/>
        <w:ind w:left="0" w:right="0"/>
        <w:jc w:val="left"/>
      </w:pPr>
      <w:r>
        <w:rPr>
          <w:rFonts w:ascii="Calibri" w:hAnsi="Calibri" w:eastAsia="Calibri" w:cs="Calibri"/>
          <w:color w:val="000000"/>
          <w:sz w:val="22"/>
          <w:szCs w:val="22"/>
        </w:rPr>
        <w:t xml:space="preserve">Hamel M, Bauce E &amp; Lavallee R (1994) Feeding and oviposition interspecific preferences of adult white pine weevil (Coleoptera: Curculionidae) in Quebec.</w:t>
      </w:r>
      <w:r>
        <w:rPr>
          <w:rFonts w:ascii="Calibri" w:hAnsi="Calibri" w:eastAsia="Calibri" w:cs="Calibri"/>
          <w:i/>
          <w:iCs/>
          <w:color w:val="000000"/>
          <w:sz w:val="22"/>
          <w:szCs w:val="22"/>
        </w:rPr>
        <w:t xml:space="preserve"> 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923-929.</w:t>
      </w:r>
    </w:p>
    <w:p>
      <w:pPr>
        <w:widowControl w:val="on"/>
        <w:pBdr/>
        <w:spacing w:before="220" w:after="220" w:line="240" w:lineRule="auto"/>
        <w:ind w:left="0" w:right="0"/>
        <w:jc w:val="left"/>
      </w:pPr>
      <w:r>
        <w:rPr>
          <w:rFonts w:ascii="Calibri" w:hAnsi="Calibri" w:eastAsia="Calibri" w:cs="Calibri"/>
          <w:color w:val="000000"/>
          <w:sz w:val="22"/>
          <w:szCs w:val="22"/>
        </w:rPr>
        <w:t xml:space="preserve">Hamid A, Odell TM &amp; Katovich (1995) White pine weevil. </w:t>
      </w:r>
      <w:r>
        <w:rPr>
          <w:rFonts w:ascii="Calibri" w:hAnsi="Calibri" w:eastAsia="Calibri" w:cs="Calibri"/>
          <w:i/>
          <w:iCs/>
          <w:color w:val="000000"/>
          <w:sz w:val="22"/>
          <w:szCs w:val="22"/>
        </w:rPr>
        <w:t xml:space="preserve">Forest Insect and Disease Leaflet</w:t>
      </w:r>
      <w:r>
        <w:rPr>
          <w:rFonts w:ascii="Calibri" w:hAnsi="Calibri" w:eastAsia="Calibri" w:cs="Calibri"/>
          <w:color w:val="000000"/>
          <w:sz w:val="22"/>
          <w:szCs w:val="22"/>
        </w:rPr>
        <w:t xml:space="preserve"> 21. United States Department of Agriculture, Forest Service, Washington, DC, 10 pp.</w:t>
      </w:r>
    </w:p>
    <w:p>
      <w:pPr>
        <w:widowControl w:val="on"/>
        <w:pBdr/>
        <w:spacing w:before="220" w:after="220" w:line="240" w:lineRule="auto"/>
        <w:ind w:left="0" w:right="0"/>
        <w:jc w:val="left"/>
      </w:pPr>
      <w:r>
        <w:rPr>
          <w:rFonts w:ascii="Calibri" w:hAnsi="Calibri" w:eastAsia="Calibri" w:cs="Calibri"/>
          <w:color w:val="000000"/>
          <w:sz w:val="22"/>
          <w:szCs w:val="22"/>
        </w:rPr>
        <w:t xml:space="preserve">Harris LJ, Borden JH, Pierce HD Jr &amp; Oehlschlager AC (1983) Cortical resin monoterpenes in Sitka spruce and resistance to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(Coleoptera: Curculionidae).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350-352.</w:t>
      </w:r>
    </w:p>
    <w:p>
      <w:pPr>
        <w:widowControl w:val="on"/>
        <w:pBdr/>
        <w:spacing w:before="220" w:after="220" w:line="240" w:lineRule="auto"/>
        <w:ind w:left="0" w:right="0"/>
        <w:jc w:val="left"/>
      </w:pPr>
      <w:r>
        <w:rPr>
          <w:rFonts w:ascii="Calibri" w:hAnsi="Calibri" w:eastAsia="Calibri" w:cs="Calibri"/>
          <w:color w:val="000000"/>
          <w:sz w:val="22"/>
          <w:szCs w:val="22"/>
        </w:rPr>
        <w:t xml:space="preserve">Helson B, DeGroot P, McFarlane J, Zylstra B &amp; Scarr T (1998) Leader and systematic applications of Neem EC formulations for control of white pine weevil (Coleoptera: Curculionidae) on jack pine and white pine. </w:t>
      </w:r>
      <w:r>
        <w:rPr>
          <w:rFonts w:ascii="Calibri" w:hAnsi="Calibri" w:eastAsia="Calibri" w:cs="Calibri"/>
          <w:i/>
          <w:iCs/>
          <w:color w:val="000000"/>
          <w:sz w:val="22"/>
          <w:szCs w:val="22"/>
        </w:rPr>
        <w:t xml:space="preserve">Proceedings of the Entomological Society of Ontario </w:t>
      </w:r>
      <w:r>
        <w:rPr>
          <w:rFonts w:ascii="Calibri" w:hAnsi="Calibri" w:eastAsia="Calibri" w:cs="Calibri"/>
          <w:b/>
          <w:bCs/>
          <w:color w:val="000000"/>
          <w:sz w:val="22"/>
          <w:szCs w:val="22"/>
        </w:rPr>
        <w:t xml:space="preserve">129</w:t>
      </w:r>
      <w:r>
        <w:rPr>
          <w:rFonts w:ascii="Calibri" w:hAnsi="Calibri" w:eastAsia="Calibri" w:cs="Calibri"/>
          <w:color w:val="000000"/>
          <w:sz w:val="22"/>
          <w:szCs w:val="22"/>
        </w:rPr>
        <w:t xml:space="preserve">, 107-113.</w:t>
      </w:r>
    </w:p>
    <w:p>
      <w:pPr>
        <w:widowControl w:val="on"/>
        <w:pBdr/>
        <w:spacing w:before="220" w:after="220" w:line="240" w:lineRule="auto"/>
        <w:ind w:left="0" w:right="0"/>
        <w:jc w:val="left"/>
      </w:pPr>
      <w:r>
        <w:rPr>
          <w:rFonts w:ascii="Calibri" w:hAnsi="Calibri" w:eastAsia="Calibri" w:cs="Calibri"/>
          <w:color w:val="000000"/>
          <w:sz w:val="22"/>
          <w:szCs w:val="22"/>
        </w:rPr>
        <w:t xml:space="preserve">Hiratsuka Y, Langor DW &amp; Crane PE (1995) A field guide to the forest insects and diseases of the prairie provinces. </w:t>
      </w:r>
      <w:r>
        <w:rPr>
          <w:rFonts w:ascii="Calibri" w:hAnsi="Calibri" w:eastAsia="Calibri" w:cs="Calibri"/>
          <w:i/>
          <w:iCs/>
          <w:color w:val="000000"/>
          <w:sz w:val="22"/>
          <w:szCs w:val="22"/>
        </w:rPr>
        <w:t xml:space="preserve">Special Report</w:t>
      </w:r>
      <w:r>
        <w:rPr>
          <w:rFonts w:ascii="Calibri" w:hAnsi="Calibri" w:eastAsia="Calibri" w:cs="Calibri"/>
          <w:color w:val="000000"/>
          <w:sz w:val="22"/>
          <w:szCs w:val="22"/>
        </w:rPr>
        <w:t xml:space="preserve"> 3. Canadian Forest Service, Northern Forestry Centre, Edmonton, AB, 297 pp.</w:t>
      </w:r>
    </w:p>
    <w:p>
      <w:pPr>
        <w:widowControl w:val="on"/>
        <w:pBdr/>
        <w:spacing w:before="220" w:after="220" w:line="240" w:lineRule="auto"/>
        <w:ind w:left="0" w:right="0"/>
        <w:jc w:val="left"/>
      </w:pPr>
      <w:r>
        <w:rPr>
          <w:rFonts w:ascii="Calibri" w:hAnsi="Calibri" w:eastAsia="Calibri" w:cs="Calibri"/>
          <w:color w:val="000000"/>
          <w:sz w:val="22"/>
          <w:szCs w:val="22"/>
        </w:rPr>
        <w:t xml:space="preserve">Hulme MA (1994) The potential of </w:t>
      </w:r>
      <w:r>
        <w:rPr>
          <w:rFonts w:ascii="Calibri" w:hAnsi="Calibri" w:eastAsia="Calibri" w:cs="Calibri"/>
          <w:i/>
          <w:iCs/>
          <w:color w:val="000000"/>
          <w:sz w:val="22"/>
          <w:szCs w:val="22"/>
        </w:rPr>
        <w:t xml:space="preserve">Allodorus crassigaster</w:t>
      </w:r>
      <w:r>
        <w:rPr>
          <w:rFonts w:ascii="Calibri" w:hAnsi="Calibri" w:eastAsia="Calibri" w:cs="Calibri"/>
          <w:color w:val="000000"/>
          <w:sz w:val="22"/>
          <w:szCs w:val="22"/>
        </w:rPr>
        <w:t xml:space="preserve"> for the biological control of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The white pine weevil: biology, damage and management</w:t>
      </w:r>
      <w:r>
        <w:rPr>
          <w:rFonts w:ascii="Calibri" w:hAnsi="Calibri" w:eastAsia="Calibri" w:cs="Calibri"/>
          <w:color w:val="000000"/>
          <w:sz w:val="22"/>
          <w:szCs w:val="22"/>
        </w:rPr>
        <w:t xml:space="preserve"> (eds Alfaro RI, Kiss G &amp; Fraser RG), p. 294-300. Canadian Forest Service, Pacific Forestry Centre &amp; British Columbia Ministry of Forests, Forest Resource Development Agreement Report No. 226.</w:t>
      </w:r>
    </w:p>
    <w:p>
      <w:pPr>
        <w:widowControl w:val="on"/>
        <w:pBdr/>
        <w:spacing w:before="220" w:after="220" w:line="240" w:lineRule="auto"/>
        <w:ind w:left="0" w:right="0"/>
        <w:jc w:val="left"/>
      </w:pPr>
      <w:r>
        <w:rPr>
          <w:rFonts w:ascii="Calibri" w:hAnsi="Calibri" w:eastAsia="Calibri" w:cs="Calibri"/>
          <w:color w:val="000000"/>
          <w:sz w:val="22"/>
          <w:szCs w:val="22"/>
        </w:rPr>
        <w:t xml:space="preserve">Hulme MA &amp; Dawson AF (1992) Serbian spruce is as vulnerable as Sitka spruce to damage by the Sitka spruce weevil. </w:t>
      </w:r>
      <w:r>
        <w:rPr>
          <w:rFonts w:ascii="Calibri" w:hAnsi="Calibri" w:eastAsia="Calibri" w:cs="Calibri"/>
          <w:i/>
          <w:iCs/>
          <w:color w:val="000000"/>
          <w:sz w:val="22"/>
          <w:szCs w:val="22"/>
        </w:rPr>
        <w:t xml:space="preserve">Western Journal of Applied Forestry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5-9.</w:t>
      </w:r>
    </w:p>
    <w:p>
      <w:pPr>
        <w:widowControl w:val="on"/>
        <w:pBdr/>
        <w:spacing w:before="220" w:after="220" w:line="240" w:lineRule="auto"/>
        <w:ind w:left="0" w:right="0"/>
        <w:jc w:val="left"/>
      </w:pPr>
      <w:r>
        <w:rPr>
          <w:rFonts w:ascii="Calibri" w:hAnsi="Calibri" w:eastAsia="Calibri" w:cs="Calibri"/>
          <w:color w:val="000000"/>
          <w:sz w:val="22"/>
          <w:szCs w:val="22"/>
        </w:rPr>
        <w:t xml:space="preserve">Hulme MA, Dawson AF &amp; Harris JWE (1986) Exploiting cold-hardiness to separate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from associated insects in leaders of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118</w:t>
      </w:r>
      <w:r>
        <w:rPr>
          <w:rFonts w:ascii="Calibri" w:hAnsi="Calibri" w:eastAsia="Calibri" w:cs="Calibri"/>
          <w:color w:val="000000"/>
          <w:sz w:val="22"/>
          <w:szCs w:val="22"/>
        </w:rPr>
        <w:t xml:space="preserve">, 1115-1122.</w:t>
      </w:r>
    </w:p>
    <w:p>
      <w:pPr>
        <w:widowControl w:val="on"/>
        <w:pBdr/>
        <w:spacing w:before="220" w:after="220" w:line="240" w:lineRule="auto"/>
        <w:ind w:left="0" w:right="0"/>
        <w:jc w:val="left"/>
      </w:pPr>
      <w:r>
        <w:rPr>
          <w:rFonts w:ascii="Calibri" w:hAnsi="Calibri" w:eastAsia="Calibri" w:cs="Calibri"/>
          <w:color w:val="000000"/>
          <w:sz w:val="22"/>
          <w:szCs w:val="22"/>
        </w:rPr>
        <w:t xml:space="preserve">Hulme MA, Harris JWE &amp; Dawson AF (1987) Exploiting adult girth to separate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(Peck) (Coleoptera: Curculionidae) from associated insects in leaders of </w:t>
      </w:r>
      <w:r>
        <w:rPr>
          <w:rFonts w:ascii="Calibri" w:hAnsi="Calibri" w:eastAsia="Calibri" w:cs="Calibri"/>
          <w:i/>
          <w:iCs/>
          <w:color w:val="000000"/>
          <w:sz w:val="22"/>
          <w:szCs w:val="22"/>
        </w:rPr>
        <w:t xml:space="preserve">Picea sitchensis</w:t>
      </w:r>
      <w:r>
        <w:rPr>
          <w:rFonts w:ascii="Calibri" w:hAnsi="Calibri" w:eastAsia="Calibri" w:cs="Calibri"/>
          <w:color w:val="000000"/>
          <w:sz w:val="22"/>
          <w:szCs w:val="22"/>
        </w:rPr>
        <w:t xml:space="preserve"> (Bong.) Carr. </w:t>
      </w:r>
      <w:r>
        <w:rPr>
          <w:rFonts w:ascii="Calibri" w:hAnsi="Calibri" w:eastAsia="Calibri" w:cs="Calibri"/>
          <w:i/>
          <w:iCs/>
          <w:color w:val="000000"/>
          <w:sz w:val="22"/>
          <w:szCs w:val="22"/>
        </w:rPr>
        <w:t xml:space="preserve">The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119</w:t>
      </w:r>
      <w:r>
        <w:rPr>
          <w:rFonts w:ascii="Calibri" w:hAnsi="Calibri" w:eastAsia="Calibri" w:cs="Calibri"/>
          <w:color w:val="000000"/>
          <w:sz w:val="22"/>
          <w:szCs w:val="22"/>
        </w:rPr>
        <w:t xml:space="preserve">, 751-753.</w:t>
      </w:r>
    </w:p>
    <w:p>
      <w:pPr>
        <w:widowControl w:val="on"/>
        <w:pBdr/>
        <w:spacing w:before="220" w:after="220" w:line="240" w:lineRule="auto"/>
        <w:ind w:left="0" w:right="0"/>
        <w:jc w:val="left"/>
      </w:pPr>
      <w:r>
        <w:rPr>
          <w:rFonts w:ascii="Calibri" w:hAnsi="Calibri" w:eastAsia="Calibri" w:cs="Calibri"/>
          <w:color w:val="000000"/>
          <w:sz w:val="22"/>
          <w:szCs w:val="22"/>
        </w:rPr>
        <w:t xml:space="preserve">Humble LM, Humphreys N &amp; Van Sickle GA (1994) Distribution and hosts of the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in Canada. In </w:t>
      </w:r>
      <w:r>
        <w:rPr>
          <w:rFonts w:ascii="Calibri" w:hAnsi="Calibri" w:eastAsia="Calibri" w:cs="Calibri"/>
          <w:i/>
          <w:iCs/>
          <w:color w:val="000000"/>
          <w:sz w:val="22"/>
          <w:szCs w:val="22"/>
        </w:rPr>
        <w:t xml:space="preserve">The white pine weevil: biology, damage and management</w:t>
      </w:r>
      <w:r>
        <w:rPr>
          <w:rFonts w:ascii="Calibri" w:hAnsi="Calibri" w:eastAsia="Calibri" w:cs="Calibri"/>
          <w:color w:val="000000"/>
          <w:sz w:val="22"/>
          <w:szCs w:val="22"/>
        </w:rPr>
        <w:t xml:space="preserve"> (eds Alfaro RI, Kiss G &amp; Fraser RG), p. 68-75. Canadian Forest Service, Pacific Forestry Centre &amp; British Columbia Ministry of Forests, Forest Resource Development Agreement Report No. 226.</w:t>
      </w:r>
    </w:p>
    <w:p>
      <w:pPr>
        <w:widowControl w:val="on"/>
        <w:pBdr/>
        <w:spacing w:before="220" w:after="220" w:line="240" w:lineRule="auto"/>
        <w:ind w:left="0" w:right="0"/>
        <w:jc w:val="left"/>
      </w:pPr>
      <w:r>
        <w:rPr>
          <w:rFonts w:ascii="Calibri" w:hAnsi="Calibri" w:eastAsia="Calibri" w:cs="Calibri"/>
          <w:color w:val="000000"/>
          <w:sz w:val="22"/>
          <w:szCs w:val="22"/>
        </w:rPr>
        <w:t xml:space="preserve">Kenis M &amp; Mills NJ (1994) Parasitoids of European species of the genus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(Col: Curculionidae) and their potential for the biological control of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(Peck) in Canada.</w:t>
      </w:r>
      <w:r>
        <w:rPr>
          <w:rFonts w:ascii="Calibri" w:hAnsi="Calibri" w:eastAsia="Calibri" w:cs="Calibri"/>
          <w:i/>
          <w:iCs/>
          <w:color w:val="000000"/>
          <w:sz w:val="22"/>
          <w:szCs w:val="22"/>
        </w:rPr>
        <w:t xml:space="preserve"> Biological Control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14-21.</w:t>
      </w:r>
    </w:p>
    <w:p>
      <w:pPr>
        <w:widowControl w:val="on"/>
        <w:pBdr/>
        <w:spacing w:before="220" w:after="220" w:line="240" w:lineRule="auto"/>
        <w:ind w:left="0" w:right="0"/>
        <w:jc w:val="left"/>
      </w:pPr>
      <w:r>
        <w:rPr>
          <w:rFonts w:ascii="Calibri" w:hAnsi="Calibri" w:eastAsia="Calibri" w:cs="Calibri"/>
          <w:color w:val="000000"/>
          <w:sz w:val="22"/>
          <w:szCs w:val="22"/>
        </w:rPr>
        <w:t xml:space="preserve">Khalil MAK (1969) Scotch pine: variation and performance in Minnesota. </w:t>
      </w:r>
      <w:r>
        <w:rPr>
          <w:rFonts w:ascii="Calibri" w:hAnsi="Calibri" w:eastAsia="Calibri" w:cs="Calibri"/>
          <w:i/>
          <w:iCs/>
          <w:color w:val="000000"/>
          <w:sz w:val="22"/>
          <w:szCs w:val="22"/>
        </w:rPr>
        <w:t xml:space="preserve">Journal of the Minnesota Academy of Science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114-117.</w:t>
      </w:r>
    </w:p>
    <w:p>
      <w:pPr>
        <w:widowControl w:val="on"/>
        <w:pBdr/>
        <w:spacing w:before="220" w:after="220" w:line="240" w:lineRule="auto"/>
        <w:ind w:left="0" w:right="0"/>
        <w:jc w:val="left"/>
      </w:pPr>
      <w:r>
        <w:rPr>
          <w:rFonts w:ascii="Calibri" w:hAnsi="Calibri" w:eastAsia="Calibri" w:cs="Calibri"/>
          <w:color w:val="000000"/>
          <w:sz w:val="22"/>
          <w:szCs w:val="22"/>
        </w:rPr>
        <w:t xml:space="preserve">King JN &amp; Alfaro RI (2004) Breeding for resistance to a shoot weevil of Sitka spruce in British Columbia, Canada. In </w:t>
      </w:r>
      <w:r>
        <w:rPr>
          <w:rFonts w:ascii="Calibri" w:hAnsi="Calibri" w:eastAsia="Calibri" w:cs="Calibri"/>
          <w:i/>
          <w:iCs/>
          <w:color w:val="000000"/>
          <w:sz w:val="22"/>
          <w:szCs w:val="22"/>
        </w:rPr>
        <w:t xml:space="preserve">Plantation Forest Biotechnology for the 21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Century</w:t>
      </w:r>
      <w:r>
        <w:rPr>
          <w:rFonts w:ascii="Calibri" w:hAnsi="Calibri" w:eastAsia="Calibri" w:cs="Calibri"/>
          <w:color w:val="000000"/>
          <w:sz w:val="22"/>
          <w:szCs w:val="22"/>
        </w:rPr>
        <w:t xml:space="preserve"> (eds Walter C &amp; Carson M), pp. 119-128. Research Signpost, Trivandrum, India.</w:t>
      </w:r>
    </w:p>
    <w:p>
      <w:pPr>
        <w:widowControl w:val="on"/>
        <w:pBdr/>
        <w:spacing w:before="220" w:after="220" w:line="240" w:lineRule="auto"/>
        <w:ind w:left="0" w:right="0"/>
        <w:jc w:val="left"/>
      </w:pPr>
      <w:r>
        <w:rPr>
          <w:rFonts w:ascii="Calibri" w:hAnsi="Calibri" w:eastAsia="Calibri" w:cs="Calibri"/>
          <w:color w:val="000000"/>
          <w:sz w:val="22"/>
          <w:szCs w:val="22"/>
        </w:rPr>
        <w:t xml:space="preserve">Klein JI (1971) Performance of Russian Scots pine populations in Manitoba and Ontario. </w:t>
      </w:r>
      <w:r>
        <w:rPr>
          <w:rFonts w:ascii="Calibri" w:hAnsi="Calibri" w:eastAsia="Calibri" w:cs="Calibri"/>
          <w:i/>
          <w:iCs/>
          <w:color w:val="000000"/>
          <w:sz w:val="22"/>
          <w:szCs w:val="22"/>
        </w:rPr>
        <w:t xml:space="preserve">Information Report</w:t>
      </w:r>
      <w:r>
        <w:rPr>
          <w:rFonts w:ascii="Calibri" w:hAnsi="Calibri" w:eastAsia="Calibri" w:cs="Calibri"/>
          <w:color w:val="000000"/>
          <w:sz w:val="22"/>
          <w:szCs w:val="22"/>
        </w:rPr>
        <w:t xml:space="preserve"> NOR-X-2</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Canadian Forest Service, Northern Forest Research Centre, Edmonton, AB, 12 pp.</w:t>
      </w:r>
    </w:p>
    <w:p>
      <w:pPr>
        <w:widowControl w:val="on"/>
        <w:pBdr/>
        <w:spacing w:before="220" w:after="220" w:line="240" w:lineRule="auto"/>
        <w:ind w:left="0" w:right="0"/>
        <w:jc w:val="left"/>
      </w:pPr>
      <w:r>
        <w:rPr>
          <w:rFonts w:ascii="Calibri" w:hAnsi="Calibri" w:eastAsia="Calibri" w:cs="Calibri"/>
          <w:color w:val="000000"/>
          <w:sz w:val="22"/>
          <w:szCs w:val="22"/>
        </w:rPr>
        <w:t xml:space="preserve">Kope HH, Alfaro RI &amp; Lavallée (2006) Virulence of the entomopathogenic fungus </w:t>
      </w:r>
      <w:r>
        <w:rPr>
          <w:rFonts w:ascii="Calibri" w:hAnsi="Calibri" w:eastAsia="Calibri" w:cs="Calibri"/>
          <w:i/>
          <w:iCs/>
          <w:color w:val="000000"/>
          <w:sz w:val="22"/>
          <w:szCs w:val="22"/>
        </w:rPr>
        <w:t xml:space="preserve">Lecanicillium</w:t>
      </w:r>
      <w:r>
        <w:rPr>
          <w:rFonts w:ascii="Calibri" w:hAnsi="Calibri" w:eastAsia="Calibri" w:cs="Calibri"/>
          <w:color w:val="000000"/>
          <w:sz w:val="22"/>
          <w:szCs w:val="22"/>
        </w:rPr>
        <w:t xml:space="preserve"> (Deuteromycota: Hyphomycetes) to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(Coleoptera Curculionidae).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138</w:t>
      </w:r>
      <w:r>
        <w:rPr>
          <w:rFonts w:ascii="Calibri" w:hAnsi="Calibri" w:eastAsia="Calibri" w:cs="Calibri"/>
          <w:color w:val="000000"/>
          <w:sz w:val="22"/>
          <w:szCs w:val="22"/>
        </w:rPr>
        <w:t xml:space="preserve">, 253-262.</w:t>
      </w:r>
    </w:p>
    <w:p>
      <w:pPr>
        <w:widowControl w:val="on"/>
        <w:pBdr/>
        <w:spacing w:before="220" w:after="220" w:line="240" w:lineRule="auto"/>
        <w:ind w:left="0" w:right="0"/>
        <w:jc w:val="left"/>
      </w:pPr>
      <w:r>
        <w:rPr>
          <w:rFonts w:ascii="Calibri" w:hAnsi="Calibri" w:eastAsia="Calibri" w:cs="Calibri"/>
          <w:color w:val="000000"/>
          <w:sz w:val="22"/>
          <w:szCs w:val="22"/>
        </w:rPr>
        <w:t xml:space="preserve">Langor DW, Drouin JA &amp; Wong HR (1991) The lodgepole terminal weevil in the prairie provinces. </w:t>
      </w:r>
      <w:r>
        <w:rPr>
          <w:rFonts w:ascii="Calibri" w:hAnsi="Calibri" w:eastAsia="Calibri" w:cs="Calibri"/>
          <w:i/>
          <w:iCs/>
          <w:color w:val="000000"/>
          <w:sz w:val="22"/>
          <w:szCs w:val="22"/>
        </w:rPr>
        <w:t xml:space="preserve">Forest Management Note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55. </w:t>
      </w:r>
      <w:r>
        <w:rPr>
          <w:rFonts w:ascii="Calibri" w:hAnsi="Calibri" w:eastAsia="Calibri" w:cs="Calibri"/>
          <w:color w:val="000000"/>
          <w:sz w:val="22"/>
          <w:szCs w:val="22"/>
        </w:rPr>
        <w:t xml:space="preserve">Forestry Canada, Northwest Region, Northern Forestry Centre, Edmonton, AB, 7 pp.</w:t>
      </w:r>
    </w:p>
    <w:p>
      <w:pPr>
        <w:widowControl w:val="on"/>
        <w:pBdr/>
        <w:spacing w:before="220" w:after="220" w:line="240" w:lineRule="auto"/>
        <w:ind w:left="0" w:right="0"/>
        <w:jc w:val="left"/>
      </w:pPr>
      <w:r>
        <w:rPr>
          <w:rFonts w:ascii="Calibri" w:hAnsi="Calibri" w:eastAsia="Calibri" w:cs="Calibri"/>
          <w:color w:val="000000"/>
          <w:sz w:val="22"/>
          <w:szCs w:val="22"/>
        </w:rPr>
        <w:t xml:space="preserve">Langor DW &amp; Sperling FAH (1997) Mitochondrial DNA sequence divergence in weevils of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species complex (Coleoptera: Curculionidae). </w:t>
      </w:r>
      <w:r>
        <w:rPr>
          <w:rFonts w:ascii="Calibri" w:hAnsi="Calibri" w:eastAsia="Calibri" w:cs="Calibri"/>
          <w:i/>
          <w:iCs/>
          <w:color w:val="000000"/>
          <w:sz w:val="22"/>
          <w:szCs w:val="22"/>
        </w:rPr>
        <w:t xml:space="preserve">Insect Molecular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255-265.</w:t>
      </w:r>
    </w:p>
    <w:p>
      <w:pPr>
        <w:widowControl w:val="on"/>
        <w:pBdr/>
        <w:spacing w:before="220" w:after="220" w:line="240" w:lineRule="auto"/>
        <w:ind w:left="0" w:right="0"/>
        <w:jc w:val="left"/>
      </w:pPr>
      <w:r>
        <w:rPr>
          <w:rFonts w:ascii="Calibri" w:hAnsi="Calibri" w:eastAsia="Calibri" w:cs="Calibri"/>
          <w:color w:val="000000"/>
          <w:sz w:val="22"/>
          <w:szCs w:val="22"/>
        </w:rPr>
        <w:t xml:space="preserve">Ledig FT &amp; Smith DM (1981) The influence of silvicultural practices on genetic improvement: height growth and weevil resistance in eastern white pine. </w:t>
      </w:r>
      <w:r>
        <w:rPr>
          <w:rFonts w:ascii="Calibri" w:hAnsi="Calibri" w:eastAsia="Calibri" w:cs="Calibri"/>
          <w:i/>
          <w:iCs/>
          <w:color w:val="000000"/>
          <w:sz w:val="22"/>
          <w:szCs w:val="22"/>
        </w:rPr>
        <w:t xml:space="preserve">Silvae Genetica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30-36.</w:t>
      </w:r>
    </w:p>
    <w:p>
      <w:pPr>
        <w:widowControl w:val="on"/>
        <w:pBdr/>
        <w:spacing w:before="220" w:after="220" w:line="240" w:lineRule="auto"/>
        <w:ind w:left="0" w:right="0"/>
        <w:jc w:val="left"/>
      </w:pPr>
      <w:r>
        <w:rPr>
          <w:rFonts w:ascii="Calibri" w:hAnsi="Calibri" w:eastAsia="Calibri" w:cs="Calibri"/>
          <w:color w:val="000000"/>
          <w:sz w:val="22"/>
          <w:szCs w:val="22"/>
        </w:rPr>
        <w:t xml:space="preserve">Lee CY (1992) Comparative morphology of the weevil larvae of the subfamily Curculionoidea in Korea (Coleoptera) (I). </w:t>
      </w:r>
      <w:r>
        <w:rPr>
          <w:rFonts w:ascii="Calibri" w:hAnsi="Calibri" w:eastAsia="Calibri" w:cs="Calibri"/>
          <w:i/>
          <w:iCs/>
          <w:color w:val="000000"/>
          <w:sz w:val="22"/>
          <w:szCs w:val="22"/>
        </w:rPr>
        <w:t xml:space="preserve">Korean 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153-169.</w:t>
      </w:r>
    </w:p>
    <w:p>
      <w:pPr>
        <w:widowControl w:val="on"/>
        <w:pBdr/>
        <w:spacing w:before="220" w:after="220" w:line="240" w:lineRule="auto"/>
        <w:ind w:left="0" w:right="0"/>
        <w:jc w:val="left"/>
      </w:pPr>
      <w:r>
        <w:rPr>
          <w:rFonts w:ascii="Calibri" w:hAnsi="Calibri" w:eastAsia="Calibri" w:cs="Calibri"/>
          <w:color w:val="000000"/>
          <w:sz w:val="22"/>
          <w:szCs w:val="22"/>
        </w:rPr>
        <w:t xml:space="preserve">Lenz PRN, Nadeau S, Mottet MG, Perron M, Isabel N, Beaulieu J &amp; Bousquet J (2020) Multi-trait genomic selection for weevil resistance, growth, and wood quality in Norway spruce. </w:t>
      </w:r>
      <w:r>
        <w:rPr>
          <w:rFonts w:ascii="Calibri" w:hAnsi="Calibri" w:eastAsia="Calibri" w:cs="Calibri"/>
          <w:i/>
          <w:iCs/>
          <w:color w:val="000000"/>
          <w:sz w:val="22"/>
          <w:szCs w:val="22"/>
        </w:rPr>
        <w:t xml:space="preserve">Evolutionary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76-94.</w:t>
      </w:r>
    </w:p>
    <w:p>
      <w:pPr>
        <w:widowControl w:val="on"/>
        <w:pBdr/>
        <w:spacing w:before="220" w:after="220" w:line="240" w:lineRule="auto"/>
        <w:ind w:left="0" w:right="0"/>
        <w:jc w:val="left"/>
      </w:pPr>
      <w:r>
        <w:rPr>
          <w:rFonts w:ascii="Calibri" w:hAnsi="Calibri" w:eastAsia="Calibri" w:cs="Calibri"/>
          <w:color w:val="000000"/>
          <w:sz w:val="22"/>
          <w:szCs w:val="22"/>
        </w:rPr>
        <w:t xml:space="preserve">McMullen LH, Thomson AJ &amp; Quenet R (1987) Sitka spruce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population dynamics and control: a simulation model based on field relationships. </w:t>
      </w:r>
      <w:r>
        <w:rPr>
          <w:rFonts w:ascii="Calibri" w:hAnsi="Calibri" w:eastAsia="Calibri" w:cs="Calibri"/>
          <w:i/>
          <w:iCs/>
          <w:color w:val="000000"/>
          <w:sz w:val="22"/>
          <w:szCs w:val="22"/>
        </w:rPr>
        <w:t xml:space="preserve">Information Report </w:t>
      </w:r>
      <w:r>
        <w:rPr>
          <w:rFonts w:ascii="Calibri" w:hAnsi="Calibri" w:eastAsia="Calibri" w:cs="Calibri"/>
          <w:color w:val="000000"/>
          <w:sz w:val="22"/>
          <w:szCs w:val="22"/>
        </w:rPr>
        <w:t xml:space="preserve">BC-X-288. Canadian Forest Service, Pacific Forestry Centre, Victoria, BC, 20 pp.</w:t>
      </w:r>
    </w:p>
    <w:p>
      <w:pPr>
        <w:widowControl w:val="on"/>
        <w:pBdr/>
        <w:spacing w:before="220" w:after="220" w:line="240" w:lineRule="auto"/>
        <w:ind w:left="0" w:right="0"/>
        <w:jc w:val="left"/>
      </w:pPr>
      <w:r>
        <w:rPr>
          <w:rFonts w:ascii="Calibri" w:hAnsi="Calibri" w:eastAsia="Calibri" w:cs="Calibri"/>
          <w:color w:val="000000"/>
          <w:sz w:val="22"/>
          <w:szCs w:val="22"/>
        </w:rPr>
        <w:t xml:space="preserve">Mitchell RG, Wright KH &amp; Johnson NE (1990) Damage by the Sitka spruce weevil (Pissodes strobi and growth patterns for 10 spruce species and hybrids over 26 years in the Pacific Northwest. </w:t>
      </w:r>
      <w:r>
        <w:rPr>
          <w:rFonts w:ascii="Calibri" w:hAnsi="Calibri" w:eastAsia="Calibri" w:cs="Calibri"/>
          <w:i/>
          <w:iCs/>
          <w:color w:val="000000"/>
          <w:sz w:val="22"/>
          <w:szCs w:val="22"/>
        </w:rPr>
        <w:t xml:space="preserve">Research Paper </w:t>
      </w:r>
      <w:r>
        <w:rPr>
          <w:rFonts w:ascii="Calibri" w:hAnsi="Calibri" w:eastAsia="Calibri" w:cs="Calibri"/>
          <w:color w:val="000000"/>
          <w:sz w:val="22"/>
          <w:szCs w:val="22"/>
        </w:rPr>
        <w:t xml:space="preserve">PNW-RP-434. United States Department of Agriculture, Forest Service, Pacific Northwest Research Station, Portland, OR, 12 pp.</w:t>
      </w:r>
    </w:p>
    <w:p>
      <w:pPr>
        <w:widowControl w:val="on"/>
        <w:pBdr/>
        <w:spacing w:before="220" w:after="220" w:line="240" w:lineRule="auto"/>
        <w:ind w:left="0" w:right="0"/>
        <w:jc w:val="left"/>
      </w:pPr>
      <w:r>
        <w:rPr>
          <w:rFonts w:ascii="Calibri" w:hAnsi="Calibri" w:eastAsia="Calibri" w:cs="Calibri"/>
          <w:color w:val="000000"/>
          <w:sz w:val="22"/>
          <w:szCs w:val="22"/>
        </w:rPr>
        <w:t xml:space="preserve">Ostrander MD (1971) Identification and evaluation of defects in eastern white pine logs and trees. </w:t>
      </w:r>
      <w:r>
        <w:rPr>
          <w:rFonts w:ascii="Calibri" w:hAnsi="Calibri" w:eastAsia="Calibri" w:cs="Calibri"/>
          <w:i/>
          <w:iCs/>
          <w:color w:val="000000"/>
          <w:sz w:val="22"/>
          <w:szCs w:val="22"/>
        </w:rPr>
        <w:t xml:space="preserve">Research Paper</w:t>
      </w:r>
      <w:r>
        <w:rPr>
          <w:rFonts w:ascii="Calibri" w:hAnsi="Calibri" w:eastAsia="Calibri" w:cs="Calibri"/>
          <w:color w:val="000000"/>
          <w:sz w:val="22"/>
          <w:szCs w:val="22"/>
        </w:rPr>
        <w:t xml:space="preserve"> NE-190. United States Department of Agriculture, Forest Service, Northeastern Forest Experiment Station, Upper Darby, PA, 27 pp.</w:t>
      </w:r>
    </w:p>
    <w:p>
      <w:pPr>
        <w:widowControl w:val="on"/>
        <w:pBdr/>
        <w:spacing w:before="220" w:after="220" w:line="240" w:lineRule="auto"/>
        <w:ind w:left="0" w:right="0"/>
        <w:jc w:val="left"/>
      </w:pPr>
      <w:r>
        <w:rPr>
          <w:rFonts w:ascii="Calibri" w:hAnsi="Calibri" w:eastAsia="Calibri" w:cs="Calibri"/>
          <w:color w:val="000000"/>
          <w:sz w:val="22"/>
          <w:szCs w:val="22"/>
        </w:rPr>
        <w:t xml:space="preserve">Ostrander MD &amp; Foster CH (1957) Weevil red rot associations in eastern white pine. </w:t>
      </w:r>
      <w:r>
        <w:rPr>
          <w:rFonts w:ascii="Calibri" w:hAnsi="Calibri" w:eastAsia="Calibri" w:cs="Calibri"/>
          <w:i/>
          <w:iCs/>
          <w:color w:val="000000"/>
          <w:sz w:val="22"/>
          <w:szCs w:val="22"/>
        </w:rPr>
        <w:t xml:space="preserve">Research Notes</w:t>
      </w:r>
      <w:r>
        <w:rPr>
          <w:rFonts w:ascii="Calibri" w:hAnsi="Calibri" w:eastAsia="Calibri" w:cs="Calibri"/>
          <w:color w:val="000000"/>
          <w:sz w:val="22"/>
          <w:szCs w:val="22"/>
        </w:rPr>
        <w:t xml:space="preserve"> 68. United States Department of Agriculture, Forest Service, Northeastern Forest Experiment Station, Upper Darby, PA</w:t>
      </w:r>
      <w:r>
        <w:rPr>
          <w:rFonts w:ascii="Calibri" w:hAnsi="Calibri" w:eastAsia="Calibri" w:cs="Calibri"/>
          <w:b/>
          <w:bCs/>
          <w:color w:val="000000"/>
          <w:sz w:val="22"/>
          <w:szCs w:val="22"/>
        </w:rPr>
        <w:t xml:space="preserve">,</w:t>
      </w:r>
      <w:r>
        <w:rPr>
          <w:rFonts w:ascii="Calibri" w:hAnsi="Calibri" w:eastAsia="Calibri" w:cs="Calibri"/>
          <w:color w:val="000000"/>
          <w:sz w:val="22"/>
          <w:szCs w:val="22"/>
        </w:rPr>
        <w:t xml:space="preserve"> 2 pp.</w:t>
      </w:r>
    </w:p>
    <w:p>
      <w:pPr>
        <w:widowControl w:val="on"/>
        <w:pBdr/>
        <w:spacing w:before="220" w:after="220" w:line="240" w:lineRule="auto"/>
        <w:ind w:left="0" w:right="0"/>
        <w:jc w:val="left"/>
      </w:pPr>
      <w:r>
        <w:rPr>
          <w:rFonts w:ascii="Calibri" w:hAnsi="Calibri" w:eastAsia="Calibri" w:cs="Calibri"/>
          <w:color w:val="000000"/>
          <w:sz w:val="22"/>
          <w:szCs w:val="22"/>
        </w:rPr>
        <w:t xml:space="preserve">Phillips TW &amp; Lanier GN (1983) Biosystematics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feeding preference and breeding site specificity of </w:t>
      </w:r>
      <w:r>
        <w:rPr>
          <w:rFonts w:ascii="Calibri" w:hAnsi="Calibri" w:eastAsia="Calibri" w:cs="Calibri"/>
          <w:i/>
          <w:iCs/>
          <w:color w:val="000000"/>
          <w:sz w:val="22"/>
          <w:szCs w:val="22"/>
        </w:rPr>
        <w:t xml:space="preserve">P. strobi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approximatus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115</w:t>
      </w:r>
      <w:r>
        <w:rPr>
          <w:rFonts w:ascii="Calibri" w:hAnsi="Calibri" w:eastAsia="Calibri" w:cs="Calibri"/>
          <w:color w:val="000000"/>
          <w:sz w:val="22"/>
          <w:szCs w:val="22"/>
        </w:rPr>
        <w:t xml:space="preserve">, 1627-1636.</w:t>
      </w:r>
    </w:p>
    <w:p>
      <w:pPr>
        <w:widowControl w:val="on"/>
        <w:pBdr/>
        <w:spacing w:before="220" w:after="220" w:line="240" w:lineRule="auto"/>
        <w:ind w:left="0" w:right="0"/>
        <w:jc w:val="left"/>
      </w:pPr>
      <w:r>
        <w:rPr>
          <w:rFonts w:ascii="Calibri" w:hAnsi="Calibri" w:eastAsia="Calibri" w:cs="Calibri"/>
          <w:color w:val="000000"/>
          <w:sz w:val="22"/>
          <w:szCs w:val="22"/>
        </w:rPr>
        <w:t xml:space="preserve">Plummer CC &amp; Pillsbury AE (1929) The white pine weevil in New Hampshire. </w:t>
      </w:r>
      <w:r>
        <w:rPr>
          <w:rFonts w:ascii="Calibri" w:hAnsi="Calibri" w:eastAsia="Calibri" w:cs="Calibri"/>
          <w:i/>
          <w:iCs/>
          <w:color w:val="000000"/>
          <w:sz w:val="22"/>
          <w:szCs w:val="22"/>
        </w:rPr>
        <w:t xml:space="preserve">Bulletin</w:t>
      </w:r>
      <w:r>
        <w:rPr>
          <w:rFonts w:ascii="Calibri" w:hAnsi="Calibri" w:eastAsia="Calibri" w:cs="Calibri"/>
          <w:color w:val="000000"/>
          <w:sz w:val="22"/>
          <w:szCs w:val="22"/>
        </w:rPr>
        <w:t xml:space="preserve"> 247. University of New Hampshire Experiment Station, Durham, NH, 32 pp.</w:t>
      </w:r>
    </w:p>
    <w:p>
      <w:pPr>
        <w:widowControl w:val="on"/>
        <w:pBdr/>
        <w:spacing w:before="220" w:after="220" w:line="240" w:lineRule="auto"/>
        <w:ind w:left="0" w:right="0"/>
        <w:jc w:val="left"/>
      </w:pPr>
      <w:r>
        <w:rPr>
          <w:rFonts w:ascii="Calibri" w:hAnsi="Calibri" w:eastAsia="Calibri" w:cs="Calibri"/>
          <w:color w:val="000000"/>
          <w:sz w:val="22"/>
          <w:szCs w:val="22"/>
        </w:rPr>
        <w:t xml:space="preserve">Poulin J, Lavallée R, Mauffette Y &amp; Rioux D (2006) White pine weevil performances in relation to budburst phenology and traumatic resin duct formation in Norway spruce. </w:t>
      </w:r>
      <w:r>
        <w:rPr>
          <w:rFonts w:ascii="Calibri" w:hAnsi="Calibri" w:eastAsia="Calibri" w:cs="Calibri"/>
          <w:i/>
          <w:iCs/>
          <w:color w:val="000000"/>
          <w:sz w:val="22"/>
          <w:szCs w:val="22"/>
        </w:rPr>
        <w:t xml:space="preserve">Agricultural and Forest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129-137.</w:t>
      </w:r>
    </w:p>
    <w:p>
      <w:pPr>
        <w:widowControl w:val="on"/>
        <w:pBdr/>
        <w:spacing w:before="220" w:after="220" w:line="240" w:lineRule="auto"/>
        <w:ind w:left="0" w:right="0"/>
        <w:jc w:val="left"/>
      </w:pPr>
      <w:r>
        <w:rPr>
          <w:rFonts w:ascii="Calibri" w:hAnsi="Calibri" w:eastAsia="Calibri" w:cs="Calibri"/>
          <w:color w:val="000000"/>
          <w:sz w:val="22"/>
          <w:szCs w:val="22"/>
        </w:rPr>
        <w:t xml:space="preserve">Retnakaran A &amp; Smith L (1982) Reproductive effects of insect growth regulators on the white pine weevil, </w:t>
      </w:r>
      <w:r>
        <w:rPr>
          <w:rFonts w:ascii="Calibri" w:hAnsi="Calibri" w:eastAsia="Calibri" w:cs="Calibri"/>
          <w:i/>
          <w:iCs/>
          <w:color w:val="000000"/>
          <w:sz w:val="22"/>
          <w:szCs w:val="22"/>
        </w:rPr>
        <w:t xml:space="preserve">Pissodes strobi </w:t>
      </w:r>
      <w:r>
        <w:rPr>
          <w:rFonts w:ascii="Calibri" w:hAnsi="Calibri" w:eastAsia="Calibri" w:cs="Calibri"/>
          <w:color w:val="000000"/>
          <w:sz w:val="22"/>
          <w:szCs w:val="22"/>
        </w:rPr>
        <w:t xml:space="preserve">(Coleoptera: Curculionidae). </w:t>
      </w:r>
      <w:r>
        <w:rPr>
          <w:rFonts w:ascii="Calibri" w:hAnsi="Calibri" w:eastAsia="Calibri" w:cs="Calibri"/>
          <w:i/>
          <w:iCs/>
          <w:color w:val="000000"/>
          <w:sz w:val="22"/>
          <w:szCs w:val="22"/>
        </w:rPr>
        <w:t xml:space="preserve">The Canadian Entomologists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114</w:t>
      </w:r>
      <w:r>
        <w:rPr>
          <w:rFonts w:ascii="Calibri" w:hAnsi="Calibri" w:eastAsia="Calibri" w:cs="Calibri"/>
          <w:color w:val="000000"/>
          <w:sz w:val="22"/>
          <w:szCs w:val="22"/>
        </w:rPr>
        <w:t xml:space="preserve">, 381-383.</w:t>
      </w:r>
    </w:p>
    <w:p>
      <w:pPr>
        <w:widowControl w:val="on"/>
        <w:pBdr/>
        <w:spacing w:before="220" w:after="220" w:line="240" w:lineRule="auto"/>
        <w:ind w:left="0" w:right="0"/>
        <w:jc w:val="left"/>
      </w:pPr>
      <w:r>
        <w:rPr>
          <w:rFonts w:ascii="Calibri" w:hAnsi="Calibri" w:eastAsia="Calibri" w:cs="Calibri"/>
          <w:color w:val="000000"/>
          <w:sz w:val="22"/>
          <w:szCs w:val="22"/>
        </w:rPr>
        <w:t xml:space="preserve">Rieske LK &amp; Raffa KF (1993) Use of ethanol- and turpentine-baited flight traps to monitor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weevils (Coleoptera: Curculionidae) in Christmas tree plantations. </w:t>
      </w:r>
      <w:r>
        <w:rPr>
          <w:rFonts w:ascii="Calibri" w:hAnsi="Calibri" w:eastAsia="Calibri" w:cs="Calibri"/>
          <w:i/>
          <w:iCs/>
          <w:color w:val="000000"/>
          <w:sz w:val="22"/>
          <w:szCs w:val="22"/>
        </w:rPr>
        <w:t xml:space="preserve">Great Lakes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155-160.</w:t>
      </w:r>
    </w:p>
    <w:p>
      <w:pPr>
        <w:widowControl w:val="on"/>
        <w:pBdr/>
        <w:spacing w:before="220" w:after="220" w:line="240" w:lineRule="auto"/>
        <w:ind w:left="0" w:right="0"/>
        <w:jc w:val="left"/>
      </w:pPr>
      <w:r>
        <w:rPr>
          <w:rFonts w:ascii="Calibri" w:hAnsi="Calibri" w:eastAsia="Calibri" w:cs="Calibri"/>
          <w:color w:val="000000"/>
          <w:sz w:val="22"/>
          <w:szCs w:val="22"/>
        </w:rPr>
        <w:t xml:space="preserve">Roberts DR (1994) Somatic embryogenesis for mass propagation of weevil resistant spruce. In </w:t>
      </w:r>
      <w:r>
        <w:rPr>
          <w:rFonts w:ascii="Calibri" w:hAnsi="Calibri" w:eastAsia="Calibri" w:cs="Calibri"/>
          <w:i/>
          <w:iCs/>
          <w:color w:val="000000"/>
          <w:sz w:val="22"/>
          <w:szCs w:val="22"/>
        </w:rPr>
        <w:t xml:space="preserve">The white pine weevil: biology, damage and management</w:t>
      </w:r>
      <w:r>
        <w:rPr>
          <w:rFonts w:ascii="Calibri" w:hAnsi="Calibri" w:eastAsia="Calibri" w:cs="Calibri"/>
          <w:color w:val="000000"/>
          <w:sz w:val="22"/>
          <w:szCs w:val="22"/>
        </w:rPr>
        <w:t xml:space="preserve"> (eds Alfaro RI, Kiss G &amp; Fraser RG), p. 169-173. Canadian Forest Service, Pacific Forestry Centre &amp; British Columbia Ministry of Forests, Forest Resource Development Agreement Report No. 226.</w:t>
      </w:r>
    </w:p>
    <w:p>
      <w:pPr>
        <w:widowControl w:val="on"/>
        <w:pBdr/>
        <w:spacing w:before="220" w:after="220" w:line="240" w:lineRule="auto"/>
        <w:ind w:left="0" w:right="0"/>
        <w:jc w:val="left"/>
      </w:pPr>
      <w:r>
        <w:rPr>
          <w:rFonts w:ascii="Calibri" w:hAnsi="Calibri" w:eastAsia="Calibri" w:cs="Calibri"/>
          <w:color w:val="000000"/>
          <w:sz w:val="22"/>
          <w:szCs w:val="22"/>
        </w:rPr>
        <w:t xml:space="preserve">Sahota TS, Manville JF &amp; White E (1994) Interactions between Sitka spruce weevil and its host, </w:t>
      </w:r>
      <w:r>
        <w:rPr>
          <w:rFonts w:ascii="Calibri" w:hAnsi="Calibri" w:eastAsia="Calibri" w:cs="Calibri"/>
          <w:i/>
          <w:iCs/>
          <w:color w:val="000000"/>
          <w:sz w:val="22"/>
          <w:szCs w:val="22"/>
        </w:rPr>
        <w:t xml:space="preserve">Picea sitchensis </w:t>
      </w:r>
      <w:r>
        <w:rPr>
          <w:rFonts w:ascii="Calibri" w:hAnsi="Calibri" w:eastAsia="Calibri" w:cs="Calibri"/>
          <w:color w:val="000000"/>
          <w:sz w:val="22"/>
          <w:szCs w:val="22"/>
        </w:rPr>
        <w:t xml:space="preserve">(Bong.) Carr.: a new mechanism for resistance.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126</w:t>
      </w:r>
      <w:r>
        <w:rPr>
          <w:rFonts w:ascii="Calibri" w:hAnsi="Calibri" w:eastAsia="Calibri" w:cs="Calibri"/>
          <w:color w:val="000000"/>
          <w:sz w:val="22"/>
          <w:szCs w:val="22"/>
        </w:rPr>
        <w:t xml:space="preserve">, 1067-1074.</w:t>
      </w:r>
    </w:p>
    <w:p>
      <w:pPr>
        <w:widowControl w:val="on"/>
        <w:pBdr/>
        <w:spacing w:before="220" w:after="220" w:line="240" w:lineRule="auto"/>
        <w:ind w:left="0" w:right="0"/>
        <w:jc w:val="left"/>
      </w:pPr>
      <w:r>
        <w:rPr>
          <w:rFonts w:ascii="Calibri" w:hAnsi="Calibri" w:eastAsia="Calibri" w:cs="Calibri"/>
          <w:color w:val="000000"/>
          <w:sz w:val="22"/>
          <w:szCs w:val="22"/>
        </w:rPr>
        <w:t xml:space="preserve">Santamour FS Jr &amp; Zinkel DF (1977) Resin acids, resin crystallization, and weevilling in Balkan X eastern white pine hybrids. </w:t>
      </w:r>
      <w:r>
        <w:rPr>
          <w:rFonts w:ascii="Calibri" w:hAnsi="Calibri" w:eastAsia="Calibri" w:cs="Calibri"/>
          <w:i/>
          <w:iCs/>
          <w:color w:val="000000"/>
          <w:sz w:val="22"/>
          <w:szCs w:val="22"/>
        </w:rPr>
        <w:t xml:space="preserve">Proceedings of the 25</w:t>
      </w:r>
      <w:r>
        <w:rPr>
          <w:rFonts w:ascii="Calibri" w:hAnsi="Calibri" w:eastAsia="Calibri" w:cs="Calibri"/>
          <w:i/>
          <w:iCs/>
          <w:color w:val="000000"/>
          <w:position w:val="4"/>
          <w:sz w:val="22"/>
          <w:szCs w:val="22"/>
          <w:vertAlign w:val="superscript"/>
        </w:rPr>
        <w:t xml:space="preserve">th</w:t>
      </w:r>
      <w:r>
        <w:rPr>
          <w:rFonts w:ascii="Calibri" w:hAnsi="Calibri" w:eastAsia="Calibri" w:cs="Calibri"/>
          <w:i/>
          <w:iCs/>
          <w:color w:val="000000"/>
          <w:sz w:val="22"/>
          <w:szCs w:val="22"/>
        </w:rPr>
        <w:t xml:space="preserve"> Northeastern Forest Tree Improvement Conference</w:t>
      </w:r>
      <w:r>
        <w:rPr>
          <w:rFonts w:ascii="Calibri" w:hAnsi="Calibri" w:eastAsia="Calibri" w:cs="Calibri"/>
          <w:color w:val="000000"/>
          <w:sz w:val="22"/>
          <w:szCs w:val="22"/>
        </w:rPr>
        <w:t xml:space="preserve">, pp. 165-175. United States Department of Agriculture, Forest Service, Northeastern Forest Experiment Station, Darby, PA.</w:t>
      </w:r>
    </w:p>
    <w:p>
      <w:pPr>
        <w:widowControl w:val="on"/>
        <w:pBdr/>
        <w:spacing w:before="220" w:after="220" w:line="240" w:lineRule="auto"/>
        <w:ind w:left="0" w:right="0"/>
        <w:jc w:val="left"/>
      </w:pPr>
      <w:r>
        <w:rPr>
          <w:rFonts w:ascii="Calibri" w:hAnsi="Calibri" w:eastAsia="Calibri" w:cs="Calibri"/>
          <w:color w:val="000000"/>
          <w:sz w:val="22"/>
          <w:szCs w:val="22"/>
        </w:rPr>
        <w:t xml:space="preserve">Smith SG &amp; Sugden BA (1969) Host trees and breeding sites of native North American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bark weevils, with a note on synonymy.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146-148.</w:t>
      </w:r>
    </w:p>
    <w:p>
      <w:pPr>
        <w:widowControl w:val="on"/>
        <w:pBdr/>
        <w:spacing w:before="220" w:after="220" w:line="240" w:lineRule="auto"/>
        <w:ind w:left="0" w:right="0"/>
        <w:jc w:val="left"/>
      </w:pPr>
      <w:r>
        <w:rPr>
          <w:rFonts w:ascii="Calibri" w:hAnsi="Calibri" w:eastAsia="Calibri" w:cs="Calibri"/>
          <w:color w:val="000000"/>
          <w:sz w:val="22"/>
          <w:szCs w:val="22"/>
        </w:rPr>
        <w:t xml:space="preserve">Taylor SP, Alfaro RI, Delong C &amp; Rankin L (1996) The effects of overstory shading on white pine weevil damage to white spruces and its effects on spruce growth rates.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306-312.</w:t>
      </w:r>
    </w:p>
    <w:p>
      <w:pPr>
        <w:widowControl w:val="on"/>
        <w:pBdr/>
        <w:spacing w:before="220" w:after="220" w:line="240" w:lineRule="auto"/>
        <w:ind w:left="0" w:right="0"/>
        <w:jc w:val="left"/>
      </w:pPr>
      <w:r>
        <w:rPr>
          <w:rFonts w:ascii="Calibri" w:hAnsi="Calibri" w:eastAsia="Calibri" w:cs="Calibri"/>
          <w:color w:val="000000"/>
          <w:sz w:val="22"/>
          <w:szCs w:val="22"/>
        </w:rPr>
        <w:t xml:space="preserve">Timonin M &amp; Morris ON (1974) Pathogenicity of some entomogenous fungi, their compatibility and integrated activity with chemical insecticides against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(Peck). </w:t>
      </w:r>
      <w:r>
        <w:rPr>
          <w:rFonts w:ascii="Calibri" w:hAnsi="Calibri" w:eastAsia="Calibri" w:cs="Calibri"/>
          <w:i/>
          <w:iCs/>
          <w:color w:val="000000"/>
          <w:sz w:val="22"/>
          <w:szCs w:val="22"/>
        </w:rPr>
        <w:t xml:space="preserve">Information Report</w:t>
      </w:r>
      <w:r>
        <w:rPr>
          <w:rFonts w:ascii="Calibri" w:hAnsi="Calibri" w:eastAsia="Calibri" w:cs="Calibri"/>
          <w:color w:val="000000"/>
          <w:sz w:val="22"/>
          <w:szCs w:val="22"/>
        </w:rPr>
        <w:t xml:space="preserve"> CC-X-69. Canadian Forest Service, Chemical Control Research Institute, Ottawa, ON, 22 pp.</w:t>
      </w:r>
    </w:p>
    <w:p>
      <w:pPr>
        <w:widowControl w:val="on"/>
        <w:pBdr/>
        <w:spacing w:before="220" w:after="220" w:line="240" w:lineRule="auto"/>
        <w:ind w:left="0" w:right="0"/>
        <w:jc w:val="left"/>
      </w:pPr>
      <w:r>
        <w:rPr>
          <w:rFonts w:ascii="Calibri" w:hAnsi="Calibri" w:eastAsia="Calibri" w:cs="Calibri"/>
          <w:color w:val="000000"/>
          <w:sz w:val="22"/>
          <w:szCs w:val="22"/>
        </w:rPr>
        <w:t xml:space="preserve">Tomlin ES &amp; Borden JH (1997) Thin bark and high density of outer resin ducts: interrelated resistance traits in Sitka spruce against the white pine weevil (Coleoptera: Curculionidae).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235-239.</w:t>
      </w:r>
    </w:p>
    <w:p>
      <w:pPr>
        <w:widowControl w:val="on"/>
        <w:pBdr/>
        <w:spacing w:before="220" w:after="220" w:line="240" w:lineRule="auto"/>
        <w:ind w:left="0" w:right="0"/>
        <w:jc w:val="left"/>
      </w:pPr>
      <w:r>
        <w:rPr>
          <w:rFonts w:ascii="Calibri" w:hAnsi="Calibri" w:eastAsia="Calibri" w:cs="Calibri"/>
          <w:color w:val="000000"/>
          <w:sz w:val="22"/>
          <w:szCs w:val="22"/>
        </w:rPr>
        <w:t xml:space="preserve">Trudel R, Lavallée R &amp; Bauce E (2001) Oviposition biology of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(Coleoptera: Curculionidae) on white pine (Pinaceae) under laboratory conditions.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133</w:t>
      </w:r>
      <w:r>
        <w:rPr>
          <w:rFonts w:ascii="Calibri" w:hAnsi="Calibri" w:eastAsia="Calibri" w:cs="Calibri"/>
          <w:color w:val="000000"/>
          <w:sz w:val="22"/>
          <w:szCs w:val="22"/>
        </w:rPr>
        <w:t xml:space="preserve">, 333-341.</w:t>
      </w:r>
    </w:p>
    <w:p>
      <w:pPr>
        <w:widowControl w:val="on"/>
        <w:pBdr/>
        <w:spacing w:before="220" w:after="220" w:line="240" w:lineRule="auto"/>
        <w:ind w:left="0" w:right="0"/>
        <w:jc w:val="left"/>
      </w:pPr>
      <w:r>
        <w:rPr>
          <w:rFonts w:ascii="Calibri" w:hAnsi="Calibri" w:eastAsia="Calibri" w:cs="Calibri"/>
          <w:color w:val="000000"/>
          <w:sz w:val="22"/>
          <w:szCs w:val="22"/>
        </w:rPr>
        <w:t xml:space="preserve">Trudel R, Lavallée R, Guertin C, Côté C, Todorova SI, Algaro R &amp; Kope H (2007) Potential of </w:t>
      </w:r>
      <w:r>
        <w:rPr>
          <w:rFonts w:ascii="Calibri" w:hAnsi="Calibri" w:eastAsia="Calibri" w:cs="Calibri"/>
          <w:i/>
          <w:iCs/>
          <w:color w:val="000000"/>
          <w:sz w:val="22"/>
          <w:szCs w:val="22"/>
        </w:rPr>
        <w:t xml:space="preserve">Beauveria bassiana</w:t>
      </w:r>
      <w:r>
        <w:rPr>
          <w:rFonts w:ascii="Calibri" w:hAnsi="Calibri" w:eastAsia="Calibri" w:cs="Calibri"/>
          <w:color w:val="000000"/>
          <w:sz w:val="22"/>
          <w:szCs w:val="22"/>
        </w:rPr>
        <w:t xml:space="preserve"> (Hyphomycetes: Moniliales) for controlling the white pine weevil,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(Col., Curculionidae).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 90-97. </w:t>
      </w:r>
      <w:hyperlink r:id="rId630567e88de5371f8" w:history="1">
        <w:r>
          <w:rPr>
            <w:rFonts w:ascii="Calibri" w:hAnsi="Calibri" w:eastAsia="Calibri" w:cs="Calibri"/>
            <w:color w:val="0000CC"/>
            <w:sz w:val="22"/>
            <w:szCs w:val="22"/>
            <w:u w:val="single"/>
          </w:rPr>
          <w:t xml:space="preserve">https://doi.org/10.1111/j.1439-0418.2006.01127.x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Vacek S, Vacek Z, Cukor J, Podrázský V &amp; Gallo J (2022)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Douglas ex Loudon and climate change: A literature review of opportunities, challenges, and risks in European forests. </w:t>
      </w:r>
      <w:r>
        <w:rPr>
          <w:rFonts w:ascii="Calibri" w:hAnsi="Calibri" w:eastAsia="Calibri" w:cs="Calibri"/>
          <w:i/>
          <w:iCs/>
          <w:color w:val="000000"/>
          <w:sz w:val="22"/>
          <w:szCs w:val="22"/>
        </w:rPr>
        <w:t xml:space="preserve">Journal of Forest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329-343.</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(2002a). Description of the mature larvae of the four species of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complex (Coleoptera: Curculionidae).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134</w:t>
      </w:r>
      <w:r>
        <w:rPr>
          <w:rFonts w:ascii="Calibri" w:hAnsi="Calibri" w:eastAsia="Calibri" w:cs="Calibri"/>
          <w:color w:val="000000"/>
          <w:sz w:val="22"/>
          <w:szCs w:val="22"/>
        </w:rPr>
        <w:t xml:space="preserve">, 9-45.</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(2002b) Morphometric study of the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complex (Coleoptera: Curculionidae).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134</w:t>
      </w:r>
      <w:r>
        <w:rPr>
          <w:rFonts w:ascii="Calibri" w:hAnsi="Calibri" w:eastAsia="Calibri" w:cs="Calibri"/>
          <w:color w:val="000000"/>
          <w:sz w:val="22"/>
          <w:szCs w:val="22"/>
        </w:rPr>
        <w:t xml:space="preserve">, 447-466.</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DJM &amp; Langor DW (2011) Description of mature larvae of </w:t>
      </w:r>
      <w:r>
        <w:rPr>
          <w:rFonts w:ascii="Calibri" w:hAnsi="Calibri" w:eastAsia="Calibri" w:cs="Calibri"/>
          <w:i/>
          <w:iCs/>
          <w:color w:val="000000"/>
          <w:sz w:val="22"/>
          <w:szCs w:val="22"/>
        </w:rPr>
        <w:t xml:space="preserve">Pissodes yunnanensis</w:t>
      </w:r>
      <w:r>
        <w:rPr>
          <w:rFonts w:ascii="Calibri" w:hAnsi="Calibri" w:eastAsia="Calibri" w:cs="Calibri"/>
          <w:color w:val="000000"/>
          <w:sz w:val="22"/>
          <w:szCs w:val="22"/>
        </w:rPr>
        <w:t xml:space="preserve"> Langor and Zhang and </w:t>
      </w:r>
      <w:r>
        <w:rPr>
          <w:rFonts w:ascii="Calibri" w:hAnsi="Calibri" w:eastAsia="Calibri" w:cs="Calibri"/>
          <w:i/>
          <w:iCs/>
          <w:color w:val="000000"/>
          <w:sz w:val="22"/>
          <w:szCs w:val="22"/>
        </w:rPr>
        <w:t xml:space="preserve">Pissodes punctatus</w:t>
      </w:r>
      <w:r>
        <w:rPr>
          <w:rFonts w:ascii="Calibri" w:hAnsi="Calibri" w:eastAsia="Calibri" w:cs="Calibri"/>
          <w:color w:val="000000"/>
          <w:sz w:val="22"/>
          <w:szCs w:val="22"/>
        </w:rPr>
        <w:t xml:space="preserve"> Langor and Zhang (Coleoptera: Curculionidae) from China. </w:t>
      </w:r>
      <w:r>
        <w:rPr>
          <w:rFonts w:ascii="Calibri" w:hAnsi="Calibri" w:eastAsia="Calibri" w:cs="Calibri"/>
          <w:i/>
          <w:iCs/>
          <w:color w:val="000000"/>
          <w:sz w:val="22"/>
          <w:szCs w:val="22"/>
        </w:rPr>
        <w:t xml:space="preserve">The Coleopterists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157-166.</w:t>
      </w:r>
    </w:p>
    <w:p>
      <w:pPr>
        <w:widowControl w:val="on"/>
        <w:pBdr/>
        <w:spacing w:before="220" w:after="220" w:line="240" w:lineRule="auto"/>
        <w:ind w:left="0" w:right="0"/>
        <w:jc w:val="left"/>
      </w:pPr>
      <w:r>
        <w:rPr>
          <w:rFonts w:ascii="Calibri" w:hAnsi="Calibri" w:eastAsia="Calibri" w:cs="Calibri"/>
          <w:color w:val="000000"/>
          <w:sz w:val="22"/>
          <w:szCs w:val="22"/>
        </w:rPr>
        <w:t xml:space="preserve">Wright KH &amp; Baisinger DH (1955) The silvicultural importance of the Sitka spruce weevil in coastal Oregon and Washington. </w:t>
      </w:r>
      <w:r>
        <w:rPr>
          <w:rFonts w:ascii="Calibri" w:hAnsi="Calibri" w:eastAsia="Calibri" w:cs="Calibri"/>
          <w:i/>
          <w:iCs/>
          <w:color w:val="000000"/>
          <w:sz w:val="22"/>
          <w:szCs w:val="22"/>
        </w:rPr>
        <w:t xml:space="preserve">Proceedings of the National Meeting of the American Society of Foresters, 1955.</w:t>
      </w:r>
      <w:r>
        <w:rPr>
          <w:rFonts w:ascii="Calibri" w:hAnsi="Calibri" w:eastAsia="Calibri" w:cs="Calibri"/>
          <w:color w:val="000000"/>
          <w:sz w:val="22"/>
          <w:szCs w:val="22"/>
        </w:rPr>
        <w:t xml:space="preserve"> pp. 64-67, Society of American Foresters, Washington, DC.</w:t>
      </w:r>
    </w:p>
    <w:p>
      <w:pPr>
        <w:widowControl w:val="on"/>
        <w:pBdr/>
        <w:spacing w:before="220" w:after="220" w:line="240" w:lineRule="auto"/>
        <w:ind w:left="0" w:right="0"/>
        <w:jc w:val="left"/>
      </w:pPr>
      <w:r>
        <w:rPr>
          <w:rFonts w:ascii="Calibri" w:hAnsi="Calibri" w:eastAsia="Calibri" w:cs="Calibri"/>
          <w:color w:val="000000"/>
          <w:sz w:val="22"/>
          <w:szCs w:val="22"/>
        </w:rPr>
        <w:t xml:space="preserve">Zhang H, Langor DW, Ye H, Li Z &amp; Laffin ED (2007) Population structure of </w:t>
      </w:r>
      <w:r>
        <w:rPr>
          <w:rFonts w:ascii="Calibri" w:hAnsi="Calibri" w:eastAsia="Calibri" w:cs="Calibri"/>
          <w:i/>
          <w:iCs/>
          <w:color w:val="000000"/>
          <w:sz w:val="22"/>
          <w:szCs w:val="22"/>
        </w:rPr>
        <w:t xml:space="preserve">Pissodes yunnanensis</w:t>
      </w:r>
      <w:r>
        <w:rPr>
          <w:rFonts w:ascii="Calibri" w:hAnsi="Calibri" w:eastAsia="Calibri" w:cs="Calibri"/>
          <w:color w:val="000000"/>
          <w:sz w:val="22"/>
          <w:szCs w:val="22"/>
        </w:rPr>
        <w:t xml:space="preserve"> (Coleoptera: Curculionidae) in southwestern China. </w:t>
      </w:r>
      <w:r>
        <w:rPr>
          <w:rFonts w:ascii="Calibri" w:hAnsi="Calibri" w:eastAsia="Calibri" w:cs="Calibri"/>
          <w:i/>
          <w:iCs/>
          <w:color w:val="000000"/>
          <w:sz w:val="22"/>
          <w:szCs w:val="22"/>
        </w:rPr>
        <w:t xml:space="preserve">The 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139</w:t>
      </w:r>
      <w:r>
        <w:rPr>
          <w:rFonts w:ascii="Calibri" w:hAnsi="Calibri" w:eastAsia="Calibri" w:cs="Calibri"/>
          <w:color w:val="000000"/>
          <w:sz w:val="22"/>
          <w:szCs w:val="22"/>
        </w:rPr>
        <w:t xml:space="preserve">, 308-318.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2023 by David Langor (Natural Resources Canada, Canadian Forest Service.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Pissodes strobi</w:t>
      </w:r>
      <w:r>
        <w:rPr>
          <w:rFonts w:ascii="Calibri" w:hAnsi="Calibri" w:eastAsia="Calibri" w:cs="Calibri"/>
          <w:color w:val="000000"/>
          <w:sz w:val="22"/>
          <w:szCs w:val="22"/>
        </w:rPr>
        <w:t xml:space="preserve">. EPPO datasheets on pests recommended for regulation. Available online. </w:t>
      </w:r>
      <w:hyperlink r:id="rId765367e88de537591"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1980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(1980) Data sheets on quarantine organisms No. 44,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spp. (non-European).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79-86. </w:t>
      </w:r>
      <w:hyperlink r:id="rId331467e88de537703" w:history="1">
        <w:r>
          <w:rPr>
            <w:rFonts w:ascii="Calibri" w:hAnsi="Calibri" w:eastAsia="Calibri" w:cs="Calibri"/>
            <w:color w:val="0000CC"/>
            <w:sz w:val="22"/>
            <w:szCs w:val="22"/>
            <w:u w:val="single"/>
          </w:rPr>
          <w:t xml:space="preserve">https://doi.org/10.1111/j.1365-2338.1980.tb02698.x</w:t>
        </w:r>
      </w:hyperlink>
    </w:p>
    <w:p>
      <w:r>
        <w:drawing>
          <wp:inline distT="0" distB="0" distL="0" distR="0">
            <wp:extent cx="1800000" cy="604800"/>
            <wp:docPr id="71133664" name="name118867e88de537761"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94867e88de537760"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5563436">
    <w:multiLevelType w:val="hybridMultilevel"/>
    <w:lvl w:ilvl="0" w:tplc="33273783">
      <w:start w:val="1"/>
      <w:numFmt w:val="decimal"/>
      <w:lvlText w:val="%1."/>
      <w:lvlJc w:val="left"/>
      <w:pPr>
        <w:ind w:left="720" w:hanging="360"/>
      </w:pPr>
    </w:lvl>
    <w:lvl w:ilvl="1" w:tplc="33273783" w:tentative="1">
      <w:start w:val="1"/>
      <w:numFmt w:val="lowerLetter"/>
      <w:lvlText w:val="%2."/>
      <w:lvlJc w:val="left"/>
      <w:pPr>
        <w:ind w:left="1440" w:hanging="360"/>
      </w:pPr>
    </w:lvl>
    <w:lvl w:ilvl="2" w:tplc="33273783" w:tentative="1">
      <w:start w:val="1"/>
      <w:numFmt w:val="lowerRoman"/>
      <w:lvlText w:val="%3."/>
      <w:lvlJc w:val="right"/>
      <w:pPr>
        <w:ind w:left="2160" w:hanging="180"/>
      </w:pPr>
    </w:lvl>
    <w:lvl w:ilvl="3" w:tplc="33273783" w:tentative="1">
      <w:start w:val="1"/>
      <w:numFmt w:val="decimal"/>
      <w:lvlText w:val="%4."/>
      <w:lvlJc w:val="left"/>
      <w:pPr>
        <w:ind w:left="2880" w:hanging="360"/>
      </w:pPr>
    </w:lvl>
    <w:lvl w:ilvl="4" w:tplc="33273783" w:tentative="1">
      <w:start w:val="1"/>
      <w:numFmt w:val="lowerLetter"/>
      <w:lvlText w:val="%5."/>
      <w:lvlJc w:val="left"/>
      <w:pPr>
        <w:ind w:left="3600" w:hanging="360"/>
      </w:pPr>
    </w:lvl>
    <w:lvl w:ilvl="5" w:tplc="33273783" w:tentative="1">
      <w:start w:val="1"/>
      <w:numFmt w:val="lowerRoman"/>
      <w:lvlText w:val="%6."/>
      <w:lvlJc w:val="right"/>
      <w:pPr>
        <w:ind w:left="4320" w:hanging="180"/>
      </w:pPr>
    </w:lvl>
    <w:lvl w:ilvl="6" w:tplc="33273783" w:tentative="1">
      <w:start w:val="1"/>
      <w:numFmt w:val="decimal"/>
      <w:lvlText w:val="%7."/>
      <w:lvlJc w:val="left"/>
      <w:pPr>
        <w:ind w:left="5040" w:hanging="360"/>
      </w:pPr>
    </w:lvl>
    <w:lvl w:ilvl="7" w:tplc="33273783" w:tentative="1">
      <w:start w:val="1"/>
      <w:numFmt w:val="lowerLetter"/>
      <w:lvlText w:val="%8."/>
      <w:lvlJc w:val="left"/>
      <w:pPr>
        <w:ind w:left="5760" w:hanging="360"/>
      </w:pPr>
    </w:lvl>
    <w:lvl w:ilvl="8" w:tplc="33273783" w:tentative="1">
      <w:start w:val="1"/>
      <w:numFmt w:val="lowerRoman"/>
      <w:lvlText w:val="%9."/>
      <w:lvlJc w:val="right"/>
      <w:pPr>
        <w:ind w:left="6480" w:hanging="180"/>
      </w:pPr>
    </w:lvl>
  </w:abstractNum>
  <w:abstractNum w:abstractNumId="55563435">
    <w:multiLevelType w:val="hybridMultilevel"/>
    <w:lvl w:ilvl="0" w:tplc="5048923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5563435">
    <w:abstractNumId w:val="55563435"/>
  </w:num>
  <w:num w:numId="55563436">
    <w:abstractNumId w:val="5556343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01118242" Type="http://schemas.microsoft.com/office/2011/relationships/commentsExtended" Target="commentsExtended.xml"/><Relationship Id="rId207002033" Type="http://schemas.microsoft.com/office/2011/relationships/people" Target="people.xml"/><Relationship Id="rId141767e88de53292a" Type="http://schemas.openxmlformats.org/officeDocument/2006/relationships/hyperlink" Target="https://gd.eppo.int/taxon/PISOST/" TargetMode="External"/><Relationship Id="rId304367e88de532998" Type="http://schemas.openxmlformats.org/officeDocument/2006/relationships/hyperlink" Target="https://gd.eppo.int/taxon/PISOST/categorization" TargetMode="External"/><Relationship Id="rId864467e88de532be3" Type="http://schemas.openxmlformats.org/officeDocument/2006/relationships/hyperlink" Target="https://gd.eppo.int/taxon/PISOST/photos" TargetMode="External"/><Relationship Id="rId479067e88de53608f" Type="http://schemas.openxmlformats.org/officeDocument/2006/relationships/hyperlink" Target="https://eur-lex.europa.eu/legal-content/EN/TXT/?uri=CELEX%3A32019R2072" TargetMode="External"/><Relationship Id="rId630567e88de5371f8" Type="http://schemas.openxmlformats.org/officeDocument/2006/relationships/hyperlink" Target="https://doi.org/10.1111/j.1439-0418.2006.01127.x" TargetMode="External"/><Relationship Id="rId765367e88de537591" Type="http://schemas.openxmlformats.org/officeDocument/2006/relationships/hyperlink" Target="https://gd.eppo.int" TargetMode="External"/><Relationship Id="rId331467e88de537703" Type="http://schemas.openxmlformats.org/officeDocument/2006/relationships/hyperlink" Target="https://doi.org/10.1111/j.1365-2338.1980.tb02698.x" TargetMode="External"/><Relationship Id="rId556067e88de532a8b" Type="http://schemas.openxmlformats.org/officeDocument/2006/relationships/image" Target="media/imgrId556067e88de532a8b.jpg"/><Relationship Id="rId446067e88de53435a" Type="http://schemas.openxmlformats.org/officeDocument/2006/relationships/image" Target="media/imgrId446067e88de53435a.jpg"/><Relationship Id="rId494867e88de537760" Type="http://schemas.openxmlformats.org/officeDocument/2006/relationships/image" Target="media/imgrId494867e88de537760.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