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punctatus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punctatus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Armand pine bark weevil</w:t>
            </w:r>
            <w:hyperlink r:id="rId4131691d099007a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185691d099007a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PISOPU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 </w:t>
      </w:r>
      <w:r>
        <w:rPr>
          <w:rFonts w:ascii="Calibri" w:hAnsi="Calibri" w:eastAsia="Calibri" w:cs="Calibri"/>
          <w:color w:val="000000"/>
          <w:sz w:val="22"/>
          <w:szCs w:val="22"/>
        </w:rPr>
        <w:t xml:space="preserve">(Armand’s pine) is the most common tree species attacked by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in the forests of South-west China, although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is also sometimes successfully attacked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Chai and Liang (1990) report that adults will feed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when they cannot find Armand’s pine, but that they did not mate and lay eggs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laboratory studies in which adult Armand pine bark weevils were caged on cut twigs of 21 species of Pinaceae, including species native to China and introduced alien species, 18 species in three genera were fed upon by the weevils, including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those, weevils laid eggs on 12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left"/>
      </w:pPr>
      <w:r>
        <w:rPr>
          <w:rFonts w:ascii="Calibri" w:hAnsi="Calibri" w:eastAsia="Calibri" w:cs="Calibri"/>
          <w:b/>
          <w:bCs/>
          <w:color w:val="000000"/>
          <w:sz w:val="22"/>
          <w:szCs w:val="22"/>
          <w:u w:val="single"/>
        </w:rPr>
        <w:t xml:space="preserve">Additional note on host plants</w:t>
      </w:r>
      <w:r>
        <w:rPr>
          <w:rFonts w:ascii="Calibri" w:hAnsi="Calibri" w:eastAsia="Calibri" w:cs="Calibri"/>
          <w:b/>
          <w:bCs/>
          <w:color w:val="000000"/>
          <w:sz w:val="22"/>
          <w:szCs w:val="22"/>
        </w:rPr>
        <w:br/>
        <w:t xml:space="preserve">Species colonized in nature (in Yunnan Province):</w:t>
      </w:r>
      <w:r>
        <w:rPr>
          <w:rFonts w:ascii="Calibri" w:hAnsi="Calibri" w:eastAsia="Calibri" w:cs="Calibri"/>
          <w:color w:val="000000"/>
          <w:sz w:val="21"/>
          <w:szCs w:val="21"/>
        </w:rPr>
        <w:t xml:space="preserve"> </w:t>
      </w:r>
      <w:r>
        <w:rPr>
          <w:rFonts w:ascii="Calibri" w:hAnsi="Calibri" w:eastAsia="Calibri" w:cs="Calibri"/>
          <w:i/>
          <w:iCs/>
          <w:color w:val="000000"/>
          <w:sz w:val="22"/>
          <w:szCs w:val="22"/>
        </w:rPr>
        <w:t xml:space="preserve">Pinus armandii, Pinus yunnanensis</w:t>
      </w:r>
      <w:r>
        <w:rPr>
          <w:rFonts w:ascii="Calibri" w:hAnsi="Calibri" w:eastAsia="Calibri" w:cs="Calibri"/>
          <w:b/>
          <w:bCs/>
          <w:color w:val="000000"/>
          <w:sz w:val="22"/>
          <w:szCs w:val="22"/>
        </w:rPr>
        <w:br/>
        <w:t xml:space="preserve">Species fed upon when presented with cut twigs (*denotes species on which eggs were laid):</w:t>
      </w:r>
      <w:r>
        <w:rPr>
          <w:rFonts w:ascii="Calibri" w:hAnsi="Calibri" w:eastAsia="Calibri" w:cs="Calibri"/>
          <w:color w:val="000000"/>
          <w:sz w:val="21"/>
          <w:szCs w:val="21"/>
        </w:rPr>
        <w:t xml:space="preserve"> </w:t>
      </w:r>
      <w:r>
        <w:rPr>
          <w:rFonts w:ascii="Calibri" w:hAnsi="Calibri" w:eastAsia="Calibri" w:cs="Calibri"/>
          <w:color w:val="000000"/>
          <w:sz w:val="22"/>
          <w:szCs w:val="22"/>
          <w:u w:val="single"/>
        </w:rPr>
        <w:br/>
        <w:t xml:space="preserve">Native to Southwest China</w:t>
      </w:r>
      <w:r>
        <w:rPr>
          <w:rFonts w:ascii="Calibri" w:hAnsi="Calibri" w:eastAsia="Calibri" w:cs="Calibri"/>
          <w:color w:val="000000"/>
          <w:sz w:val="22"/>
          <w:szCs w:val="22"/>
          <w:u w:val="single"/>
        </w:rPr>
        <w:t xml:space="preserve">:</w:t>
      </w:r>
      <w:r>
        <w:rPr>
          <w:rFonts w:ascii="Calibri" w:hAnsi="Calibri" w:eastAsia="Calibri" w:cs="Calibri"/>
          <w:i/>
          <w:iCs/>
          <w:color w:val="000000"/>
          <w:sz w:val="22"/>
          <w:szCs w:val="22"/>
        </w:rPr>
        <w:t xml:space="preserve"> Pinus massoniana*, Pinus wallichiana* </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Pinus griffithii</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 Pinus densata, Pinus kesiya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langbianensis</w:t>
      </w:r>
      <w:r>
        <w:rPr>
          <w:rFonts w:ascii="Calibri" w:hAnsi="Calibri" w:eastAsia="Calibri" w:cs="Calibri"/>
          <w:color w:val="000000"/>
          <w:sz w:val="22"/>
          <w:szCs w:val="22"/>
          <w:u w:val="single"/>
        </w:rPr>
        <w:br/>
        <w:t xml:space="preserve">Asian species, including other regions of China: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sylvestris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mongolica, Pinus tabuliformis, Pseudolarix amabilis*</w:t>
      </w:r>
      <w:r>
        <w:rPr>
          <w:rFonts w:ascii="Calibri" w:hAnsi="Calibri" w:eastAsia="Calibri" w:cs="Calibri"/>
          <w:color w:val="000000"/>
          <w:sz w:val="22"/>
          <w:szCs w:val="22"/>
          <w:u w:val="single"/>
        </w:rPr>
        <w:br/>
        <w:t xml:space="preserve">European or Mediterranean species: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pinaster*, Pinus halepensis*</w:t>
      </w:r>
      <w:r>
        <w:rPr>
          <w:rFonts w:ascii="Calibri" w:hAnsi="Calibri" w:eastAsia="Calibri" w:cs="Calibri"/>
          <w:color w:val="000000"/>
          <w:sz w:val="22"/>
          <w:szCs w:val="22"/>
          <w:u w:val="single"/>
        </w:rPr>
        <w:br/>
        <w:t xml:space="preserve">Nearctic and Central American species:</w:t>
      </w:r>
      <w:r>
        <w:rPr>
          <w:rFonts w:ascii="Calibri" w:hAnsi="Calibri" w:eastAsia="Calibri" w:cs="Calibri"/>
          <w:i/>
          <w:iCs/>
          <w:color w:val="000000"/>
          <w:sz w:val="21"/>
          <w:szCs w:val="21"/>
        </w:rPr>
        <w:t xml:space="preserve"> Pinus strobus*, Pinus ayacahuite*, Pinus edulis*, Pinus pseudostrobus, Pinus patula, Pinus taeda*, Cedrus deodara*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is currently known only from Yunnan province in the People’s Republic of China where it occurs between 2000-2900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possible that its distribution is broader, including other provinces where its natural hosts are found, especially Sichuan.</w:t>
      </w:r>
    </w:p>
    <w:p>
      <w:r>
        <w:drawing>
          <wp:inline distT="0" distB="0" distL="0" distR="0">
            <wp:extent cx="6120000" cy="3067200"/>
            <wp:docPr id="532455" name="name9823691d099008fd7" descr="PISOP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PU_distribution_map.jpg"/>
                    <pic:cNvPicPr/>
                  </pic:nvPicPr>
                  <pic:blipFill>
                    <a:blip r:embed="rId9579691d099008fd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Chai and Liang (2009) provide information on the biology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 1-year life cycle is most common but this may vary with altitude, and generations may overlap in the same stand. In a typical one-year life cycle, adults begin emerging from their pupal chambers (chip cocoons) under the bark in late winter to early spring, and the emergence period of the species can span 6-9 months depending on the locality and its climate. Emerged adults are diurnal and positively phototactic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capable of flight. They can also disperse by walking. Adults prefer to feed and lay eggs on parts of the trunk that have smooth bark and on leaf sheaths. The species only attacks living and healthy trees. Adults actively avoid areas with rough bark and dead trees. Trees which are 15-30 years old are strongly preferred for feeding and egg laying as these trees are sufficiently large to permit development and the trunks have mostly smooth bark. Older trees have mainly rough bark with interspersed small patches of smooth bark that are difficult for adults to locate. As adults feed, mainly on the upper trunk, they become sexually mature and produce a pheromone that attracts both sexes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mating occurs on the trunk. Adults mate multiple times over their lifespan. Eggs are typically deposited from June to November in punctures chewed by female adults in the phloem of areas of the trunk with smooth bark, but mainly in the middle and lower portions of the tree trunk (1-3 m above ground level;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2000). The oviposition period can last up to nine months. Larvae start appearing by July and feed in the cambium and phloem of trunks, moving in a downward direction and creating meandering feeding tunnels that increase in diameter as the larvae grow. Sometimes larvae even reach the roots. Larvae overwinter in the trunk when it is too cold for development to continue (typically from November). Development continues the next year when temperatures are sufficiently warm (typically from mid-February to March). There are four larval instars (Situ Ying Xian, unpublished data). Pupation occurs from mid-April to early June. The mature larva excavates a chamber at the end of the feeding gallery in the outer xylem and lines it with elongated wood chips stripped from the sapwood, and this is where pupation occurs. These so-called chip cocoons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emerge by chewing a circular hole 4-5 mm in diameter through the bark. Adults can live for up to two years and overwinter in the decaying vegetation on the forest floor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species does not have a diapause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attack healthy trees, mainly those that are 15-30 years old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Larvae feed in the phloem and sapwood of trunks, moving down the trunk and creating meandering and widening feeding galleries that sometimes reach the roots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Feeding by adult weevils, usually starting in May, results in resin droplets that exude from puncture wounds on the trunk. The resin droplets can be seen from several metres away, and trees exhibiting resin flow should be closely inspected. Upon inspection of trees undergoing attack, punctures (0.5 mm wide and 1.0-2.5 mm deep) made by adults will be visible on portions of trunks that have smooth bark and on leaf sheaths. Puncture wounds and associated cambium discolouration are indicators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infestation. Infested trees begin dying in September and the foliage turns yellow in the fall, and orange or red by the next spring.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are or have been present, however chip cocoons may persist for many years after they are vacated. It would not be possible to distinguish old, abandoned chip cocoons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from those of other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that colonize pine trunks.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translucent and approximately 1.0-1.1 mm long and 0.7-0.8 mm wide (Chai and Liang,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Fourth-instar larvae are 6.1-10.7 mm long and 2.0-2.9 mm wide, milky-white, slightly curved, wrinkled and have light brown heads (Chai and Liang, 1990).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4.2-6.8 mm long and 1.4-2.8 mm wide (Chai and Liang, 1990). They are at first ivory-white, changing to dark brown as they mature.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The cuticle is mostly black and sparsely clothed with recumbent, whitish, scale-like setae. The whitish scales on the elytra form a diffuse, antedeclivital, transverse fascia (patch), but the elytra lack posthumeral fascia. Elytra have large, deep and elongate punctures. Females are 5.1-7.1 mm long and 2.0-2.7 mm wide at the elytra, and males are 5.0-7.0 mm long and 2.2-2.9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only live pines and are found mainly on trees which are 15-30 years old, although they occasionally attack younger and older trees. Trees with copious resin droplets on the trunk should be investigated for signs of weevil attack, particularly feeding and oviposition punctures on leaf sheaths and portions of the trunk with smooth bark and presence of adults on the bark. Removal of bark on the trunks of trees suspected of infestation will reveal larval galleries in the phloem and sapwood, chip cocoons, pupae, callow adults and/or round adult emergence holes in the bark. Pines with yellow to orange foliage should especially be inspected for signs of attack. There are several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infest the trunks of pines so care must be taken to collect larvae and adults. Specimens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Adults are very distinct; the black cuticle and the large and deep punctures on the elytra will distinguish this species from all nine species of native European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Larvae have not been described for all European species, so if live larvae are found in trees suspected to be infested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the most rapid and accurate diagnosis is via the use of DNA barcodes which are available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hyperlink r:id="rId3573691d099009735" w:history="1">
        <w:r>
          <w:rPr>
            <w:rFonts w:ascii="Calibri" w:hAnsi="Calibri" w:eastAsia="Calibri" w:cs="Calibri"/>
            <w:b/>
            <w:bCs/>
            <w:color w:val="0000CC"/>
            <w:sz w:val="22"/>
            <w:szCs w:val="22"/>
            <w:u w:val="single"/>
          </w:rPr>
          <w:t xml:space="preserve">GenBank</w:t>
        </w:r>
      </w:hyperlink>
      <w:hyperlink r:id="rId9407691d099009753" w:history="1"/>
      <w:r>
        <w:rPr>
          <w:rFonts w:ascii="Calibri" w:hAnsi="Calibri" w:eastAsia="Calibri" w:cs="Calibri"/>
          <w:color w:val="000000"/>
          <w:sz w:val="22"/>
          <w:szCs w:val="22"/>
        </w:rPr>
        <w:t xml:space="preserve">) and for most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(Haran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flying and can move at least 95 m in a single flight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species spreads quickly among Armand pine plantations in southern Yunnan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It is also possible that human transplant of infested Yunnan pine and Armand pine trees as well as transport of logs and foliage could help dispersal of this species within the region. As this species are known to attack pines which are up to 9 m tall and 20 cm diameter at breast height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long 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is an important timber and reforestation species in Southern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stands located in Huize County, Yunnan, about 90% of trees were badly damaged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 Damashan Forest Farm, Yunnan, mortality of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was 7.2% in 1995, increasing to 9.8% in 1996 and 17.3% in 1997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Surveys in the Huashan pine forest showed that the annual mortality rate was 7% in 1997, 10% in 1998, 15% in 1999, and 30% in 2000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trees that are attacked by these weevils but not killed, there is subsequent volume loss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efficient and economical control measures that can be deployed over a large geographic scale. Chai and Liang (2009) report on 11 pesticides that kill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three applied as powders and nine as liquids. All were effective but the best were Xiweiyin and Piyawu powders which killed &gt;88% of individuals. Two environmentally benign pesticide powders, No. 2 and No. 3 Hulinshen powders, were applied to young Armand pine on which adult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were placed, resulting in 95.6% and 91.6% mortality, respectively, by five days post-application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These pesticides can be effective at controlling adults during the feeding period when they are present on the bark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High mortality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using the fungus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can be achieved in laboratory settings with mortality of larvae, pupae and adults reaching as high as 91%, 89% and 89%, respectively, suggesting that this agent has potential as a commercial biocontrol agent against bark weevils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infested pines followed by removal of the bark and spraying the wood and bark with pesticide causes &gt;96% mortality of larvae (Chai and Liang 1990), but this tactic is labour intensive and therefore not cost effective over large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Male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produce a sex pheromone containing grandisol, which is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field tests, the combination of grandisol and two tree monoterpenes, (+)-limonene and 3-(+)-carene, was highly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Deployment of lures containing these three semiochemicals and attached to funnel traps may be an effective means of monitoring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and possibly other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but is too costly to be an economically feasible control strategy.</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introduction of this weevil to other regions, importation of trees and foliage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mainly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sometimes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 nature,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can feed on and oviposit in cut twigs of many other pine species, including the European species,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Thus, it is possible that this weevil species could breed in and cause significant damage to pine species in the EPPO region should it be introduced there. The risk of inadvertent introduction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to the EPPO region currently seems somewhat low. Logs with retained bark and untreated lumber of this pine species are not known to be exported to Europe, so it would require the transportation of untreated dunnage and infested trees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(FAO, 2019) will greatly decrease the risk of introduction of bark- and wood-boring insects,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Any trees or tree parts of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Chai XS, Liang SX (1990) The biological characters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352-354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Chen Y, Lui CW, Kuang RP, Li HW, Chen Z, Liu YJ (2013) Phototactic behavior of the Armand pine bark 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Article 3. Available at: </w:t>
      </w:r>
      <w:hyperlink r:id="rId6154691d099009f67" w:history="1">
        <w:r>
          <w:rPr>
            <w:rFonts w:ascii="Calibri" w:hAnsi="Calibri" w:eastAsia="Calibri" w:cs="Calibri"/>
            <w:color w:val="0000CC"/>
            <w:sz w:val="22"/>
            <w:szCs w:val="22"/>
            <w:u w:val="single"/>
          </w:rPr>
          <w:t xml:space="preserve">www.insectscience.org/13.3.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Duan Z, Lei G, Wang L, Mei J (1998) Preliminary study on harm characteristics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Yunnan Forestry Science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81-85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8724691d09900a039"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Haran J, Langor DW, Roques A, Javal M (2016) </w:t>
      </w:r>
      <w:r>
        <w:rPr>
          <w:rFonts w:ascii="Calibri" w:hAnsi="Calibri" w:eastAsia="Calibri" w:cs="Calibri"/>
          <w:i/>
          <w:iCs/>
          <w:color w:val="000000"/>
          <w:sz w:val="22"/>
          <w:szCs w:val="22"/>
        </w:rPr>
        <w:t xml:space="preserve">Pissodes irroratus</w:t>
      </w:r>
      <w:r>
        <w:rPr>
          <w:rFonts w:ascii="Calibri" w:hAnsi="Calibri" w:eastAsia="Calibri" w:cs="Calibri"/>
          <w:color w:val="000000"/>
          <w:sz w:val="22"/>
          <w:szCs w:val="22"/>
        </w:rPr>
        <w:t xml:space="preserve"> Reitter 1899, a species from east Russia new to Europe (Coleoptera: Curculionidae: Molytinae). </w:t>
      </w:r>
      <w:r>
        <w:rPr>
          <w:rFonts w:ascii="Calibri" w:hAnsi="Calibri" w:eastAsia="Calibri" w:cs="Calibri"/>
          <w:i/>
          <w:iCs/>
          <w:color w:val="000000"/>
          <w:sz w:val="22"/>
          <w:szCs w:val="22"/>
        </w:rPr>
        <w:t xml:space="preserve">Snudebiller </w:t>
      </w:r>
      <w:r>
        <w:rPr>
          <w:rFonts w:ascii="Calibri" w:hAnsi="Calibri" w:eastAsia="Calibri" w:cs="Calibri"/>
          <w:b/>
          <w:bCs/>
          <w:color w:val="000000"/>
          <w:sz w:val="22"/>
          <w:szCs w:val="22"/>
        </w:rPr>
        <w:t xml:space="preserve">1 </w:t>
      </w:r>
      <w:r>
        <w:rPr>
          <w:rFonts w:ascii="Calibri" w:hAnsi="Calibri" w:eastAsia="Calibri" w:cs="Calibri"/>
          <w:color w:val="000000"/>
          <w:sz w:val="22"/>
          <w:szCs w:val="22"/>
        </w:rPr>
        <w:t xml:space="preserve">(256), 1-6.</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Lei G, Duan Z, Feng Z, Zheng Z (2003) Pest risk analysis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Langer, Situ et Zhang.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62–63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 YH, Ma J, Gui JW, Liu QH, Jiang JQ (2001) Study on control threshold value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Langor and Zhang.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51-53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SC, Ma J, Gui JW, Liu QH, Jiang JQ (2000) Study on spatial pattern of ovum, pupa and emergence holes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62-65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YH, Chen M, Ye H (2007) A Preliminary study on the sex pheromone of Armand pine bark-weevil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Northwest Forestry University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115-118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Luo ZF, Wang Y, Xie KL, Li YH (2005) The test of the effectiveness of two hulinshen powder pesticides on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punctatus </w:t>
      </w:r>
      <w:r>
        <w:rPr>
          <w:rFonts w:ascii="Calibri" w:hAnsi="Calibri" w:eastAsia="Calibri" w:cs="Calibri"/>
          <w:color w:val="000000"/>
          <w:sz w:val="22"/>
          <w:szCs w:val="22"/>
        </w:rPr>
        <w:t xml:space="preserve">by means of inoculating the insects in the coop settled on forest trees. </w:t>
      </w:r>
      <w:r>
        <w:rPr>
          <w:rFonts w:ascii="Calibri" w:hAnsi="Calibri" w:eastAsia="Calibri" w:cs="Calibri"/>
          <w:i/>
          <w:iCs/>
          <w:color w:val="000000"/>
          <w:sz w:val="22"/>
          <w:szCs w:val="22"/>
        </w:rPr>
        <w:t xml:space="preserve">Journal of West China Forestry 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51-53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 Hong YD, Chai SQ, Li YH (2007) Infection of </w:t>
      </w:r>
      <w:r>
        <w:rPr>
          <w:rFonts w:ascii="Calibri" w:hAnsi="Calibri" w:eastAsia="Calibri" w:cs="Calibri"/>
          <w:i/>
          <w:iCs/>
          <w:color w:val="000000"/>
          <w:sz w:val="22"/>
          <w:szCs w:val="22"/>
        </w:rPr>
        <w:t xml:space="preserve">Paecilomyces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farinosus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Disease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39-40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Hui L, Yonghe L, Rongping R (2009) Insecticidal efficacy of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in different life stages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(4),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Ze SZ, Yan ZL, Zhang Z, Ma HF (2010) Identification and bioassay of aggregation pheromone components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293-297 [In Mandarin with English abstract].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Laffin RD (2007) Genetic divergence among populations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9042691d09900a7c6"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October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Stephen D. Langor (Edmonton, Alberta) and David W. Langor (Natural Resources Canada, Canadian Forest Service). Linhao Wu translated several pertinent references written in Mandarin.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EPPO datasheets on pests recommended for regulation. Available online. </w:t>
      </w:r>
      <w:hyperlink r:id="rId5618691d09900a8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8452452" name="name3006691d09900a9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51691d09900a9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96453">
    <w:multiLevelType w:val="hybridMultilevel"/>
    <w:lvl w:ilvl="0" w:tplc="42278798">
      <w:start w:val="1"/>
      <w:numFmt w:val="decimal"/>
      <w:lvlText w:val="%1."/>
      <w:lvlJc w:val="left"/>
      <w:pPr>
        <w:ind w:left="720" w:hanging="360"/>
      </w:pPr>
    </w:lvl>
    <w:lvl w:ilvl="1" w:tplc="42278798" w:tentative="1">
      <w:start w:val="1"/>
      <w:numFmt w:val="lowerLetter"/>
      <w:lvlText w:val="%2."/>
      <w:lvlJc w:val="left"/>
      <w:pPr>
        <w:ind w:left="1440" w:hanging="360"/>
      </w:pPr>
    </w:lvl>
    <w:lvl w:ilvl="2" w:tplc="42278798" w:tentative="1">
      <w:start w:val="1"/>
      <w:numFmt w:val="lowerRoman"/>
      <w:lvlText w:val="%3."/>
      <w:lvlJc w:val="right"/>
      <w:pPr>
        <w:ind w:left="2160" w:hanging="180"/>
      </w:pPr>
    </w:lvl>
    <w:lvl w:ilvl="3" w:tplc="42278798" w:tentative="1">
      <w:start w:val="1"/>
      <w:numFmt w:val="decimal"/>
      <w:lvlText w:val="%4."/>
      <w:lvlJc w:val="left"/>
      <w:pPr>
        <w:ind w:left="2880" w:hanging="360"/>
      </w:pPr>
    </w:lvl>
    <w:lvl w:ilvl="4" w:tplc="42278798" w:tentative="1">
      <w:start w:val="1"/>
      <w:numFmt w:val="lowerLetter"/>
      <w:lvlText w:val="%5."/>
      <w:lvlJc w:val="left"/>
      <w:pPr>
        <w:ind w:left="3600" w:hanging="360"/>
      </w:pPr>
    </w:lvl>
    <w:lvl w:ilvl="5" w:tplc="42278798" w:tentative="1">
      <w:start w:val="1"/>
      <w:numFmt w:val="lowerRoman"/>
      <w:lvlText w:val="%6."/>
      <w:lvlJc w:val="right"/>
      <w:pPr>
        <w:ind w:left="4320" w:hanging="180"/>
      </w:pPr>
    </w:lvl>
    <w:lvl w:ilvl="6" w:tplc="42278798" w:tentative="1">
      <w:start w:val="1"/>
      <w:numFmt w:val="decimal"/>
      <w:lvlText w:val="%7."/>
      <w:lvlJc w:val="left"/>
      <w:pPr>
        <w:ind w:left="5040" w:hanging="360"/>
      </w:pPr>
    </w:lvl>
    <w:lvl w:ilvl="7" w:tplc="42278798" w:tentative="1">
      <w:start w:val="1"/>
      <w:numFmt w:val="lowerLetter"/>
      <w:lvlText w:val="%8."/>
      <w:lvlJc w:val="left"/>
      <w:pPr>
        <w:ind w:left="5760" w:hanging="360"/>
      </w:pPr>
    </w:lvl>
    <w:lvl w:ilvl="8" w:tplc="42278798" w:tentative="1">
      <w:start w:val="1"/>
      <w:numFmt w:val="lowerRoman"/>
      <w:lvlText w:val="%9."/>
      <w:lvlJc w:val="right"/>
      <w:pPr>
        <w:ind w:left="6480" w:hanging="180"/>
      </w:pPr>
    </w:lvl>
  </w:abstractNum>
  <w:abstractNum w:abstractNumId="40996452">
    <w:multiLevelType w:val="hybridMultilevel"/>
    <w:lvl w:ilvl="0" w:tplc="255104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96452">
    <w:abstractNumId w:val="40996452"/>
  </w:num>
  <w:num w:numId="40996453">
    <w:abstractNumId w:val="409964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7677577" Type="http://schemas.microsoft.com/office/2011/relationships/commentsExtended" Target="commentsExtended.xml"/><Relationship Id="rId609695248" Type="http://schemas.microsoft.com/office/2011/relationships/people" Target="people.xml"/><Relationship Id="rId4131691d099007a77" Type="http://schemas.openxmlformats.org/officeDocument/2006/relationships/hyperlink" Target="https://gd.eppo.int/taxon/PISOPU/" TargetMode="External"/><Relationship Id="rId9185691d099007aba" Type="http://schemas.openxmlformats.org/officeDocument/2006/relationships/hyperlink" Target="https://gd.eppo.int/taxon/PISOPU/categorization" TargetMode="External"/><Relationship Id="rId3573691d099009735" Type="http://schemas.openxmlformats.org/officeDocument/2006/relationships/hyperlink" Target="https://www.ncbi.nlm.nih.gov/nuccore/?term=pissodes+punctatus" TargetMode="External"/><Relationship Id="rId9407691d099009753" Type="http://schemas.openxmlformats.org/officeDocument/2006/relationships/hyperlink" Target="https://www.ncbi.nlm.nih.gov/nuccore/?term=pissodes+yunnanensis" TargetMode="External"/><Relationship Id="rId6154691d099009f67" Type="http://schemas.openxmlformats.org/officeDocument/2006/relationships/hyperlink" Target="http://www.insectscience.org/13.3." TargetMode="External"/><Relationship Id="rId8724691d09900a039" Type="http://schemas.openxmlformats.org/officeDocument/2006/relationships/hyperlink" Target="https://www.ippc.int/en/publications/640/" TargetMode="External"/><Relationship Id="rId9042691d09900a7c6" Type="http://schemas.openxmlformats.org/officeDocument/2006/relationships/hyperlink" Target="https://efsa.onlinelibrary.wiley.com/doi/epdf/10.2903/sp.efsa.2020.EN-1910" TargetMode="External"/><Relationship Id="rId5618691d09900a88d" Type="http://schemas.openxmlformats.org/officeDocument/2006/relationships/hyperlink" Target="https://gd.eppo.int" TargetMode="External"/><Relationship Id="rId9579691d099008fd4" Type="http://schemas.openxmlformats.org/officeDocument/2006/relationships/image" Target="media/imgrId9579691d099008fd4.jpg"/><Relationship Id="rId4551691d09900a922" Type="http://schemas.openxmlformats.org/officeDocument/2006/relationships/image" Target="media/imgrId4551691d09900a9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