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punctatus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punctatus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Langor &amp; Zhang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Armand pine bark weevil</w:t>
            </w:r>
            <w:hyperlink r:id="rId48566a7b62f38c4e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0596a7b62f38c52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PISOPU</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1999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there have been no subsequent taxonomic or nomenclatural changes.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armandii </w:t>
      </w:r>
      <w:r>
        <w:rPr>
          <w:rFonts w:ascii="Calibri" w:hAnsi="Calibri" w:eastAsia="Calibri" w:cs="Calibri"/>
          <w:color w:val="000000"/>
          <w:sz w:val="22"/>
          <w:szCs w:val="22"/>
        </w:rPr>
        <w:t xml:space="preserve">(Armand’s pine) is the most common tree species attacked by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in the forests of South-west China, although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is also sometimes successfully attacked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Chai and Liang (1990) report that adults will feed on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when they cannot find Armand’s pine, but that they did not mate and lay eggs on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 laboratory studies in which adult Armand pine bark weevils were caged on cut twigs of 21 species of Pinaceae, including species native to China and introduced alien species, 18 species in three genera were fed upon by the weevils, including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Of those, weevils laid eggs on 12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left"/>
      </w:pPr>
      <w:r>
        <w:rPr>
          <w:rFonts w:ascii="Calibri" w:hAnsi="Calibri" w:eastAsia="Calibri" w:cs="Calibri"/>
          <w:b/>
          <w:bCs/>
          <w:color w:val="000000"/>
          <w:sz w:val="22"/>
          <w:szCs w:val="22"/>
          <w:u w:val="single"/>
        </w:rPr>
        <w:t xml:space="preserve">Additional note on host plants</w:t>
      </w:r>
      <w:r>
        <w:rPr>
          <w:rFonts w:ascii="Calibri" w:hAnsi="Calibri" w:eastAsia="Calibri" w:cs="Calibri"/>
          <w:b/>
          <w:bCs/>
          <w:color w:val="000000"/>
          <w:sz w:val="22"/>
          <w:szCs w:val="22"/>
        </w:rPr>
        <w:br/>
        <w:t xml:space="preserve">Species colonized in nature (in Yunnan Province):</w:t>
      </w:r>
      <w:r>
        <w:rPr>
          <w:rFonts w:ascii="Calibri" w:hAnsi="Calibri" w:eastAsia="Calibri" w:cs="Calibri"/>
          <w:color w:val="000000"/>
          <w:sz w:val="21"/>
          <w:szCs w:val="21"/>
        </w:rPr>
        <w:t xml:space="preserve"> </w:t>
      </w:r>
      <w:r>
        <w:rPr>
          <w:rFonts w:ascii="Calibri" w:hAnsi="Calibri" w:eastAsia="Calibri" w:cs="Calibri"/>
          <w:i/>
          <w:iCs/>
          <w:color w:val="000000"/>
          <w:sz w:val="22"/>
          <w:szCs w:val="22"/>
        </w:rPr>
        <w:t xml:space="preserve">Pinus armandii, Pinus yunnanensis</w:t>
      </w:r>
      <w:r>
        <w:rPr>
          <w:rFonts w:ascii="Calibri" w:hAnsi="Calibri" w:eastAsia="Calibri" w:cs="Calibri"/>
          <w:b/>
          <w:bCs/>
          <w:color w:val="000000"/>
          <w:sz w:val="22"/>
          <w:szCs w:val="22"/>
        </w:rPr>
        <w:br/>
        <w:t xml:space="preserve">Species fed upon when presented with cut twigs (*denotes species on which eggs were laid):</w:t>
      </w:r>
      <w:r>
        <w:rPr>
          <w:rFonts w:ascii="Calibri" w:hAnsi="Calibri" w:eastAsia="Calibri" w:cs="Calibri"/>
          <w:color w:val="000000"/>
          <w:sz w:val="21"/>
          <w:szCs w:val="21"/>
        </w:rPr>
        <w:t xml:space="preserve"> </w:t>
      </w:r>
      <w:r>
        <w:rPr>
          <w:rFonts w:ascii="Calibri" w:hAnsi="Calibri" w:eastAsia="Calibri" w:cs="Calibri"/>
          <w:color w:val="000000"/>
          <w:sz w:val="22"/>
          <w:szCs w:val="22"/>
          <w:u w:val="single"/>
        </w:rPr>
        <w:br/>
        <w:t xml:space="preserve">Native to Southwest China</w:t>
      </w:r>
      <w:r>
        <w:rPr>
          <w:rFonts w:ascii="Calibri" w:hAnsi="Calibri" w:eastAsia="Calibri" w:cs="Calibri"/>
          <w:color w:val="000000"/>
          <w:sz w:val="22"/>
          <w:szCs w:val="22"/>
          <w:u w:val="single"/>
        </w:rPr>
        <w:t xml:space="preserve">:</w:t>
      </w:r>
      <w:r>
        <w:rPr>
          <w:rFonts w:ascii="Calibri" w:hAnsi="Calibri" w:eastAsia="Calibri" w:cs="Calibri"/>
          <w:i/>
          <w:iCs/>
          <w:color w:val="000000"/>
          <w:sz w:val="22"/>
          <w:szCs w:val="22"/>
        </w:rPr>
        <w:t xml:space="preserve"> Pinus massoniana*, Pinus wallichiana* </w:t>
      </w:r>
      <w:r>
        <w:rPr>
          <w:rFonts w:ascii="Calibri" w:hAnsi="Calibri" w:eastAsia="Calibri" w:cs="Calibri"/>
          <w:color w:val="000000"/>
          <w:sz w:val="21"/>
          <w:szCs w:val="21"/>
        </w:rPr>
        <w:t xml:space="preserve">(=</w:t>
      </w:r>
      <w:r>
        <w:rPr>
          <w:rFonts w:ascii="Calibri" w:hAnsi="Calibri" w:eastAsia="Calibri" w:cs="Calibri"/>
          <w:i/>
          <w:iCs/>
          <w:color w:val="000000"/>
          <w:sz w:val="22"/>
          <w:szCs w:val="22"/>
        </w:rPr>
        <w:t xml:space="preserve">Pinus griffithii</w:t>
      </w:r>
      <w:r>
        <w:rPr>
          <w:rFonts w:ascii="Calibri" w:hAnsi="Calibri" w:eastAsia="Calibri" w:cs="Calibri"/>
          <w:color w:val="000000"/>
          <w:sz w:val="21"/>
          <w:szCs w:val="21"/>
        </w:rPr>
        <w:t xml:space="preserve">)</w:t>
      </w:r>
      <w:r>
        <w:rPr>
          <w:rFonts w:ascii="Calibri" w:hAnsi="Calibri" w:eastAsia="Calibri" w:cs="Calibri"/>
          <w:i/>
          <w:iCs/>
          <w:color w:val="000000"/>
          <w:sz w:val="22"/>
          <w:szCs w:val="22"/>
        </w:rPr>
        <w:t xml:space="preserve">, Pinus densata, Pinus kesiya </w:t>
      </w:r>
      <w:r>
        <w:rPr>
          <w:rFonts w:ascii="Calibri" w:hAnsi="Calibri" w:eastAsia="Calibri" w:cs="Calibri"/>
          <w:color w:val="000000"/>
          <w:sz w:val="21"/>
          <w:szCs w:val="21"/>
        </w:rPr>
        <w:t xml:space="preserve">var. </w:t>
      </w:r>
      <w:r>
        <w:rPr>
          <w:rFonts w:ascii="Calibri" w:hAnsi="Calibri" w:eastAsia="Calibri" w:cs="Calibri"/>
          <w:i/>
          <w:iCs/>
          <w:color w:val="000000"/>
          <w:sz w:val="22"/>
          <w:szCs w:val="22"/>
        </w:rPr>
        <w:t xml:space="preserve">langbianensis</w:t>
      </w:r>
      <w:r>
        <w:rPr>
          <w:rFonts w:ascii="Calibri" w:hAnsi="Calibri" w:eastAsia="Calibri" w:cs="Calibri"/>
          <w:color w:val="000000"/>
          <w:sz w:val="22"/>
          <w:szCs w:val="22"/>
          <w:u w:val="single"/>
        </w:rPr>
        <w:br/>
        <w:t xml:space="preserve">Asian species, including other regions of China:</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Pinus sylvestris </w:t>
      </w:r>
      <w:r>
        <w:rPr>
          <w:rFonts w:ascii="Calibri" w:hAnsi="Calibri" w:eastAsia="Calibri" w:cs="Calibri"/>
          <w:color w:val="000000"/>
          <w:sz w:val="21"/>
          <w:szCs w:val="21"/>
        </w:rPr>
        <w:t xml:space="preserve">var. </w:t>
      </w:r>
      <w:r>
        <w:rPr>
          <w:rFonts w:ascii="Calibri" w:hAnsi="Calibri" w:eastAsia="Calibri" w:cs="Calibri"/>
          <w:i/>
          <w:iCs/>
          <w:color w:val="000000"/>
          <w:sz w:val="22"/>
          <w:szCs w:val="22"/>
        </w:rPr>
        <w:t xml:space="preserve">mongolica, Pinus tabuliformis, Pseudolarix amabilis*</w:t>
      </w:r>
      <w:r>
        <w:rPr>
          <w:rFonts w:ascii="Calibri" w:hAnsi="Calibri" w:eastAsia="Calibri" w:cs="Calibri"/>
          <w:color w:val="000000"/>
          <w:sz w:val="22"/>
          <w:szCs w:val="22"/>
          <w:u w:val="single"/>
        </w:rPr>
        <w:br/>
        <w:t xml:space="preserve">European or Mediterranean species:</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Pinus pinaster*, Pinus halepensis*</w:t>
      </w:r>
      <w:r>
        <w:rPr>
          <w:rFonts w:ascii="Calibri" w:hAnsi="Calibri" w:eastAsia="Calibri" w:cs="Calibri"/>
          <w:color w:val="000000"/>
          <w:sz w:val="22"/>
          <w:szCs w:val="22"/>
          <w:u w:val="single"/>
        </w:rPr>
        <w:br/>
        <w:t xml:space="preserve">Nearctic and Central American species:</w:t>
      </w:r>
      <w:r>
        <w:rPr>
          <w:rFonts w:ascii="Calibri" w:hAnsi="Calibri" w:eastAsia="Calibri" w:cs="Calibri"/>
          <w:i/>
          <w:iCs/>
          <w:color w:val="000000"/>
          <w:sz w:val="21"/>
          <w:szCs w:val="21"/>
        </w:rPr>
        <w:t xml:space="preserve"> Pinus strobus*, Pinus ayacahuite*, Pinus edulis*, Pinus pseudostrobus, Pinus patula, Pinus taeda*, Cedrus deodara*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punctatus </w:t>
      </w:r>
      <w:r>
        <w:rPr>
          <w:rFonts w:ascii="Calibri" w:hAnsi="Calibri" w:eastAsia="Calibri" w:cs="Calibri"/>
          <w:color w:val="000000"/>
          <w:sz w:val="22"/>
          <w:szCs w:val="22"/>
        </w:rPr>
        <w:t xml:space="preserve">is currently known only from Yunnan province in the People’s Republic of China where it occurs between 2000-2900 m in elevation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is possible that its distribution is broader, including other provinces where its natural hosts are found, especially Sichuan.</w:t>
      </w:r>
    </w:p>
    <w:p>
      <w:r>
        <w:drawing>
          <wp:inline distT="0" distB="0" distL="0" distR="0">
            <wp:extent cx="6120000" cy="3067200"/>
            <wp:docPr id="1949592" name="name34116a7b62f38de8f" descr="PISOP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PU_distribution_map.jpg"/>
                    <pic:cNvPicPr/>
                  </pic:nvPicPr>
                  <pic:blipFill>
                    <a:blip r:embed="rId85466a7b62f38de8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Chai and Liang (2009) provide information on the biology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A 1-year life cycle is most common but this may vary with altitude, and generations may overlap in the same stand. In a typical one-year life cycle, adults begin emerging from their pupal chambers (chip cocoons) under the bark in late winter to early spring, and the emergence period of the species can span 6-9 months depending on the locality and its climate. Emerged adults are diurnal and positively phototactic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capable of flight. They can also disperse by walking. Adults prefer to feed and lay eggs on parts of the trunk that have smooth bark and on leaf sheaths. The species only attacks living and healthy trees. Adults actively avoid areas with rough bark and dead trees. Trees which are 15-30 years old are strongly preferred for feeding and egg laying as these trees are sufficiently large to permit development and the trunks have mostly smooth bark. Older trees have mainly rough bark with interspersed small patches of smooth bark that are difficult for adults to locate. As adults feed, mainly on the upper trunk, they become sexually mature and produce a pheromone that attracts both sexes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mating occurs on the trunk. Adults mate multiple times over their lifespan. Eggs are typically deposited from June to November in punctures chewed by female adults in the phloem of areas of the trunk with smooth bark, but mainly in the middle and lower portions of the tree trunk (1-3 m above ground level;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2000). The oviposition period can last up to nine months. Larvae start appearing by July and feed in the cambium and phloem of trunks, moving in a downward direction and creating meandering feeding tunnels that increase in diameter as the larvae grow. Sometimes larvae even reach the roots. Larvae overwinter in the trunk when it is too cold for development to continue (typically from November). Development continues the next year when temperatures are sufficiently warm (typically from mid-February to March). There are four larval instars (Situ Ying Xian, unpublished data). Pupation occurs from mid-April to early June. The mature larva excavates a chamber at the end of the feeding gallery in the outer xylem and lines it with elongated wood chips stripped from the sapwood, and this is where pupation occurs. These so-called chip cocoons are typical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Adults emerge by chewing a circular hole 4-5 mm in diameter through the bark. Adults can live for up to two years and overwinter in the decaying vegetation on the forest floor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species does not have a diapause period.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attack healthy trees, mainly those that are 15-30 years old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Larvae feed in the phloem and sapwood of trunks, moving down the trunk and creating meandering and widening feeding galleries that sometimes reach the roots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Feeding by adult weevils, usually starting in May, results in resin droplets that exude from puncture wounds on the trunk. The resin droplets can be seen from several metres away, and trees exhibiting resin flow should be closely inspected. Upon inspection of trees undergoing attack, punctures (0.5 mm wide and 1.0-2.5 mm deep) made by adults will be visible on portions of trunks that have smooth bark and on leaf sheaths. Puncture wounds and associated cambium discolouration are indicators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infestation. Infested trees begin dying in September and the foliage turns yellow in the fall, and orange or red by the next spring. The presence of chip cocoons under the bark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are or have been present, however chip cocoons may persist for many years after they are vacated. It would not be possible to distinguish old, abandoned chip cocoons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from those of other species of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that colonize pine trunks.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yellowish-white, oval, translucent and approximately 1.0-1.1 mm long and 0.7-0.8 mm wide (Chai and Liang, 1990).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Fourth-instar larvae are 6.1-10.7 mm long and 2.0-2.9 mm wide, milky-white, slightly curved, wrinkled and have light brown heads (Chai and Liang, 1990). A detailed description of mature larvae of this species is provided by Williams and Langor (2011).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4.2-6.8 mm long and 1.4-2.8 mm wide (Chai and Liang, 1990). They are at first ivory-white, changing to dark brown as they mature.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morphology is described in detail by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robust adult has a long, curved snout. The cuticle is mostly black and sparsely clothed with recumbent, whitish, scale-like setae. The whitish scales on the elytra form a diffuse, antedeclivital, transverse fascia (patch), but the elytra lack posthumeral fascia. Elytra have large, deep and elongate punctures. Females are 5.1-7.1 mm long and 2.0-2.7 mm wide at the elytra, and males are 5.0-7.0 mm long and 2.2-2.9 mm 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attacks only live pines and are found mainly on trees which are 15-30 years old, although they occasionally attack younger and older trees. Trees with copious resin droplets on the trunk should be investigated for signs of weevil attack, particularly feeding and oviposition punctures on leaf sheaths and portions of the trunk with smooth bark and presence of adults on the bark. Removal of bark on the trunks of trees suspected of infestation will reveal larval galleries in the phloem and sapwood, chip cocoons, pupae, callow adults and/or round adult emergence holes in the bark. Pines with yellow to orange foliage should especially be inspected for signs of attack. There are several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infest the trunks of pines so care must be taken to collect larvae and adults. Specimens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can be identified using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adult diagnosis or Williams and Langor (2011) for identification of mature larvae. Adults are very distinct; the black cuticle and the large and deep punctures on the elytra will distinguish this species from all nine species of native European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Larvae have not been described for all European species, so if live larvae are found in trees suspected to be infested by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the most rapid and accurate diagnosis is via the use of DNA barcodes which are available for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hyperlink r:id="rId82526a7b62f38e6d9" w:history="1">
        <w:r>
          <w:rPr>
            <w:rFonts w:ascii="Calibri" w:hAnsi="Calibri" w:eastAsia="Calibri" w:cs="Calibri"/>
            <w:b/>
            <w:bCs/>
            <w:color w:val="0000CC"/>
            <w:sz w:val="22"/>
            <w:szCs w:val="22"/>
            <w:u w:val="single"/>
          </w:rPr>
          <w:t xml:space="preserve">GenBank</w:t>
        </w:r>
      </w:hyperlink>
      <w:hyperlink r:id="rId12356a7b62f38e703" w:history="1"/>
      <w:r>
        <w:rPr>
          <w:rFonts w:ascii="Calibri" w:hAnsi="Calibri" w:eastAsia="Calibri" w:cs="Calibri"/>
          <w:color w:val="000000"/>
          <w:sz w:val="22"/>
          <w:szCs w:val="22"/>
        </w:rPr>
        <w:t xml:space="preserve">) and for most European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(Haran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flying and can move at least 95 m in a single flight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species spreads quickly among Armand pine plantations in southern Yunnan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It is also possible that human transplant of infested Yunnan pine and Armand pine trees as well as transport of logs and foliage could help dispersal of this species within the region. As this species are known to attack pines which are up to 9 m tall and 20 cm diameter at breast height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long distance transport via lumber or dunnage is possible.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is an important timber and reforestation species in Southern China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stands located in Huize County, Yunnan, about 90% of trees were badly damaged by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At Damashan Forest Farm, Yunnan, mortality of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was 7.2% in 1995, increasing to 9.8% in 1996 and 17.3% in 1997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Surveys in the Huashan pine forest showed that the annual mortality rate was 7% in 1997, 10% in 1998, 15% in 1999, and 30% in 2000 (Lei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trees that are attacked by these weevils but not killed, there is subsequent volume loss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currently no efficient and economical control measures that can be deployed over a large geographic scale. Chai and Liang (2009) report on 11 pesticides that kill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three applied as powders and nine as liquids. All were effective but the best were Xiweiyin and Piyawu powders which killed &gt;88% of individuals. Two environmentally benign pesticide powders, No. 2 and No. 3 Hulinshen powders, were applied to young Armand pine on which adult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were placed, resulting in 95.6% and 91.6% mortality, respectively, by five days post-application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These pesticides can be effective at controlling adults during the feeding period when they are present on the bark surface. </w:t>
      </w:r>
    </w:p>
    <w:p>
      <w:pPr>
        <w:widowControl w:val="on"/>
        <w:pBdr/>
        <w:spacing w:before="220" w:after="220" w:line="240" w:lineRule="auto"/>
        <w:ind w:left="0" w:right="0"/>
        <w:jc w:val="both"/>
      </w:pPr>
      <w:r>
        <w:rPr>
          <w:rFonts w:ascii="Calibri" w:hAnsi="Calibri" w:eastAsia="Calibri" w:cs="Calibri"/>
          <w:color w:val="000000"/>
          <w:sz w:val="22"/>
          <w:szCs w:val="22"/>
        </w:rPr>
        <w:t xml:space="preserve">High mortality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using the fungus </w:t>
      </w:r>
      <w:r>
        <w:rPr>
          <w:rFonts w:ascii="Calibri" w:hAnsi="Calibri" w:eastAsia="Calibri" w:cs="Calibri"/>
          <w:i/>
          <w:iCs/>
          <w:color w:val="000000"/>
          <w:sz w:val="22"/>
          <w:szCs w:val="22"/>
        </w:rPr>
        <w:t xml:space="preserve">Isaria farinosa</w:t>
      </w:r>
      <w:r>
        <w:rPr>
          <w:rFonts w:ascii="Calibri" w:hAnsi="Calibri" w:eastAsia="Calibri" w:cs="Calibri"/>
          <w:color w:val="000000"/>
          <w:sz w:val="22"/>
          <w:szCs w:val="22"/>
        </w:rPr>
        <w:t xml:space="preserve"> can be achieved in laboratory settings with mortality of larvae, pupae and adults reaching as high as 91%, 89% and 89%, respectively, suggesting that this agent has potential as a commercial biocontrol agent against bark weevils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2009).</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infested pines followed by removal of the bark and spraying the wood and bark with pesticide causes &gt;96% mortality of larvae (Chai and Liang 1990), but this tactic is labour intensive and therefore not cost effective over large areas.</w:t>
      </w:r>
    </w:p>
    <w:p>
      <w:pPr>
        <w:widowControl w:val="on"/>
        <w:pBdr/>
        <w:spacing w:before="220" w:after="220" w:line="240" w:lineRule="auto"/>
        <w:ind w:left="0" w:right="0"/>
        <w:jc w:val="both"/>
      </w:pPr>
      <w:r>
        <w:rPr>
          <w:rFonts w:ascii="Calibri" w:hAnsi="Calibri" w:eastAsia="Calibri" w:cs="Calibri"/>
          <w:color w:val="000000"/>
          <w:sz w:val="22"/>
          <w:szCs w:val="22"/>
        </w:rPr>
        <w:t xml:space="preserve">Male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produce a sex pheromone containing grandisol, which is attractive to both sexes (Ze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field tests, the combination of grandisol and two tree monoterpenes, (+)-limonene and 3-(+)-carene, was highly attractive to both sexes (Ze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Deployment of lures containing these three semiochemicals and attached to funnel traps may be an effective means of monitoring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and possibly other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species, but is too costly to be an economically feasible control strategy.</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introduction of this weevil to other regions, importation of trees and foliage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armandii</w:t>
      </w:r>
      <w:r>
        <w:rPr>
          <w:rFonts w:ascii="Calibri" w:hAnsi="Calibri" w:eastAsia="Calibri" w:cs="Calibri"/>
          <w:color w:val="000000"/>
          <w:sz w:val="22"/>
          <w:szCs w:val="22"/>
        </w:rPr>
        <w:t xml:space="preserve"> should continue to be closely regulated.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recorded as infesting mainly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and sometimes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in nature,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can feed on and oviposit in cut twigs of many other pine species, including the European species,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Thus, it is possible that this weevil species could breed in and cause significant damage to pine species in the EPPO region should it be introduced there. The risk of inadvertent introduction of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to the EPPO region currently seems somewhat low. Logs with retained bark and untreated lumber of this pine species are not known to be exported to Europe, so it would require the transportation of untreated dunnage and infested trees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(FAO, 2019) will greatly decrease the risk of introduction of bark- and wood-boring insects, including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 Any trees or tree parts of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introduced into the EPPO region should be quarantined until thoroughly checked for signs and symptoms of non-native species, including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Chai XS, Liang SX (1990) The biological characters of </w:t>
      </w:r>
      <w:r>
        <w:rPr>
          <w:rFonts w:ascii="Calibri" w:hAnsi="Calibri" w:eastAsia="Calibri" w:cs="Calibri"/>
          <w:i/>
          <w:iCs/>
          <w:color w:val="000000"/>
          <w:sz w:val="22"/>
          <w:szCs w:val="22"/>
        </w:rPr>
        <w:t xml:space="preserve">Pissodes punctatus </w:t>
      </w:r>
      <w:r>
        <w:rPr>
          <w:rFonts w:ascii="Calibri" w:hAnsi="Calibri" w:eastAsia="Calibri" w:cs="Calibri"/>
          <w:color w:val="000000"/>
          <w:sz w:val="22"/>
          <w:szCs w:val="22"/>
        </w:rPr>
        <w:t xml:space="preserve">and its control. </w:t>
      </w:r>
      <w:r>
        <w:rPr>
          <w:rFonts w:ascii="Calibri" w:hAnsi="Calibri" w:eastAsia="Calibri" w:cs="Calibri"/>
          <w:i/>
          <w:iCs/>
          <w:color w:val="000000"/>
          <w:sz w:val="22"/>
          <w:szCs w:val="22"/>
        </w:rPr>
        <w:t xml:space="preserve">Entomological Knowledge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(6), 352-354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Chen Y, Lui CW, Kuang RP, Li HW, Chen Z, Liu YJ (2013) Phototactic behavior of the Armand pine bark weevil,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Article 3. Available at: </w:t>
      </w:r>
      <w:hyperlink r:id="rId14676a7b62f38ef36" w:history="1">
        <w:r>
          <w:rPr>
            <w:rFonts w:ascii="Calibri" w:hAnsi="Calibri" w:eastAsia="Calibri" w:cs="Calibri"/>
            <w:color w:val="0000CC"/>
            <w:sz w:val="22"/>
            <w:szCs w:val="22"/>
            <w:u w:val="single"/>
          </w:rPr>
          <w:t xml:space="preserve">www.insectscience.org/13.3.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Duan Z, Lei G, Wang L, Mei J (1998) Preliminary study on harm characteristics of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Yunnan Forestry Science 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Technology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81-85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90566a7b62f38f006"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Haran J, Langor DW, Roques A, Javal M (2016) </w:t>
      </w:r>
      <w:r>
        <w:rPr>
          <w:rFonts w:ascii="Calibri" w:hAnsi="Calibri" w:eastAsia="Calibri" w:cs="Calibri"/>
          <w:i/>
          <w:iCs/>
          <w:color w:val="000000"/>
          <w:sz w:val="22"/>
          <w:szCs w:val="22"/>
        </w:rPr>
        <w:t xml:space="preserve">Pissodes irroratus</w:t>
      </w:r>
      <w:r>
        <w:rPr>
          <w:rFonts w:ascii="Calibri" w:hAnsi="Calibri" w:eastAsia="Calibri" w:cs="Calibri"/>
          <w:color w:val="000000"/>
          <w:sz w:val="22"/>
          <w:szCs w:val="22"/>
        </w:rPr>
        <w:t xml:space="preserve"> Reitter 1899, a species from east Russia new to Europe (Coleoptera: Curculionidae: Molytinae). </w:t>
      </w:r>
      <w:r>
        <w:rPr>
          <w:rFonts w:ascii="Calibri" w:hAnsi="Calibri" w:eastAsia="Calibri" w:cs="Calibri"/>
          <w:i/>
          <w:iCs/>
          <w:color w:val="000000"/>
          <w:sz w:val="22"/>
          <w:szCs w:val="22"/>
        </w:rPr>
        <w:t xml:space="preserve">Snudebiller </w:t>
      </w:r>
      <w:r>
        <w:rPr>
          <w:rFonts w:ascii="Calibri" w:hAnsi="Calibri" w:eastAsia="Calibri" w:cs="Calibri"/>
          <w:b/>
          <w:bCs/>
          <w:color w:val="000000"/>
          <w:sz w:val="22"/>
          <w:szCs w:val="22"/>
        </w:rPr>
        <w:t xml:space="preserve">1 </w:t>
      </w:r>
      <w:r>
        <w:rPr>
          <w:rFonts w:ascii="Calibri" w:hAnsi="Calibri" w:eastAsia="Calibri" w:cs="Calibri"/>
          <w:color w:val="000000"/>
          <w:sz w:val="22"/>
          <w:szCs w:val="22"/>
        </w:rPr>
        <w:t xml:space="preserve">(256), 1-6.</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Situ YX, Zhang R (1999)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(Coleoptera: Curculionidae) from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593-603.</w:t>
      </w:r>
    </w:p>
    <w:p>
      <w:pPr>
        <w:widowControl w:val="on"/>
        <w:pBdr/>
        <w:spacing w:before="220" w:after="220" w:line="240" w:lineRule="auto"/>
        <w:ind w:left="0" w:right="0"/>
        <w:jc w:val="left"/>
      </w:pPr>
      <w:r>
        <w:rPr>
          <w:rFonts w:ascii="Calibri" w:hAnsi="Calibri" w:eastAsia="Calibri" w:cs="Calibri"/>
          <w:color w:val="000000"/>
          <w:sz w:val="22"/>
          <w:szCs w:val="22"/>
        </w:rPr>
        <w:t xml:space="preserve">Lei G, Duan Z, Feng Z, Zheng Z (2003) Pest risk analysis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Langer, Situ et Zhang. </w:t>
      </w:r>
      <w:r>
        <w:rPr>
          <w:rFonts w:ascii="Calibri" w:hAnsi="Calibri" w:eastAsia="Calibri" w:cs="Calibri"/>
          <w:i/>
          <w:iCs/>
          <w:color w:val="000000"/>
          <w:sz w:val="22"/>
          <w:szCs w:val="22"/>
        </w:rPr>
        <w:t xml:space="preserve">Journal of Northeast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62–63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Li SC, Li YH, Ma J, Gui JW, Liu QH, Jiang JQ (2001) Study on control threshold value of </w:t>
      </w:r>
      <w:r>
        <w:rPr>
          <w:rFonts w:ascii="Calibri" w:hAnsi="Calibri" w:eastAsia="Calibri" w:cs="Calibri"/>
          <w:i/>
          <w:iCs/>
          <w:color w:val="000000"/>
          <w:sz w:val="22"/>
          <w:szCs w:val="22"/>
        </w:rPr>
        <w:t xml:space="preserve">Pissodes punctatus </w:t>
      </w:r>
      <w:r>
        <w:rPr>
          <w:rFonts w:ascii="Calibri" w:hAnsi="Calibri" w:eastAsia="Calibri" w:cs="Calibri"/>
          <w:color w:val="000000"/>
          <w:sz w:val="22"/>
          <w:szCs w:val="22"/>
        </w:rPr>
        <w:t xml:space="preserve">Langor and Zhang. </w:t>
      </w:r>
      <w:r>
        <w:rPr>
          <w:rFonts w:ascii="Calibri" w:hAnsi="Calibri" w:eastAsia="Calibri" w:cs="Calibri"/>
          <w:i/>
          <w:iCs/>
          <w:color w:val="000000"/>
          <w:sz w:val="22"/>
          <w:szCs w:val="22"/>
        </w:rPr>
        <w:t xml:space="preserve">Yunnan Forestry Science and Technology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51-53 [In Mandarin with English abstract]. Note: Even though the weevil species covered in this paper is referred to as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we have determined that this is an error and the species studied was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 SC, Ma J, Gui JW, Liu QH, Jiang JQ (2000) Study on spatial pattern of ovum, pupa and emergence holes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Yunnan Forestry Science and Technology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62-65 [In Mandarin with English abstract]. Note: Even though the weevil species covered in this paper is referred to as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we have determined that this is an error and the species studied was </w:t>
      </w:r>
      <w:r>
        <w:rPr>
          <w:rFonts w:ascii="Calibri" w:hAnsi="Calibri" w:eastAsia="Calibri" w:cs="Calibri"/>
          <w:i/>
          <w:iCs/>
          <w:color w:val="000000"/>
          <w:sz w:val="22"/>
          <w:szCs w:val="22"/>
        </w:rPr>
        <w:t xml:space="preserve">P. punctatus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 YH, Chen M, Ye H (2007) A Preliminary study on the sex pheromone of Armand pine bark-weevil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Northwest Forestry University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115-118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Liu JH, Luo ZF, Wang Y, Xie KL, Li YH (2005) The test of the effectiveness of two hulinshen powder pesticides on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punctatus </w:t>
      </w:r>
      <w:r>
        <w:rPr>
          <w:rFonts w:ascii="Calibri" w:hAnsi="Calibri" w:eastAsia="Calibri" w:cs="Calibri"/>
          <w:color w:val="000000"/>
          <w:sz w:val="22"/>
          <w:szCs w:val="22"/>
        </w:rPr>
        <w:t xml:space="preserve">by means of inoculating the insects in the coop settled on forest trees. </w:t>
      </w:r>
      <w:r>
        <w:rPr>
          <w:rFonts w:ascii="Calibri" w:hAnsi="Calibri" w:eastAsia="Calibri" w:cs="Calibri"/>
          <w:i/>
          <w:iCs/>
          <w:color w:val="000000"/>
          <w:sz w:val="22"/>
          <w:szCs w:val="22"/>
        </w:rPr>
        <w:t xml:space="preserve">Journal of West China Forestry Science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51-53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Yang S, Zhuang H, Hong YD, Chai SQ, Li YH (2007) Infection of </w:t>
      </w:r>
      <w:r>
        <w:rPr>
          <w:rFonts w:ascii="Calibri" w:hAnsi="Calibri" w:eastAsia="Calibri" w:cs="Calibri"/>
          <w:i/>
          <w:iCs/>
          <w:color w:val="000000"/>
          <w:sz w:val="22"/>
          <w:szCs w:val="22"/>
        </w:rPr>
        <w:t xml:space="preserve">Paecilomyces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farinosus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 Disease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39-40 [In Mandarin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Yang S, Zhuang Hui L, Yonghe L, Rongping R (2009) Insecticidal efficacy of </w:t>
      </w:r>
      <w:r>
        <w:rPr>
          <w:rFonts w:ascii="Calibri" w:hAnsi="Calibri" w:eastAsia="Calibri" w:cs="Calibri"/>
          <w:i/>
          <w:iCs/>
          <w:color w:val="000000"/>
          <w:sz w:val="22"/>
          <w:szCs w:val="22"/>
        </w:rPr>
        <w:t xml:space="preserve">Isaria farinosa</w:t>
      </w:r>
      <w:r>
        <w:rPr>
          <w:rFonts w:ascii="Calibri" w:hAnsi="Calibri" w:eastAsia="Calibri" w:cs="Calibri"/>
          <w:color w:val="000000"/>
          <w:sz w:val="22"/>
          <w:szCs w:val="22"/>
        </w:rPr>
        <w:t xml:space="preserve"> in different life stages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(4), 321-325.</w:t>
      </w:r>
    </w:p>
    <w:p>
      <w:pPr>
        <w:widowControl w:val="on"/>
        <w:pBdr/>
        <w:spacing w:before="220" w:after="220" w:line="240" w:lineRule="auto"/>
        <w:ind w:left="0" w:right="0"/>
        <w:jc w:val="left"/>
      </w:pPr>
      <w:r>
        <w:rPr>
          <w:rFonts w:ascii="Calibri" w:hAnsi="Calibri" w:eastAsia="Calibri" w:cs="Calibri"/>
          <w:color w:val="000000"/>
          <w:sz w:val="22"/>
          <w:szCs w:val="22"/>
        </w:rPr>
        <w:t xml:space="preserve">Ze SZ, Yan ZL, Zhang Z, Ma HF (2010) Identification and bioassay of aggregation pheromone components of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293-297 [In Mandarin with English abstract].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Laffin RD (2007) Genetic divergence among populations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44726a7b62f38f7fb"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October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Stephen D. Langor (Edmonton, Alberta) and David W. Langor (Natural Resources Canada, Canadian Forest Service). Linhao Wu translated several pertinent references written in Mandarin.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EPPO datasheets on pests recommended for regulation. Available online. </w:t>
      </w:r>
      <w:hyperlink r:id="rId47946a7b62f38f8d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7109715" name="name52296a7b62f38fe6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5836a7b62f38fe6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447037">
    <w:multiLevelType w:val="hybridMultilevel"/>
    <w:lvl w:ilvl="0" w:tplc="72387816">
      <w:start w:val="1"/>
      <w:numFmt w:val="decimal"/>
      <w:lvlText w:val="%1."/>
      <w:lvlJc w:val="left"/>
      <w:pPr>
        <w:ind w:left="720" w:hanging="360"/>
      </w:pPr>
    </w:lvl>
    <w:lvl w:ilvl="1" w:tplc="72387816" w:tentative="1">
      <w:start w:val="1"/>
      <w:numFmt w:val="lowerLetter"/>
      <w:lvlText w:val="%2."/>
      <w:lvlJc w:val="left"/>
      <w:pPr>
        <w:ind w:left="1440" w:hanging="360"/>
      </w:pPr>
    </w:lvl>
    <w:lvl w:ilvl="2" w:tplc="72387816" w:tentative="1">
      <w:start w:val="1"/>
      <w:numFmt w:val="lowerRoman"/>
      <w:lvlText w:val="%3."/>
      <w:lvlJc w:val="right"/>
      <w:pPr>
        <w:ind w:left="2160" w:hanging="180"/>
      </w:pPr>
    </w:lvl>
    <w:lvl w:ilvl="3" w:tplc="72387816" w:tentative="1">
      <w:start w:val="1"/>
      <w:numFmt w:val="decimal"/>
      <w:lvlText w:val="%4."/>
      <w:lvlJc w:val="left"/>
      <w:pPr>
        <w:ind w:left="2880" w:hanging="360"/>
      </w:pPr>
    </w:lvl>
    <w:lvl w:ilvl="4" w:tplc="72387816" w:tentative="1">
      <w:start w:val="1"/>
      <w:numFmt w:val="lowerLetter"/>
      <w:lvlText w:val="%5."/>
      <w:lvlJc w:val="left"/>
      <w:pPr>
        <w:ind w:left="3600" w:hanging="360"/>
      </w:pPr>
    </w:lvl>
    <w:lvl w:ilvl="5" w:tplc="72387816" w:tentative="1">
      <w:start w:val="1"/>
      <w:numFmt w:val="lowerRoman"/>
      <w:lvlText w:val="%6."/>
      <w:lvlJc w:val="right"/>
      <w:pPr>
        <w:ind w:left="4320" w:hanging="180"/>
      </w:pPr>
    </w:lvl>
    <w:lvl w:ilvl="6" w:tplc="72387816" w:tentative="1">
      <w:start w:val="1"/>
      <w:numFmt w:val="decimal"/>
      <w:lvlText w:val="%7."/>
      <w:lvlJc w:val="left"/>
      <w:pPr>
        <w:ind w:left="5040" w:hanging="360"/>
      </w:pPr>
    </w:lvl>
    <w:lvl w:ilvl="7" w:tplc="72387816" w:tentative="1">
      <w:start w:val="1"/>
      <w:numFmt w:val="lowerLetter"/>
      <w:lvlText w:val="%8."/>
      <w:lvlJc w:val="left"/>
      <w:pPr>
        <w:ind w:left="5760" w:hanging="360"/>
      </w:pPr>
    </w:lvl>
    <w:lvl w:ilvl="8" w:tplc="72387816" w:tentative="1">
      <w:start w:val="1"/>
      <w:numFmt w:val="lowerRoman"/>
      <w:lvlText w:val="%9."/>
      <w:lvlJc w:val="right"/>
      <w:pPr>
        <w:ind w:left="6480" w:hanging="180"/>
      </w:pPr>
    </w:lvl>
  </w:abstractNum>
  <w:abstractNum w:abstractNumId="97447036">
    <w:multiLevelType w:val="hybridMultilevel"/>
    <w:lvl w:ilvl="0" w:tplc="135509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447036">
    <w:abstractNumId w:val="97447036"/>
  </w:num>
  <w:num w:numId="97447037">
    <w:abstractNumId w:val="974470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1670917" Type="http://schemas.microsoft.com/office/2011/relationships/commentsExtended" Target="commentsExtended.xml"/><Relationship Id="rId982460404" Type="http://schemas.microsoft.com/office/2011/relationships/people" Target="people.xml"/><Relationship Id="rId48566a7b62f38c4e3" Type="http://schemas.openxmlformats.org/officeDocument/2006/relationships/hyperlink" Target="https://gd.eppo.int/taxon/PISOPU/" TargetMode="External"/><Relationship Id="rId70596a7b62f38c52a" Type="http://schemas.openxmlformats.org/officeDocument/2006/relationships/hyperlink" Target="https://gd.eppo.int/taxon/PISOPU/categorization" TargetMode="External"/><Relationship Id="rId82526a7b62f38e6d9" Type="http://schemas.openxmlformats.org/officeDocument/2006/relationships/hyperlink" Target="https://www.ncbi.nlm.nih.gov/nuccore/?term=pissodes+punctatus" TargetMode="External"/><Relationship Id="rId12356a7b62f38e703" Type="http://schemas.openxmlformats.org/officeDocument/2006/relationships/hyperlink" Target="https://www.ncbi.nlm.nih.gov/nuccore/?term=pissodes+yunnanensis" TargetMode="External"/><Relationship Id="rId14676a7b62f38ef36" Type="http://schemas.openxmlformats.org/officeDocument/2006/relationships/hyperlink" Target="http://www.insectscience.org/13.3." TargetMode="External"/><Relationship Id="rId90566a7b62f38f006" Type="http://schemas.openxmlformats.org/officeDocument/2006/relationships/hyperlink" Target="https://www.ippc.int/en/publications/640/" TargetMode="External"/><Relationship Id="rId44726a7b62f38f7fb" Type="http://schemas.openxmlformats.org/officeDocument/2006/relationships/hyperlink" Target="https://efsa.onlinelibrary.wiley.com/doi/epdf/10.2903/sp.efsa.2020.EN-1910" TargetMode="External"/><Relationship Id="rId47946a7b62f38f8de" Type="http://schemas.openxmlformats.org/officeDocument/2006/relationships/hyperlink" Target="https://gd.eppo.int" TargetMode="External"/><Relationship Id="rId85466a7b62f38de8b" Type="http://schemas.openxmlformats.org/officeDocument/2006/relationships/image" Target="media/imgrId85466a7b62f38de8b.jpg"/><Relationship Id="rId75836a7b62f38fe63" Type="http://schemas.openxmlformats.org/officeDocument/2006/relationships/image" Target="media/imgrId75836a7b62f38fe6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