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ramorum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ramorum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Werres, De Cock &amp; Man in 't Veld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sudden oak death</w:t>
            </w:r>
            <w:hyperlink r:id="rId431669eaa7120b2d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 RNQP ((EU) 2019/2072 Annex IV)</w:t>
            </w:r>
            <w:hyperlink r:id="rId686369eaa7120b34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PHYTRA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535501" name="name946269eaa7120b445" descr="10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15.jpg"/>
                          <pic:cNvPicPr/>
                        </pic:nvPicPr>
                        <pic:blipFill>
                          <a:blip r:embed="rId347269eaa7120b443" cstate="print"/>
                          <a:stretch>
                            <a:fillRect/>
                          </a:stretch>
                        </pic:blipFill>
                        <pic:spPr>
                          <a:xfrm>
                            <a:off x="0" y="0"/>
                            <a:ext cx="2160000" cy="1281600"/>
                          </a:xfrm>
                          <a:prstGeom prst="rect">
                            <a:avLst/>
                          </a:prstGeom>
                          <a:ln w="0">
                            <a:noFill/>
                          </a:ln>
                        </pic:spPr>
                      </pic:pic>
                    </a:graphicData>
                  </a:graphic>
                </wp:inline>
              </w:drawing>
            </w:r>
            <w:hyperlink r:id="rId359169eaa7120b56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Phylogenetically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is placed within the genus in clade 8c and is closely related to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foliorum </w:t>
      </w:r>
      <w:r>
        <w:rPr>
          <w:rFonts w:ascii="Calibri" w:hAnsi="Calibri" w:eastAsia="Calibri" w:cs="Calibri"/>
          <w:color w:val="000000"/>
          <w:sz w:val="22"/>
          <w:szCs w:val="22"/>
        </w:rPr>
        <w:t xml:space="preserve">(Grünwald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epithet ‘</w:t>
      </w:r>
      <w:r>
        <w:rPr>
          <w:rFonts w:ascii="Calibri" w:hAnsi="Calibri" w:eastAsia="Calibri" w:cs="Calibri"/>
          <w:i/>
          <w:iCs/>
          <w:color w:val="000000"/>
          <w:sz w:val="22"/>
          <w:szCs w:val="22"/>
        </w:rPr>
        <w:t xml:space="preserve">ramorum</w:t>
      </w:r>
      <w:r>
        <w:rPr>
          <w:rFonts w:ascii="Calibri" w:hAnsi="Calibri" w:eastAsia="Calibri" w:cs="Calibri"/>
          <w:color w:val="000000"/>
          <w:sz w:val="22"/>
          <w:szCs w:val="22"/>
        </w:rPr>
        <w:t xml:space="preserve">’ refers to branch (Latin: ramus) and the pathogenicity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to twigs and branches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has caused severe damage in the 1990s and 2000s, e.g. on oak and tanoak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Lithocarpus densiflorus</w:t>
      </w:r>
      <w:r>
        <w:rPr>
          <w:rFonts w:ascii="Calibri" w:hAnsi="Calibri" w:eastAsia="Calibri" w:cs="Calibri"/>
          <w:color w:val="000000"/>
          <w:sz w:val="22"/>
          <w:szCs w:val="22"/>
        </w:rPr>
        <w:t xml:space="preserve">) in the USA, on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in the United Kingdom and on ornamental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Central Europe. The disease is most commonly known as ‘sudden oak death’ or ‘ramorum blight’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2019). The pathogen is generally characterized by a broad host range with more than 170 species currently known to be hosts. These include many important shrubs and trees of ornamental or environmental significance and some herbaceous plants.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laevigatum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aleuticum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jordanii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columbiana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sensitiva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Calluna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orthacantha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thyrsiflorus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chrysophylla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Clintonia andrewsiana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Corylopsis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pannosus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Daphniphyllum glaucescens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Distylium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Dryopteris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ciliatum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haemastoma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kiautschovicus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Garrya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shallon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Griselinia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glaber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hispidula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Lophostemon confertus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Loropetalum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lotungensis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maudiae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thompsoniana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racemosum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decorus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Osmorhiza berteroi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Parrotia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Phoradendron leucarpum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Physocarpus 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Pickeringia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Pteris cretica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koidzumii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parvula var. shrevei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phillyreoides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catawbiense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yakushimanum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laurifolium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gymnocarpa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x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Trientalis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parvifolium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vitis-idaea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Vancouveria planipetala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hillieri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plicatum var.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x bodnantense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diversity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has recently been studied in Vietnam and it was hypothesized that Vietnam could be the centre of origin of this species. The pathogen was also found in Vietnam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thus suggesting that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may be part of its natural host range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species was introduced to Europe and North America where it was first discovered in the 1990s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oak trees in western North America and larch plantations in the United Kingdom were severely affected in the 1990s and 2000s by the pathogen, while in other areas of North America and Europe mainly ornamental plants were affected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 far,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known to occur in Europe, North America, parts of Asia, and Argentina (Vélez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Four clonal lineages have been characterized and named after the continent where they were first found (NA = North America, EU = Europe): NA1, NA2, EU1 and EU2. Only EU1 was found in Europe as well as in North America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2012, 2019;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Vietnamese lineage appears to be most closely related to NA2 with only one base pair difference on the genetic marker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26109868" name="name262969eaa7120e609" descr="PHYTR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RA_distribution_map.jpg"/>
                    <pic:cNvPicPr/>
                  </pic:nvPicPr>
                  <pic:blipFill>
                    <a:blip r:embed="rId892869eaa7120e60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Denmark, France (mainland), Germany, Guernsey, Ireland, Jersey, Luxembourg, Netherlands, Norway, Poland, Slovenia, United Kingdom (England, Northern Ireland,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Shikoku),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(Alabama, California, Colorado, Florida, Georgia, Illinois, Indiana, Iowa, Louisiana, Nebraska, New Mexico, North Carolina, Oklahoma, Oregon, South Carolina, Tennessee,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dispersal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mycelium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 form three different types of spores based on a sexual or asexual reproduction.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containing flagellated zoospores (asexual reproduction) can be formed on the surfaces of infected leaves or twigs of some hosts. After being released, zoospores can colonize neighbouring plants by swimming through thin water films (e.g. via water splash) towards the plants. It is thought that the zoospores then penetrate the new host to initiate a new infection. When inoculating twigs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has been observed that the first symptoms (twig discoloration) appeared three to seven days after inoculation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Another mode of dispersal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take place within the soil (or growing media), leading to root infection that is followed by a colonization of the vascular tissues and spread into the stem (Parke &amp; Lewis, 2007;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chlamydospores (asexual reproduction) are often produced to survive adverse conditions, and may also play a special role in the dispersal within the soil (or growing media) (Shikoff, 2007; Tooley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reproduction via the production of gametangia has not yet been observed in plants, but only under laboratory conditions on culture media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Brasier &amp; Kirk, 2004). The known lineages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belong to different mating types (A1 or A2): NA1 and NA2 belong to mating type A2, EU1 predominantly belongs to mating type A1 and rarely to A2, EU2 belongs to A1 and the Vietnamese lineage comprises both mating types A1 and A2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Two different disease syndromes can be distinguished, based on a foliar phase or on a bole canker phase: ‘sudden oak death’ and ‘ramorum blight’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in general, symptoms are host specific and vary according to the host (Kliejunas,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‘Sudden oak death’ (including ‘sudden larch death’) is characterized by lethal cankers. The trunk of affected trees shows bleeding cankers or tarry spots, mostly in the lower part, but in some cases up to a height of 20 m. Sometimes sunken or flattened cankers can be observed nearby. After removing the outer bark, mottled areas and necrotic discoloration of the inner bark tissues can be seen, showing similarities with the normal oxidative reddening of phloem tissues. Dark zones are often present at the edges of these necrotic areas. In particular, young or thinner trees show a distinct edge between healthy and necrotic tissues. Vessel blockage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often results in a wilt of leaves or needles (without premature leaf fall or needle cast) and eventually in tree mortality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‘Ramorum blight’ occurs in twigs in the form of brown or black lesions.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the development of twig lesions begins at the tips and moves towards the base. In addition, cankers can form on shoots or stems, which can lead to a rapid wilting of the leaves, depending on the position of the canker. The wilted leaves remain attached. After removing the bark of a diseased twig, discoloration of the cambial tissue can be seen. The main characteristic leaf symptom is a blackening of the petiole that spreads into the leaf base. Further spread along the midrib can also occur. In other host plant species, not all the above described symptoms may appear. Another manifestation of ‘ramorum blight’ is the development of diffuse brown to dark-brown spots on the leaves. These spots are usually found at the leaf tips, but may appear elsewhere. The whole leaf area may turn brown to black, and leaves may fall prematurely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a heterothallic species with two mating types. Cultivated individuals can produce gametangia by pairing with opposite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mating types of few strains or species, e.g.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A1 with </w:t>
      </w:r>
      <w:r>
        <w:rPr>
          <w:rFonts w:ascii="Calibri" w:hAnsi="Calibri" w:eastAsia="Calibri" w:cs="Calibri"/>
          <w:i/>
          <w:iCs/>
          <w:color w:val="000000"/>
          <w:sz w:val="22"/>
          <w:szCs w:val="22"/>
        </w:rPr>
        <w:t xml:space="preserve">P. cryptogea </w:t>
      </w:r>
      <w:r>
        <w:rPr>
          <w:rFonts w:ascii="Calibri" w:hAnsi="Calibri" w:eastAsia="Calibri" w:cs="Calibri"/>
          <w:color w:val="000000"/>
          <w:sz w:val="22"/>
          <w:szCs w:val="22"/>
        </w:rPr>
        <w:t xml:space="preserve">A2.</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are produced terminally or laterally. They are subglobose and smooth with a size of 24-40 µm (average 29.8-33 µm). Oospores are plerotic and 20-36 µm in size (average 27.2-31.4 µm). Antheridia are amphigynous and mainly rounded to barrel-shaped with a size of 12-22 x 15-18 µm. Two-celled antheridia are very seldom.</w:t>
      </w:r>
    </w:p>
    <w:p>
      <w:pPr>
        <w:widowControl w:val="on"/>
        <w:pBdr/>
        <w:spacing w:before="220" w:after="220" w:line="240" w:lineRule="auto"/>
        <w:ind w:left="0" w:right="0"/>
        <w:jc w:val="both"/>
      </w:pPr>
      <w:r>
        <w:rPr>
          <w:rFonts w:ascii="Calibri" w:hAnsi="Calibri" w:eastAsia="Calibri" w:cs="Calibri"/>
          <w:color w:val="000000"/>
          <w:sz w:val="22"/>
          <w:szCs w:val="22"/>
        </w:rPr>
        <w:t xml:space="preserve">Chlamydospores are produced intercalarily or terminally, occasionally laterally. They are globose and thin-walled with a size of 20-91 µm (average 46.4-60.1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are ellipsoid, spindle-shaped or elongated-ovoid with a length x width range of 25-97 x 14-34 µm and an average (length x width) of 45.6-65 x 21.2-28.3 µm. The average length: width ratio is 1.8-2.4. Generally, they have a rounded base; a tapered base is seldom. The caducous sporangia retain a short pedicel, or none, and are semipapillate with one narrow papilla.</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grow between 2 and 30 °C. The optimal temperature is 20 °C for most isolates, but in exceptional cases, it can vary between 17 and 25 °C. Isolates grow 2.5-3.5 mm in 24 h at the optimal temperature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be detected in different types of samples, e.g. plant material, water, soil or growing media. Visual inspections alone are not sufficient, because symptoms can vary between different plant species (Kliejunas, 2010), they can be visually undetectable (e.g. root infections), or they can be suppressed by the use of fungicides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water or soil (or growing media) is possible by using a bait test with rhododendron leaves (Themann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DNA-based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chlamydospores, sporangia, gametangia) in culture and the growth characteristics have to be checked and measured for an identification. An identification key (e.g. Gallegly &amp; Hong, 2008) should be used together with a comparison with the original species description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 comparison with closely related or similar species (e.g. </w:t>
      </w:r>
      <w:r>
        <w:rPr>
          <w:rFonts w:ascii="Calibri" w:hAnsi="Calibri" w:eastAsia="Calibri" w:cs="Calibri"/>
          <w:i/>
          <w:iCs/>
          <w:color w:val="000000"/>
          <w:sz w:val="22"/>
          <w:szCs w:val="22"/>
        </w:rPr>
        <w:t xml:space="preserve">P. palmivora</w:t>
      </w:r>
      <w:r>
        <w:rPr>
          <w:rFonts w:ascii="Calibri" w:hAnsi="Calibri" w:eastAsia="Calibri" w:cs="Calibri"/>
          <w:color w:val="000000"/>
          <w:sz w:val="22"/>
          <w:szCs w:val="22"/>
        </w:rPr>
        <w:t xml:space="preserve">) needs to be considered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is another option for an identification and can serve as support for a morphological identification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(EPPO, 2016). Different DNA-based methods and primer combinations are possible (EPPO, 2006;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Bilodeau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2009; Tomlinson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Martin, 2013,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presence of inhibitors in some wood (e.g. larch) can cause difficulties to DNA-based testing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provides further information and recommendations on how to detect and identify the pathogen (EPPO Standard PM 7/66, 2006 –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By releasing zoospores,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can colonize neighbouring plants via water splash (see Biology), but it can also colonize new hosts over greater distances via wind, rain, rivers or streams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Transportation by humans, for example on their shoes or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nurseries,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was found in field soil, various substrates, water sediments (e.g. in puddles, sediment runoff, water retention reservoirs), wind carried leaves, plants and plant debris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Nevertheless, an important pathway for the movement of the pathogen is the trade of infected plants or plant parts, especially on its main hosts (Běhalová, 2006; Kliejunas, 2010;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economic impacts of the disease affect forests and nurseries.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1990s and 2000s, forests in the United States and the United Kingdom have been severely affected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Brasier &amp; Webber, 2010). Around 2240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were affected in the US and 200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in the United Kingdom with millions of trees being felled (Webber, 2017;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broad host range of the pathogen aggravates the situation, because species of the understory vegetation (e.g.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are also hosts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 facilitate its establishment and survival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cascading effects, the ecological impact could be very high if some species are completely removed from ecosystems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considered that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has the potential to disrupt native ecosystems, to increase the need for chemical or biological control programs, and to threaten already endangered plant species (Cave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Nurseries in Europe and North America have also been strongly affected. In most cases, when samples from a nursery test positive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quarantine measures are implemented and host plants are destroyed. This leads to significant extra costs or a change in the plant production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fungicidal treatments can be useful for valuable plants in urban green areas. In a forest environment, the use of fungicides is usually not practical (Kliejunas, 2010). As in other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phosphonate compounds are helpful in controlling the pathogen. The treatment of a tree prior to infection is significantly more effective than after infection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2003b). Disinfection of contaminated water is possible with hydrogen peroxide, sodium hypochlorite and copper-based active ingredients (Sansford &amp; Woodhall 2007, Colburn &amp; Jeffers, 2010). Metalaxyl also eliminates the pathogen in the soil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some isolates are resistant to it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2008;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metam sodium, chloropicrin or iodomethane may also eliminate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in soils (Kliejunas, 2010). A number of other substances have also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these include: chitosan, chloropicrin, dazomet, dichloropropene with chloropicrin, film-forming polymers, iodomethane, metam sodium, phytosterols, strobilurins, surfactants and tannin (Orlikowski, 2004; Yakabe &amp; MacDonald, 2008; Stong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Elliott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biocontrol agents have also been tested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Positive effects have been obtained when using the following bacteria: </w:t>
      </w:r>
      <w:r>
        <w:rPr>
          <w:rFonts w:ascii="Calibri" w:hAnsi="Calibri" w:eastAsia="Calibri" w:cs="Calibri"/>
          <w:i/>
          <w:iCs/>
          <w:color w:val="000000"/>
          <w:sz w:val="22"/>
          <w:szCs w:val="22"/>
        </w:rPr>
        <w:t xml:space="preserve">Bacillus brevis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Bacillus subtilis, Paenibacillus subtimyxa, Pseudomonas fluorescens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Streptomyces lydicus </w:t>
      </w:r>
      <w:r>
        <w:rPr>
          <w:rFonts w:ascii="Calibri" w:hAnsi="Calibri" w:eastAsia="Calibri" w:cs="Calibri"/>
          <w:color w:val="000000"/>
          <w:sz w:val="22"/>
          <w:szCs w:val="22"/>
        </w:rPr>
        <w:t xml:space="preserve">(Cohen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Linderman &amp; Davis 2006, Elliott &amp; Shamoun 2008). Several isolates of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can parasitize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incorporation of </w:t>
      </w:r>
      <w:r>
        <w:rPr>
          <w:rFonts w:ascii="Calibri" w:hAnsi="Calibri" w:eastAsia="Calibri" w:cs="Calibri"/>
          <w:i/>
          <w:iCs/>
          <w:color w:val="000000"/>
          <w:sz w:val="22"/>
          <w:szCs w:val="22"/>
        </w:rPr>
        <w:t xml:space="preserve">Trichoderma asperellum </w:t>
      </w:r>
      <w:r>
        <w:rPr>
          <w:rFonts w:ascii="Calibri" w:hAnsi="Calibri" w:eastAsia="Calibri" w:cs="Calibri"/>
          <w:color w:val="000000"/>
          <w:sz w:val="22"/>
          <w:szCs w:val="22"/>
        </w:rPr>
        <w:t xml:space="preserve">into potting media has shown promising results (Elliott &amp; Shamoun, 2008; Widmer, 2008, 2014). </w:t>
      </w:r>
    </w:p>
    <w:p>
      <w:pPr>
        <w:widowControl w:val="on"/>
        <w:pBdr/>
        <w:spacing w:before="220" w:after="220" w:line="240" w:lineRule="auto"/>
        <w:ind w:left="0" w:right="0"/>
        <w:jc w:val="both"/>
      </w:pPr>
      <w:r>
        <w:rPr>
          <w:rFonts w:ascii="Calibri" w:hAnsi="Calibri" w:eastAsia="Calibri" w:cs="Calibri"/>
          <w:color w:val="000000"/>
          <w:sz w:val="22"/>
          <w:szCs w:val="22"/>
        </w:rPr>
        <w:t xml:space="preserve">Essential oils of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nootkatensis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have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under laboratory conditions (Manter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as well as caffeic acid, grapefruit or rice bran extract (Orlikowski, 2004; Widmer,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sterilizing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resistance to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shows some promising results. Various studies are being carried out and concern different plant species or hybrids within the broad host range of the pathogen (e.g.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2003a; Dodd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 Dobbelaere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Meshriy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presents a risk to many different environmental and ornamental shrubs and trees, in numerous habitats such as woodland, heathland, maquis, shrubland, as well as in managed gardens, parks or public greens, and nurseries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 that are particularly at risk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woodlands in North America, where the pathogen is established (i.e. California), have a Mediterranean type of climate similar to some EPPO countries. These countries are also particularly at risk, and include parts of Albania, Belgium, Bosnia and Herzegovina, Bulgaria, Croatia, France, Germany, Greece, Ireland, Italy, Montenegro, Netherlands, Portugal, Slovenia, Spain, Turkey and the United Kingdom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introduced plants should originate from a pest-free area or the areas must be found free from the pathogen after inspections, at least twice during the growing season at an appropriate time. Introduced host plants must comply with the relevant legislation and certification, such as requirements for phytosanitary certificates, a plant passport in EU countries or a scientific license if a phytosanitary certificate cannot be issued. For plants and plant products moving in trade of </w:t>
      </w:r>
      <w:r>
        <w:rPr>
          <w:rFonts w:ascii="Calibri" w:hAnsi="Calibri" w:eastAsia="Calibri" w:cs="Calibri"/>
          <w:i/>
          <w:iCs/>
          <w:color w:val="000000"/>
          <w:sz w:val="22"/>
          <w:szCs w:val="22"/>
        </w:rPr>
        <w:t xml:space="preserve">Betula, Coniferae, Castanea, Fagus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Quercus</w:t>
      </w:r>
      <w:r>
        <w:rPr>
          <w:rFonts w:ascii="Calibri" w:hAnsi="Calibri" w:eastAsia="Calibri" w:cs="Calibri"/>
          <w:color w:val="000000"/>
          <w:sz w:val="22"/>
          <w:szCs w:val="22"/>
        </w:rPr>
        <w:t xml:space="preserve">, guidance can be found in the EPPO Standards on commodity-specific phytosanitary measures (EPPO, 2017abc, 2018ab). </w:t>
      </w:r>
    </w:p>
    <w:p>
      <w:pPr>
        <w:widowControl w:val="on"/>
        <w:pBdr/>
        <w:spacing w:before="220" w:after="220" w:line="240" w:lineRule="auto"/>
        <w:ind w:left="0" w:right="0"/>
        <w:jc w:val="both"/>
      </w:pPr>
      <w:r>
        <w:rPr>
          <w:rFonts w:ascii="Calibri" w:hAnsi="Calibri" w:eastAsia="Calibri" w:cs="Calibri"/>
          <w:color w:val="000000"/>
          <w:sz w:val="22"/>
          <w:szCs w:val="22"/>
        </w:rPr>
        <w:t xml:space="preserve">To guarantee the absence of symptoms, plants from nurseries should be inspected at appropriate times. For some host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the import of plants for planting from countries outside the EPPO region is usually prohibited; for other host genera (</w:t>
      </w:r>
      <w:r>
        <w:rPr>
          <w:rFonts w:ascii="Calibri" w:hAnsi="Calibri" w:eastAsia="Calibri" w:cs="Calibri"/>
          <w:i/>
          <w:iCs/>
          <w:color w:val="000000"/>
          <w:sz w:val="22"/>
          <w:szCs w:val="22"/>
        </w:rPr>
        <w:t xml:space="preserve">Castanea, Photinia, Prunus, Rosa, Quercus</w:t>
      </w:r>
      <w:r>
        <w:rPr>
          <w:rFonts w:ascii="Calibri" w:hAnsi="Calibri" w:eastAsia="Calibri" w:cs="Calibri"/>
          <w:color w:val="000000"/>
          <w:sz w:val="22"/>
          <w:szCs w:val="22"/>
        </w:rPr>
        <w:t xml:space="preserve">) imports may only be allowed for plants that are in a dormant and/or leaf-less state. For imports of plants for planting from the USA, it is usually required that all deciduous trees and shrubs have to be dormant or free from leaves, except seeds and tissue cultures. Additional phytosanitary measures are required if the place of plant production is in the buffer zone of sporulating hosts. The buffer zone has a 10 m radius around host shrubs and 100 m around host trees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In each situation, the following elements of risk should be taken into account: scale of the outbreak, risk of further spread, conservation value of the habitat, heritage value in the case of parks or gardens and the local situation (e.g. topography, gradient).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hygienic measures such as cleaning and disinfecting shoes or machines, keeping dogs on short leashes and erecting of signs to inform the public about the measures mentioned (EPPO, 2013).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Běhalová M (2006) Surveys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Czech Republic.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393-395.</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GJ, Lévesque CA, de Cock AWAM, Duchaine C, Brière S, Uribe P, Martin FN &amp; Hamelin RC (2007) Molecular detection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by real-time polymerase chain reaction using TaqMan, SYBR Green, and molecular beacons.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(5), 632-642.</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 Pelletier G, Pelletier F, Hamelin RC &amp; Lévesque CA (2009) Multiplex real-time polymerase chain reaction (PCR) for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the causal agent of sudden oak death.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195-210.</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Kirk S (2004) Production of gametangia by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823-827.</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Webber J (2010) Sudden larch death: plant pathology. </w:t>
      </w:r>
      <w:r>
        <w:rPr>
          <w:rFonts w:ascii="Calibri" w:hAnsi="Calibri" w:eastAsia="Calibri" w:cs="Calibri"/>
          <w:i/>
          <w:iCs/>
          <w:color w:val="000000"/>
          <w:sz w:val="22"/>
          <w:szCs w:val="22"/>
        </w:rPr>
        <w:t xml:space="preserve">Nature </w:t>
      </w:r>
      <w:r>
        <w:rPr>
          <w:rFonts w:ascii="Calibri" w:hAnsi="Calibri" w:eastAsia="Calibri" w:cs="Calibri"/>
          <w:b/>
          <w:bCs/>
          <w:color w:val="000000"/>
          <w:sz w:val="22"/>
          <w:szCs w:val="22"/>
        </w:rPr>
        <w:t xml:space="preserve">466</w:t>
      </w:r>
      <w:r>
        <w:rPr>
          <w:rFonts w:ascii="Calibri" w:hAnsi="Calibri" w:eastAsia="Calibri" w:cs="Calibri"/>
          <w:color w:val="000000"/>
          <w:sz w:val="22"/>
          <w:szCs w:val="22"/>
        </w:rPr>
        <w:t xml:space="preserve">(7308), 824-825.</w:t>
      </w:r>
    </w:p>
    <w:p>
      <w:pPr>
        <w:widowControl w:val="on"/>
        <w:pBdr/>
        <w:spacing w:before="220" w:after="220" w:line="240" w:lineRule="auto"/>
        <w:ind w:left="0" w:right="0"/>
        <w:jc w:val="left"/>
      </w:pPr>
      <w:r>
        <w:rPr>
          <w:rFonts w:ascii="Calibri" w:hAnsi="Calibri" w:eastAsia="Calibri" w:cs="Calibri"/>
          <w:color w:val="000000"/>
          <w:sz w:val="22"/>
          <w:szCs w:val="22"/>
        </w:rPr>
        <w:t xml:space="preserve">Cave GL, Randall-Schadel B &amp; Redlin SC (2008) Risk analysis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Werres, de Cock &amp; Man in’t Veld, causal agent of sudden oak death, ramorum leaf blight, and ramorum dieback. US Department of Agriculture, Animal and Plant Health Inspection Service, Raleigh, NC.</w:t>
      </w:r>
    </w:p>
    <w:p>
      <w:pPr>
        <w:widowControl w:val="on"/>
        <w:pBdr/>
        <w:spacing w:before="220" w:after="220" w:line="240" w:lineRule="auto"/>
        <w:ind w:left="0" w:right="0"/>
        <w:jc w:val="left"/>
      </w:pPr>
      <w:r>
        <w:rPr>
          <w:rFonts w:ascii="Calibri" w:hAnsi="Calibri" w:eastAsia="Calibri" w:cs="Calibri"/>
          <w:color w:val="000000"/>
          <w:sz w:val="22"/>
          <w:szCs w:val="22"/>
        </w:rPr>
        <w:t xml:space="preserve">Cohen M, Condenso E, Anacker B, Rank N &amp; Mazzola M (2006) Biologically based means for control of oomycete phytopathogens. </w:t>
      </w:r>
      <w:r>
        <w:rPr>
          <w:rFonts w:ascii="Calibri" w:hAnsi="Calibri" w:eastAsia="Calibri" w:cs="Calibri"/>
          <w:i/>
          <w:iCs/>
          <w:color w:val="000000"/>
          <w:sz w:val="22"/>
          <w:szCs w:val="22"/>
        </w:rPr>
        <w:t xml:space="preserve">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California oak symposium: today’s challenges, tomorrow’s opportunities</w:t>
      </w:r>
      <w:r>
        <w:rPr>
          <w:rFonts w:ascii="Calibri" w:hAnsi="Calibri" w:eastAsia="Calibri" w:cs="Calibri"/>
          <w:color w:val="000000"/>
          <w:sz w:val="22"/>
          <w:szCs w:val="22"/>
        </w:rPr>
        <w:t xml:space="preserve">, Berkeley, University of California. https://www.fs.fed.us/psw/publications/documents/psw_gtr217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 Dobbelaere I, Heungens K &amp; Maeas M (2006) Susceptibility levels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species and hybrids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Proceedings of the Sudden Oak Death Second Science Symposium</w:t>
      </w:r>
      <w:r>
        <w:rPr>
          <w:rFonts w:ascii="Calibri" w:hAnsi="Calibri" w:eastAsia="Calibri" w:cs="Calibri"/>
          <w:color w:val="000000"/>
          <w:sz w:val="22"/>
          <w:szCs w:val="22"/>
        </w:rPr>
        <w:t xml:space="preserve">, USDA, 79-81.</w:t>
      </w:r>
    </w:p>
    <w:p>
      <w:pPr>
        <w:widowControl w:val="on"/>
        <w:pBdr/>
        <w:spacing w:before="220" w:after="220" w:line="240" w:lineRule="auto"/>
        <w:ind w:left="0" w:right="0"/>
        <w:jc w:val="left"/>
      </w:pPr>
      <w:r>
        <w:rPr>
          <w:rFonts w:ascii="Calibri" w:hAnsi="Calibri" w:eastAsia="Calibri" w:cs="Calibri"/>
          <w:color w:val="000000"/>
          <w:sz w:val="22"/>
          <w:szCs w:val="22"/>
        </w:rPr>
        <w:t xml:space="preserve">Dodd RS, Hüberli D, Douhovnikoff V, Harnik TY, Afzal-Rafii Z &amp; Garbelotto M (2005) Is variation in susceptibility to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correlated with population genetic structure in coast live oak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Phytologist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203-214.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&amp; Shamoun S (2008) In vitro testing of biological control agents on A1 and A2 isolates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Frankel SJ, Kliejunas JT &amp; Palmieri KM (2008) Proceedings of the Sudden Oak Death Third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PSW-GTR-214. US Department of Agriculture, Forest Service, Pacific Southwest Research Station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Shamoun SF &amp; Sumampong G (2015) Effects of systematic and contact fungicides on life stages and symptom expression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and in planta.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Standards PM 7/66 Diagnostics.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145-155.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Paris. </w:t>
      </w:r>
      <w:hyperlink r:id="rId648169eaa71210a5d"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 (last accessed 07/Aug/2020).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PM 8/4. Commodity-specific phytosanitary measures.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PM 8/4. Commodity-specific phytosanitary measures.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EPPO Standards PM 8/4. Commodity-specific phytosanitary measures.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Standards PM 8/2.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EPPO Standards PM 8/2. Commodity-specific phytosanitary measures.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Ojeda DI, Beauseigle S, Bilodeau GJ, Brar A, Cervantes-Arango S, Dale AL, Dhillon B, Hammett C, Herath P, Shamoun SF, Tsui CKM, Tanguay P &amp; Hamelin RC (2019) Improved detection and identification of the sudden oak death pathogen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the Port Orford cedar root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(5), 878-888.</w:t>
      </w:r>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19-25.</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Davidson JM, Ivors K, Maloney PE, Hüberli D &amp; Rizzo DM (2003a) Non-oak native plants are the main hosts for the sudden oak death pathogen in California.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(1), 18-23.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184,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Schmidt DJ, Tjosvold S &amp; Harnik TY (2003b) Chemical treatment strategies for control sudden oak death in oaks and tanoaks.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S28.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Svihra P &amp; Rizzo D (2001) New pests and diseases: sudden oak death syndrome fells 3 oak species.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9-19.</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Davis EA &amp; Linderman RG (2006) Variation in phenotype for resistance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range of species and cultivars of the genus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Sudden Oak Death Second Science Symposium: The State of our Knowledge</w:t>
      </w:r>
      <w:r>
        <w:rPr>
          <w:rFonts w:ascii="Calibri" w:hAnsi="Calibri" w:eastAsia="Calibri" w:cs="Calibri"/>
          <w:color w:val="000000"/>
          <w:sz w:val="22"/>
          <w:szCs w:val="22"/>
        </w:rPr>
        <w:t xml:space="preserve">. US Department of Agriculture, Forest Service, Pacific Southwest Research Station, 83-85.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Ivors K, Garbelotto M, Martin FN, Prospero S, Hansen E, Bonants PJM, Hamelin RC, Chastagner G, Werres S, Rizzo DM, Abad G, Beales P, Bilodeau GJ, Blomquist CL, Brasier C, Brière SC, Chandelier A, Davidson JM, Denman S, Elliott M, Frankel SJ, Goheen EM, de Gruyter H, Heungens K, James D, Kanaskie A, McWilliams MG, Man in’t Veld W, Moralejo E, Osterbauer NK, Palm ME, Parke JL, Perez Sierra AM, Shamoun SF, Shishkoff N, Tooley PW, Vettraino AM, Webber J &amp; Widmer TL (2009) Standardizing the nomenclature for clonal lineages of the sudden oak death pathogen Emergence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(7), 792-795.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LeBoldus JM &amp; Hamelin RC (2019) Ecology and evolution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301-321.</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 Sutton W, Parke J &amp; Linderman R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Oregon forest trees – one pathogen, three diseases. In: </w:t>
      </w:r>
      <w:r>
        <w:rPr>
          <w:rFonts w:ascii="Calibri" w:hAnsi="Calibri" w:eastAsia="Calibri" w:cs="Calibri"/>
          <w:i/>
          <w:iCs/>
          <w:color w:val="000000"/>
          <w:sz w:val="22"/>
          <w:szCs w:val="22"/>
        </w:rPr>
        <w:t xml:space="preserve">Sudden Oak Death Science Symposium</w:t>
      </w:r>
      <w:r>
        <w:rPr>
          <w:rFonts w:ascii="Calibri" w:hAnsi="Calibri" w:eastAsia="Calibri" w:cs="Calibri"/>
          <w:color w:val="000000"/>
          <w:sz w:val="22"/>
          <w:szCs w:val="22"/>
        </w:rPr>
        <w:t xml:space="preserve">, University of California, Monterey, USA, 78.</w:t>
      </w:r>
    </w:p>
    <w:p>
      <w:pPr>
        <w:widowControl w:val="on"/>
        <w:pBdr/>
        <w:spacing w:before="220" w:after="220" w:line="240" w:lineRule="auto"/>
        <w:ind w:left="0" w:right="0"/>
        <w:jc w:val="left"/>
      </w:pPr>
      <w:r>
        <w:rPr>
          <w:rFonts w:ascii="Calibri" w:hAnsi="Calibri" w:eastAsia="Calibri" w:cs="Calibri"/>
          <w:color w:val="000000"/>
          <w:sz w:val="22"/>
          <w:szCs w:val="22"/>
        </w:rPr>
        <w:t xml:space="preserve">Hayden KJ, Lundquist A, Schmidt DJ, Sniezko RA, Frankel S &amp; Garbelotto M (2010) Tanoak resistance: Can it be used to sustain populations?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PSW-GTR-229. US Department of Agriculture, Forest Service, Pacific Southwest Research Station 229,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KJ, Tomlinson JA. Griffin RL, Boonham N, Inman AJ &amp; Lane CR (2006) Development of a one-step real-time polymerase chain reaction assay for diagnosis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(9), 975-981.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Scanu B, Brasier CM, Webber J, Milenković I, Corcobado T, Tomšovský M, Pánek M, Bakonyi J, Maia C, Bačová A, Raco M, Rees H, Pérez-Sierra A &amp; Jung MH (2020) A survey in natural forest ecosystems of Vietnam reveals high diversity of both new and described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taxa including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93.</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Goff P, Wagner S &amp; Werres S (2016) Occurrence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 commercial nursery production. </w:t>
      </w:r>
      <w:r>
        <w:rPr>
          <w:rFonts w:ascii="Calibri" w:hAnsi="Calibri" w:eastAsia="Calibri" w:cs="Calibri"/>
          <w:i/>
          <w:iCs/>
          <w:color w:val="000000"/>
          <w:sz w:val="22"/>
          <w:szCs w:val="22"/>
        </w:rPr>
        <w:t xml:space="preserve">Plant Health Research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64-75.</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Pfaff A &amp; Werres S (2018) Validation of the bait test with rhododendron leaves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595-609.</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PSW-GTR-234.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Linderman RG &amp; Davis EA (2006) Evaluation of chemical and biological agents for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on intact plants or detached leaves of rhododendron and lilac. In: </w:t>
      </w:r>
      <w:r>
        <w:rPr>
          <w:rFonts w:ascii="Calibri" w:hAnsi="Calibri" w:eastAsia="Calibri" w:cs="Calibri"/>
          <w:i/>
          <w:iCs/>
          <w:color w:val="000000"/>
          <w:sz w:val="22"/>
          <w:szCs w:val="22"/>
        </w:rPr>
        <w:t xml:space="preserve">Proceedings of Sudden Oak Death Second Science Symposium</w:t>
      </w:r>
      <w:r>
        <w:rPr>
          <w:rFonts w:ascii="Calibri" w:hAnsi="Calibri" w:eastAsia="Calibri" w:cs="Calibri"/>
          <w:color w:val="000000"/>
          <w:sz w:val="22"/>
          <w:szCs w:val="22"/>
        </w:rPr>
        <w:t xml:space="preserve">, US Department of Agriculture, Forest Service, Pacific Southwest Research Station, 265-268.</w:t>
      </w:r>
    </w:p>
    <w:p>
      <w:pPr>
        <w:widowControl w:val="on"/>
        <w:pBdr/>
        <w:spacing w:before="220" w:after="220" w:line="240" w:lineRule="auto"/>
        <w:ind w:left="0" w:right="0"/>
        <w:jc w:val="left"/>
      </w:pPr>
      <w:r>
        <w:rPr>
          <w:rFonts w:ascii="Calibri" w:hAnsi="Calibri" w:eastAsia="Calibri" w:cs="Calibri"/>
          <w:color w:val="000000"/>
          <w:sz w:val="22"/>
          <w:szCs w:val="22"/>
        </w:rPr>
        <w:t xml:space="preserve">Manter DK, Karchesy JJ &amp; Kelsey RJ (2006) The sporicidal activity of yellow-cedar heartwood, essential oil and wood constituents towards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297-308.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(2013) Molecular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Lamour K (Ed.) (2013)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 Global Perspective. Vol. 2, CABI.</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Coffey MD, Zeller K, Hamelin RC, Tooley P, Garbelotto M, Hughes KJD, Kubisiak T, Bilodeau BJ, Levy L, Blomquist C &amp; Berger PH (2009) Evaluation of molecular markers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detection and identification: testing for specificity using a standardized library of isolates.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390-403.</w:t>
      </w:r>
    </w:p>
    <w:p>
      <w:pPr>
        <w:widowControl w:val="on"/>
        <w:pBdr/>
        <w:spacing w:before="220" w:after="220" w:line="240" w:lineRule="auto"/>
        <w:ind w:left="0" w:right="0"/>
        <w:jc w:val="left"/>
      </w:pPr>
      <w:r>
        <w:rPr>
          <w:rFonts w:ascii="Calibri" w:hAnsi="Calibri" w:eastAsia="Calibri" w:cs="Calibri"/>
          <w:color w:val="000000"/>
          <w:sz w:val="22"/>
          <w:szCs w:val="22"/>
        </w:rPr>
        <w:t xml:space="preserve">Meshriy M, Hüberli D, Harnik T, Miles L, Reuther K &amp; Garbelotto M (2006) Variation in susceptibility of </w:t>
      </w:r>
      <w:r>
        <w:rPr>
          <w:rFonts w:ascii="Calibri" w:hAnsi="Calibri" w:eastAsia="Calibri" w:cs="Calibri"/>
          <w:i/>
          <w:iCs/>
          <w:color w:val="000000"/>
          <w:sz w:val="22"/>
          <w:szCs w:val="22"/>
        </w:rPr>
        <w:t xml:space="preserve">Umbellularia californica </w:t>
      </w:r>
      <w:r>
        <w:rPr>
          <w:rFonts w:ascii="Calibri" w:hAnsi="Calibri" w:eastAsia="Calibri" w:cs="Calibri"/>
          <w:color w:val="000000"/>
          <w:sz w:val="22"/>
          <w:szCs w:val="22"/>
        </w:rPr>
        <w:t xml:space="preserve">(bay laurel)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 Proceedings of Sudden Oak Death Second Science Symposium, General Technical Report </w:t>
      </w:r>
      <w:r>
        <w:rPr>
          <w:rFonts w:ascii="Calibri" w:hAnsi="Calibri" w:eastAsia="Calibri" w:cs="Calibri"/>
          <w:color w:val="000000"/>
          <w:sz w:val="22"/>
          <w:szCs w:val="22"/>
        </w:rPr>
        <w:t xml:space="preserve">PSW-GTR-196.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US Department of Agriculture, Forest Service, Pacific Southwest Research Station 196, 87-89.</w:t>
      </w:r>
    </w:p>
    <w:p>
      <w:pPr>
        <w:widowControl w:val="on"/>
        <w:pBdr/>
        <w:spacing w:before="220" w:after="220" w:line="240" w:lineRule="auto"/>
        <w:ind w:left="0" w:right="0"/>
        <w:jc w:val="left"/>
      </w:pPr>
      <w:r>
        <w:rPr>
          <w:rFonts w:ascii="Calibri" w:hAnsi="Calibri" w:eastAsia="Calibri" w:cs="Calibri"/>
          <w:color w:val="000000"/>
          <w:sz w:val="22"/>
          <w:szCs w:val="22"/>
        </w:rPr>
        <w:t xml:space="preserve">Orlikowski LB (2004) Biological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Communications in Agricultural and Applied Biological Sciences </w:t>
      </w:r>
      <w:r>
        <w:rPr>
          <w:rFonts w:ascii="Calibri" w:hAnsi="Calibri" w:eastAsia="Calibri" w:cs="Calibri"/>
          <w:color w:val="000000"/>
          <w:sz w:val="22"/>
          <w:szCs w:val="22"/>
        </w:rPr>
        <w:t xml:space="preserve">69, 687-692.</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&amp; Lewis C (2007) Root and stem infection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from potting medium infested with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1265-1270.</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Linderman RJ &amp; Hansen EM (2002) Susceptibility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cause of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S63.</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Oh E, Voelker S, Hansen EM, Buckles G &amp; Lachenbruch B (2007)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colonizes tanoak xylem and is associated with reduced stem water transport.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1558-1567.</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Larson ER &amp; Parke JL (2019) Film-forming polymers and surfactants reduce infection and sporulation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Rizzo DM, Garbelotto M, Davidson JM, Slaughter GW &amp; Koike ST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as the cause of extensive mortality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Lithocarpus densiflorus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(3),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Inman AJ, Baker R, Frankel S, de Gruyter J, Husson C, Kehlenbeck H, Kessel G, Moralejo E, Steeghs M, Webber J &amp; Werres S (2008) Report on the risk of entry, establishment, spread and socio-economic loss and environmental impact and the appropriate level of management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for the EU. </w:t>
      </w:r>
      <w:r>
        <w:rPr>
          <w:rFonts w:ascii="Calibri" w:hAnsi="Calibri" w:eastAsia="Calibri" w:cs="Calibri"/>
          <w:i/>
          <w:iCs/>
          <w:color w:val="000000"/>
          <w:sz w:val="22"/>
          <w:szCs w:val="22"/>
        </w:rPr>
        <w:t xml:space="preserve">Deliverable Report </w:t>
      </w:r>
      <w:r>
        <w:rPr>
          <w:rFonts w:ascii="Calibri" w:hAnsi="Calibri" w:eastAsia="Calibri" w:cs="Calibri"/>
          <w:color w:val="000000"/>
          <w:sz w:val="22"/>
          <w:szCs w:val="22"/>
        </w:rPr>
        <w:t xml:space="preserve">28, EU Sixth Framework Project RAPRA. http://rapra.csl.gov.uk/</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&amp; Woodhall JW (2007) Datasheet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PPP 11824. Sand Hutton, York: Central Science Laboratory, Department of Environment, Forestry, and Rural Affairs. 43 pp. http://www.suddenoakdeath.org/pdf/pram_PRA_UK.pdf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Shikoff N (2007) Persistence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mix and roots of nursery ornamentals.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1245-1249.</w:t>
      </w:r>
    </w:p>
    <w:p>
      <w:pPr>
        <w:widowControl w:val="on"/>
        <w:pBdr/>
        <w:spacing w:before="220" w:after="220" w:line="240" w:lineRule="auto"/>
        <w:ind w:left="0" w:right="0"/>
        <w:jc w:val="left"/>
      </w:pPr>
      <w:r>
        <w:rPr>
          <w:rFonts w:ascii="Calibri" w:hAnsi="Calibri" w:eastAsia="Calibri" w:cs="Calibri"/>
          <w:color w:val="000000"/>
          <w:sz w:val="22"/>
          <w:szCs w:val="22"/>
        </w:rPr>
        <w:t xml:space="preserve">Stong RA, Kolodny E, Kelsey RG, González-Hernández MP, Vivanco JM &amp; Manter DK (2013) Effect of plant sterols tannins on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growth and sporulation.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(6), 733-743.</w:t>
      </w:r>
    </w:p>
    <w:p>
      <w:pPr>
        <w:widowControl w:val="on"/>
        <w:pBdr/>
        <w:spacing w:before="220" w:after="220" w:line="240" w:lineRule="auto"/>
        <w:ind w:left="0" w:right="0"/>
        <w:jc w:val="left"/>
      </w:pPr>
      <w:r>
        <w:rPr>
          <w:rFonts w:ascii="Calibri" w:hAnsi="Calibri" w:eastAsia="Calibri" w:cs="Calibri"/>
          <w:color w:val="000000"/>
          <w:sz w:val="22"/>
          <w:szCs w:val="22"/>
        </w:rPr>
        <w:t xml:space="preserve">Themann K, Werres S, Diener HA &amp; Lüttmann R (2002) Comparison of different methods of detecting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recycling water from nurseries.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41-50.</w:t>
      </w:r>
    </w:p>
    <w:p>
      <w:pPr>
        <w:widowControl w:val="on"/>
        <w:pBdr/>
        <w:spacing w:before="220" w:after="220" w:line="240" w:lineRule="auto"/>
        <w:ind w:left="0" w:right="0"/>
        <w:jc w:val="left"/>
      </w:pPr>
      <w:r>
        <w:rPr>
          <w:rFonts w:ascii="Calibri" w:hAnsi="Calibri" w:eastAsia="Calibri" w:cs="Calibri"/>
          <w:color w:val="000000"/>
          <w:sz w:val="22"/>
          <w:szCs w:val="22"/>
        </w:rPr>
        <w:t xml:space="preserve">Tomlinson JA, Barker I &amp; Boonham N (2007) Faster, simpler, more-specific methods for improved molecular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(12), 4040-4047.</w:t>
      </w:r>
    </w:p>
    <w:p>
      <w:pPr>
        <w:widowControl w:val="on"/>
        <w:pBdr/>
        <w:spacing w:before="220" w:after="220" w:line="240" w:lineRule="auto"/>
        <w:ind w:left="0" w:right="0"/>
        <w:jc w:val="left"/>
      </w:pPr>
      <w:r>
        <w:rPr>
          <w:rFonts w:ascii="Calibri" w:hAnsi="Calibri" w:eastAsia="Calibri" w:cs="Calibri"/>
          <w:color w:val="000000"/>
          <w:sz w:val="22"/>
          <w:szCs w:val="22"/>
        </w:rPr>
        <w:t xml:space="preserve">Tooley PW, Browning M &amp; Berner D (2008) Recovery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following exposure to temperate extremes.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431-437.</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McDonough S, Liddell D &amp; Stonehouse J (2006) Chemical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causing foliar disease in hardy nursery stock in the United Kingdom. In: </w:t>
      </w:r>
      <w:r>
        <w:rPr>
          <w:rFonts w:ascii="Calibri" w:hAnsi="Calibri" w:eastAsia="Calibri" w:cs="Calibri"/>
          <w:i/>
          <w:iCs/>
          <w:color w:val="000000"/>
          <w:sz w:val="22"/>
          <w:szCs w:val="22"/>
        </w:rPr>
        <w:t xml:space="preserve">Proceedings of the Sudden Oak Death Second Science Symposium</w:t>
      </w:r>
      <w:r>
        <w:rPr>
          <w:rFonts w:ascii="Calibri" w:hAnsi="Calibri" w:eastAsia="Calibri" w:cs="Calibri"/>
          <w:color w:val="000000"/>
          <w:sz w:val="22"/>
          <w:szCs w:val="22"/>
        </w:rPr>
        <w:t xml:space="preserve">, US Department of Agriculture, Forest Service, Pacific Southwest Research Station,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Werres S &amp; Wagner S (2008) Report on response of 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exposed to fungicides commonly used to control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 in nurseries. </w:t>
      </w:r>
      <w:r>
        <w:rPr>
          <w:rFonts w:ascii="Calibri" w:hAnsi="Calibri" w:eastAsia="Calibri" w:cs="Calibri"/>
          <w:i/>
          <w:iCs/>
          <w:color w:val="000000"/>
          <w:sz w:val="22"/>
          <w:szCs w:val="22"/>
        </w:rPr>
        <w:t xml:space="preserve">Deliverable Report 5, Sand Hutton, York, UK, Forest Research, Central Sciences Laboratory. EU Sixth Framework Project, RAPRA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Van Poucke K, Franceschini S, Webber JF, Vercauteren A, Turner JA, McCracken AR, Heungens K &amp; Brasier CM (2012) Discovery of a fourth evolutionary lineage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EU2. </w:t>
      </w:r>
      <w:r>
        <w:rPr>
          <w:rFonts w:ascii="Calibri" w:hAnsi="Calibri" w:eastAsia="Calibri" w:cs="Calibri"/>
          <w:i/>
          <w:iCs/>
          <w:color w:val="000000"/>
          <w:sz w:val="22"/>
          <w:szCs w:val="22"/>
        </w:rPr>
        <w:t xml:space="preserve">Fungal Biology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 1178-1191.</w:t>
      </w:r>
    </w:p>
    <w:p>
      <w:pPr>
        <w:widowControl w:val="on"/>
        <w:pBdr/>
        <w:spacing w:before="220" w:after="220" w:line="240" w:lineRule="auto"/>
        <w:ind w:left="0" w:right="0"/>
        <w:jc w:val="left"/>
      </w:pPr>
      <w:r>
        <w:rPr>
          <w:rFonts w:ascii="Calibri" w:hAnsi="Calibri" w:eastAsia="Calibri" w:cs="Calibri"/>
          <w:color w:val="000000"/>
          <w:sz w:val="22"/>
          <w:szCs w:val="22"/>
        </w:rPr>
        <w:t xml:space="preserve">Vélez ML, La Manna L, Tarabini M, Gomez F, Elliott M, Hedley PE, Cock P, Greslebin A (2020) </w:t>
      </w:r>
      <w:r>
        <w:rPr>
          <w:rFonts w:ascii="Calibri" w:hAnsi="Calibri" w:eastAsia="Calibri" w:cs="Calibri"/>
          <w:i/>
          <w:iCs/>
          <w:color w:val="000000"/>
          <w:sz w:val="22"/>
          <w:szCs w:val="22"/>
        </w:rPr>
        <w:t xml:space="preserve">Phytophthora austrocedri</w:t>
      </w:r>
      <w:r>
        <w:rPr>
          <w:rFonts w:ascii="Calibri" w:hAnsi="Calibri" w:eastAsia="Calibri" w:cs="Calibri"/>
          <w:color w:val="000000"/>
          <w:sz w:val="22"/>
          <w:szCs w:val="22"/>
        </w:rPr>
        <w:t xml:space="preserve"> in Argentina and co-inhabiting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roles of anthropogenic and abiotic factors in species distribution and diversity.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 1223. </w:t>
      </w:r>
      <w:hyperlink r:id="rId564969eaa71212510" w:history="1">
        <w:r>
          <w:rPr>
            <w:rFonts w:ascii="Calibri" w:hAnsi="Calibri" w:eastAsia="Calibri" w:cs="Calibri"/>
            <w:color w:val="0000CC"/>
            <w:sz w:val="22"/>
            <w:szCs w:val="22"/>
            <w:u w:val="single"/>
          </w:rPr>
          <w:t xml:space="preserve">https://doi.org/10.3390/f11111223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Sukno S, Vannini A &amp; Garbelotto M (2010) Diagnostic sensitivity and specificity of different methods used by two laboratories for the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on multiple natural hosts.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289-300.</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Keitz WV &amp; Werres S (2006) Influence of Metalaxyl-M on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Third International IUFRO Working Party (S07.02.09) Meeting: Progress in Research on Phytophthora Diseases of Forest Trees</w:t>
      </w:r>
      <w:r>
        <w:rPr>
          <w:rFonts w:ascii="Calibri" w:hAnsi="Calibri" w:eastAsia="Calibri" w:cs="Calibri"/>
          <w:color w:val="000000"/>
          <w:sz w:val="22"/>
          <w:szCs w:val="22"/>
        </w:rPr>
        <w:t xml:space="preserve">, Farnham, UK.</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&amp; Werres S (2008) Evaluation of fungicides for control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481-482.</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(2017)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update on the impact and wider consequences of the epidemic in Britain. In: </w:t>
      </w:r>
      <w:r>
        <w:rPr>
          <w:rFonts w:ascii="Calibri" w:hAnsi="Calibri" w:eastAsia="Calibri" w:cs="Calibri"/>
          <w:i/>
          <w:iCs/>
          <w:color w:val="000000"/>
          <w:sz w:val="22"/>
          <w:szCs w:val="22"/>
        </w:rPr>
        <w:t xml:space="preserve">Proceedings of the Sudden Oak Death Second Science Symposium, General Technical Report </w:t>
      </w:r>
      <w:r>
        <w:rPr>
          <w:rFonts w:ascii="Calibri" w:hAnsi="Calibri" w:eastAsia="Calibri" w:cs="Calibri"/>
          <w:color w:val="000000"/>
          <w:sz w:val="22"/>
          <w:szCs w:val="22"/>
        </w:rPr>
        <w:t xml:space="preserve">PSW-GTR-255. US Department of Agriculture, Forest Service, Pacific Southwest Research Station 255, 4-6.</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Mullet M &amp; Brasier CM (2010) Dieback and mortality of plantation Japanese larch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associated with infection by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Disease Reports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Marwitz R, Man in’t Veld WA, De Cock AWAM, Bonants PJM, De Weerdt M, Themann K, Ilieva E &amp; Baayen RP (2001)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sp. nov., a new pathogen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(10), 1155-1165.</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 (2008) Investigating the potential of biological control against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491.</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TL (2014) Screening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species for biological control activity against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w:t>
      </w:r>
      <w:r>
        <w:rPr>
          <w:rFonts w:ascii="Calibri" w:hAnsi="Calibri" w:eastAsia="Calibri" w:cs="Calibri"/>
          <w:i/>
          <w:iCs/>
          <w:color w:val="000000"/>
          <w:sz w:val="22"/>
          <w:szCs w:val="22"/>
        </w:rPr>
        <w:t xml:space="preserve">Biological Control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Wong B, Leal I, Feau N, Dale A, Uzunovic A &amp; Hamelin RC (2020) Molecular assays to detect the presence and viability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Grosmannia clavigera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e0221742.</w:t>
      </w:r>
    </w:p>
    <w:p>
      <w:pPr>
        <w:widowControl w:val="on"/>
        <w:pBdr/>
        <w:spacing w:before="220" w:after="220" w:line="240" w:lineRule="auto"/>
        <w:ind w:left="0" w:right="0"/>
        <w:jc w:val="left"/>
      </w:pPr>
      <w:r>
        <w:rPr>
          <w:rFonts w:ascii="Calibri" w:hAnsi="Calibri" w:eastAsia="Calibri" w:cs="Calibri"/>
          <w:color w:val="000000"/>
          <w:sz w:val="22"/>
          <w:szCs w:val="22"/>
        </w:rPr>
        <w:t xml:space="preserve">Yakabe LE &amp; MacDonald JD (2008) Soil treatments for the elimination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from nursery beds: current knowledge from the laboratory and the field.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113-114.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Janett Riebesehl (Julius Kühn Institute, Federal Research Centre for Cultivated Plants, Institute for Plant Protection in Horticulture and Forests, Braunschweig, Germany).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EPPO datasheets on pests recommended for regulation. Available online. </w:t>
      </w:r>
      <w:hyperlink r:id="rId460169eaa71212bc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0511732" name="name654669eaa71212f7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9069eaa71212f6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516616">
    <w:multiLevelType w:val="hybridMultilevel"/>
    <w:lvl w:ilvl="0" w:tplc="23073988">
      <w:start w:val="1"/>
      <w:numFmt w:val="decimal"/>
      <w:lvlText w:val="%1."/>
      <w:lvlJc w:val="left"/>
      <w:pPr>
        <w:ind w:left="720" w:hanging="360"/>
      </w:pPr>
    </w:lvl>
    <w:lvl w:ilvl="1" w:tplc="23073988" w:tentative="1">
      <w:start w:val="1"/>
      <w:numFmt w:val="lowerLetter"/>
      <w:lvlText w:val="%2."/>
      <w:lvlJc w:val="left"/>
      <w:pPr>
        <w:ind w:left="1440" w:hanging="360"/>
      </w:pPr>
    </w:lvl>
    <w:lvl w:ilvl="2" w:tplc="23073988" w:tentative="1">
      <w:start w:val="1"/>
      <w:numFmt w:val="lowerRoman"/>
      <w:lvlText w:val="%3."/>
      <w:lvlJc w:val="right"/>
      <w:pPr>
        <w:ind w:left="2160" w:hanging="180"/>
      </w:pPr>
    </w:lvl>
    <w:lvl w:ilvl="3" w:tplc="23073988" w:tentative="1">
      <w:start w:val="1"/>
      <w:numFmt w:val="decimal"/>
      <w:lvlText w:val="%4."/>
      <w:lvlJc w:val="left"/>
      <w:pPr>
        <w:ind w:left="2880" w:hanging="360"/>
      </w:pPr>
    </w:lvl>
    <w:lvl w:ilvl="4" w:tplc="23073988" w:tentative="1">
      <w:start w:val="1"/>
      <w:numFmt w:val="lowerLetter"/>
      <w:lvlText w:val="%5."/>
      <w:lvlJc w:val="left"/>
      <w:pPr>
        <w:ind w:left="3600" w:hanging="360"/>
      </w:pPr>
    </w:lvl>
    <w:lvl w:ilvl="5" w:tplc="23073988" w:tentative="1">
      <w:start w:val="1"/>
      <w:numFmt w:val="lowerRoman"/>
      <w:lvlText w:val="%6."/>
      <w:lvlJc w:val="right"/>
      <w:pPr>
        <w:ind w:left="4320" w:hanging="180"/>
      </w:pPr>
    </w:lvl>
    <w:lvl w:ilvl="6" w:tplc="23073988" w:tentative="1">
      <w:start w:val="1"/>
      <w:numFmt w:val="decimal"/>
      <w:lvlText w:val="%7."/>
      <w:lvlJc w:val="left"/>
      <w:pPr>
        <w:ind w:left="5040" w:hanging="360"/>
      </w:pPr>
    </w:lvl>
    <w:lvl w:ilvl="7" w:tplc="23073988" w:tentative="1">
      <w:start w:val="1"/>
      <w:numFmt w:val="lowerLetter"/>
      <w:lvlText w:val="%8."/>
      <w:lvlJc w:val="left"/>
      <w:pPr>
        <w:ind w:left="5760" w:hanging="360"/>
      </w:pPr>
    </w:lvl>
    <w:lvl w:ilvl="8" w:tplc="23073988" w:tentative="1">
      <w:start w:val="1"/>
      <w:numFmt w:val="lowerRoman"/>
      <w:lvlText w:val="%9."/>
      <w:lvlJc w:val="right"/>
      <w:pPr>
        <w:ind w:left="6480" w:hanging="180"/>
      </w:pPr>
    </w:lvl>
  </w:abstractNum>
  <w:abstractNum w:abstractNumId="92516615">
    <w:multiLevelType w:val="hybridMultilevel"/>
    <w:lvl w:ilvl="0" w:tplc="308845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516615">
    <w:abstractNumId w:val="92516615"/>
  </w:num>
  <w:num w:numId="92516616">
    <w:abstractNumId w:val="925166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6781469" Type="http://schemas.microsoft.com/office/2011/relationships/commentsExtended" Target="commentsExtended.xml"/><Relationship Id="rId289584881" Type="http://schemas.microsoft.com/office/2011/relationships/people" Target="people.xml"/><Relationship Id="rId431669eaa7120b2d4" Type="http://schemas.openxmlformats.org/officeDocument/2006/relationships/hyperlink" Target="https://gd.eppo.int/taxon/PHYTRA/" TargetMode="External"/><Relationship Id="rId686369eaa7120b342" Type="http://schemas.openxmlformats.org/officeDocument/2006/relationships/hyperlink" Target="https://gd.eppo.int/taxon/PHYTRA/categorization" TargetMode="External"/><Relationship Id="rId359169eaa7120b562" Type="http://schemas.openxmlformats.org/officeDocument/2006/relationships/hyperlink" Target="https://gd.eppo.int/taxon/PHYTRA/photos" TargetMode="External"/><Relationship Id="rId648169eaa71210a5d" Type="http://schemas.openxmlformats.org/officeDocument/2006/relationships/hyperlink" Target="https://gd.eppo.int/taxon/PHYTRA/documents" TargetMode="External"/><Relationship Id="rId564969eaa71212510" Type="http://schemas.openxmlformats.org/officeDocument/2006/relationships/hyperlink" Target="https://doi.org/10.3390/f11111223" TargetMode="External"/><Relationship Id="rId460169eaa71212bc9" Type="http://schemas.openxmlformats.org/officeDocument/2006/relationships/hyperlink" Target="https://gd.eppo.int" TargetMode="External"/><Relationship Id="rId347269eaa7120b443" Type="http://schemas.openxmlformats.org/officeDocument/2006/relationships/image" Target="media/imgrId347269eaa7120b443.jpg"/><Relationship Id="rId892869eaa7120e605" Type="http://schemas.openxmlformats.org/officeDocument/2006/relationships/image" Target="media/imgrId892869eaa7120e605.jpg"/><Relationship Id="rId679069eaa71212f6e" Type="http://schemas.openxmlformats.org/officeDocument/2006/relationships/image" Target="media/imgrId679069eaa71212f6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