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kernoviae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kernoviae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Brasier, Beales &amp; S.A. Kirk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hyperlink r:id="rId623566985dc8c767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35566985dc8c76b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PHYTKE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783564" name="name436566985dc8c7dda" descr="3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2.jpg"/>
                          <pic:cNvPicPr/>
                        </pic:nvPicPr>
                        <pic:blipFill>
                          <a:blip r:embed="rId196866985dc8c7dd8" cstate="print"/>
                          <a:stretch>
                            <a:fillRect/>
                          </a:stretch>
                        </pic:blipFill>
                        <pic:spPr>
                          <a:xfrm>
                            <a:off x="0" y="0"/>
                            <a:ext cx="2160000" cy="1281600"/>
                          </a:xfrm>
                          <a:prstGeom prst="rect">
                            <a:avLst/>
                          </a:prstGeom>
                          <a:ln w="0">
                            <a:noFill/>
                          </a:ln>
                        </pic:spPr>
                      </pic:pic>
                    </a:graphicData>
                  </a:graphic>
                </wp:inline>
              </w:drawing>
            </w:r>
            <w:hyperlink r:id="rId329766985dc8c7f5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was first described as a new species in 2005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It was previously known informally as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taxon C and as </w:t>
      </w:r>
      <w:r>
        <w:rPr>
          <w:rFonts w:ascii="Calibri" w:hAnsi="Calibri" w:eastAsia="Calibri" w:cs="Calibri"/>
          <w:i/>
          <w:iCs/>
          <w:color w:val="000000"/>
          <w:sz w:val="22"/>
          <w:szCs w:val="22"/>
        </w:rPr>
        <w:t xml:space="preserve">Phytophthora kernovii</w:t>
      </w:r>
      <w:r>
        <w:rPr>
          <w:rFonts w:ascii="Calibri" w:hAnsi="Calibri" w:eastAsia="Calibri" w:cs="Calibri"/>
          <w:color w:val="000000"/>
          <w:sz w:val="22"/>
          <w:szCs w:val="22"/>
        </w:rPr>
        <w:t xml:space="preserve"> (Anon., undated). Phylogenetically it is in clade 10b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it resides in Waterhouse Group II (Blair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Abad, undated).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was first detected in 2003 during surveys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South-West England. It was causing a large bleeding stem lesion on a beech tree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as well as foliar and stem necrosis on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in woodland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Subsequently it was also found in the wider environment causing leaf and stem symptoms on bilberry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(Beales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the United Kingdom and Ireland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(typically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is the primary host for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bilberry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is also a primary host especially in South-West England. Findings have also been made on a wider range of ornamental hosts outside of woodlands in gardens and nurseries in the UK and Ireland, especially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(Forest Research, 2022a). Cherimoya or custard apple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was also reported as a host in New Zealand (Anon., 2008) as well as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(radiata pine) (Dick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Agathis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Drimys winteri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Gevuina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fontanesiana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Lomatia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sargentiana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sprengeri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brooklynensis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Podocarpus salignus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Sequoiadendron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present in the United Kingdom (England, Scotland and Wales), Ireland, New Zealand, Argentina and Chile.</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was first found in 2003 as an unidentified new species in the South-West of England during surveys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is mostly found in South-West England (Devon and Cornwall) but there have been findings across the United Kingdom (with the exception of Northern Ireland where it has not been found) (EPPO, 2009; Forest Research, 2022a); it has also been found in the Republic of Ireland (EPPO, 2010). These are the only countries in Europe where the pathogen has been found. It is considered to have been introduced to the United Kingdom and Ireland via the nursery trade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was first found in New Zealand in 2005 by DNA sequencing of an isolate obtained from rotting fruit of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in an abandoned orchard in Northland (North Island) in 2002. Subsequent studies suggest the organism has been present in New Zealand since at least 1953 and is relatively widespread in the North Island, in soil in native forests or recently converted native forests. The earliest record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New Zealand is now considered to be from soil under symptomless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(radiata pine) sampled in the 1950s, the so-called ‘Tokoroa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(Ramsfield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symptomatic fallen leaves of </w:t>
      </w:r>
      <w:r>
        <w:rPr>
          <w:rFonts w:ascii="Calibri" w:hAnsi="Calibri" w:eastAsia="Calibri" w:cs="Calibri"/>
          <w:i/>
          <w:iCs/>
          <w:color w:val="000000"/>
          <w:sz w:val="22"/>
          <w:szCs w:val="22"/>
        </w:rPr>
        <w:t xml:space="preserve">Drimys winterii</w:t>
      </w:r>
      <w:r>
        <w:rPr>
          <w:rFonts w:ascii="Calibri" w:hAnsi="Calibri" w:eastAsia="Calibri" w:cs="Calibri"/>
          <w:color w:val="000000"/>
          <w:sz w:val="22"/>
          <w:szCs w:val="22"/>
        </w:rPr>
        <w:t xml:space="preserve"> in a native evergreen forest in Southern Chile were found to be infected </w:t>
      </w:r>
      <w:r>
        <w:rPr>
          <w:rFonts w:ascii="Calibri" w:hAnsi="Calibri" w:eastAsia="Calibri" w:cs="Calibri"/>
          <w:i/>
          <w:iCs/>
          <w:color w:val="000000"/>
          <w:sz w:val="22"/>
          <w:szCs w:val="22"/>
        </w:rPr>
        <w:t xml:space="preserve">with P. kernoviae</w:t>
      </w:r>
      <w:r>
        <w:rPr>
          <w:rFonts w:ascii="Calibri" w:hAnsi="Calibri" w:eastAsia="Calibri" w:cs="Calibri"/>
          <w:color w:val="000000"/>
          <w:sz w:val="22"/>
          <w:szCs w:val="22"/>
        </w:rPr>
        <w:t xml:space="preserve"> in 2012 (Sanfuentes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was later found in soil and water samples from the Valdividian rain forest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color w:val="000000"/>
          <w:sz w:val="22"/>
          <w:szCs w:val="22"/>
        </w:rPr>
        <w:t xml:space="preserve">
The geographical origins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are still debated.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investigations showed that it grows best on carrot agar at around 18°C with an upper limit for growth of 26°C, this suggests it is adapted to a temperate climate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The reports from New Zealand and Chile and reports on southern hemisphere hosts in the United Kingdom (</w:t>
      </w:r>
      <w:r>
        <w:rPr>
          <w:rFonts w:ascii="Calibri" w:hAnsi="Calibri" w:eastAsia="Calibri" w:cs="Calibri"/>
          <w:i/>
          <w:iCs/>
          <w:color w:val="000000"/>
          <w:sz w:val="22"/>
          <w:szCs w:val="22"/>
        </w:rPr>
        <w:t xml:space="preserve">Podocarpus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Drimys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Gevuina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suggest a possible southern hemisphere origin for this species (Forest Research, 2022a).
</w:t>
      </w:r>
      <w:r>
        <w:drawing>
          <wp:inline distT="0" distB="0" distL="0" distR="0">
            <wp:extent cx="6120000" cy="3067200"/>
            <wp:docPr id="64891856" name="name355066985dc8c972b" descr="PHYTK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KE_distribution_map.jpg"/>
                    <pic:cNvPicPr/>
                  </pic:nvPicPr>
                  <pic:blipFill>
                    <a:blip r:embed="rId491766985dc8c972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Ireland, United Kingdom (England, Scotland, Wales)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produces sporangia on some, but not all infected hosts. These contain motile infective zoospores. The sporangia are caducous (deciduous and detached primarily by water); this aids dispersal from the aerial parts of infected plants. Local spread is by water splash (sporangia/zoospores) whereas longer distance spread of sporangia may involve some wind assistance e.g. wind-blown mists or wind-driven rain (Sansford, 2008). Once alighted on a host, under suitably moist conditions, each sporangium releases the swimming zoospores, which penetrate susceptible host material. Infection is more likely via wounds or natural openings such as stomata and lenticels. The organism then grows through the infected tissue, killing plant cells in its path, and eventually resulting in symptoms of disease. Under suitable conditions, asexual reproduction then takes place and new sporangia are produced thus completing the lifecycle of the pathogen (Anon., undated).</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that trees such as beech (</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do not produce inoculum from bleeding cankers and are likely to have become infected from nearby sporulating hosts, particularly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which is invasive in woodlands in the United Kingdom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is an important host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as it is highly susceptible to infection and supports abundant sporulation (Webber, 2009). Infection of bilberry (</w:t>
      </w:r>
      <w:r>
        <w:rPr>
          <w:rFonts w:ascii="Calibri" w:hAnsi="Calibri" w:eastAsia="Calibri" w:cs="Calibri"/>
          <w:i/>
          <w:iCs/>
          <w:color w:val="000000"/>
          <w:sz w:val="22"/>
          <w:szCs w:val="22"/>
        </w:rPr>
        <w:t xml:space="preserve">V</w:t>
      </w:r>
      <w:r>
        <w:rPr>
          <w:rFonts w:ascii="Calibri" w:hAnsi="Calibri" w:eastAsia="Calibri" w:cs="Calibri"/>
          <w:i/>
          <w:iCs/>
          <w:color w:val="000000"/>
          <w:sz w:val="22"/>
          <w:szCs w:val="22"/>
        </w:rPr>
        <w:t xml:space="preserve">. myrtillus</w:t>
      </w:r>
      <w:r>
        <w:rPr>
          <w:rFonts w:ascii="Calibri" w:hAnsi="Calibri" w:eastAsia="Calibri" w:cs="Calibri"/>
          <w:color w:val="000000"/>
          <w:sz w:val="22"/>
          <w:szCs w:val="22"/>
        </w:rPr>
        <w:t xml:space="preserve">) in heathlands in South-West England can take place all year-round under prolonged conditions of high humidity (Fera, 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has not been found to produce chlamydospores which are the survival structures for many other species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However, it has been found to produce oospores, the product of sexual reproduction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it is known to be homothallic (able to reproduce sexually without an opposite mating type).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found oospores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leaf discs of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used as baits for detecting the pathogen and in several artificially-inoculated roots, these may facilitate long-term survival of the pathogen. They also detected an oogonium (a female gametangium) in one naturally-infected leaf of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Asymptomatic root infection was detected in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and it was surmised that infected leaves and stems that drop to form leaf litter may serve as primary inoculum for infection of roots. These roots have the potential to yield sporangia leading to infection of above-ground plant parts or of other roots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20" w:after="220" w:line="240" w:lineRule="auto"/>
        <w:ind w:left="0" w:right="0"/>
        <w:jc w:val="both"/>
      </w:pPr>
      <w:r>
        <w:rPr>
          <w:rFonts w:ascii="Calibri" w:hAnsi="Calibri" w:eastAsia="Calibri" w:cs="Calibri"/>
          <w:color w:val="000000"/>
          <w:sz w:val="22"/>
          <w:szCs w:val="22"/>
        </w:rPr>
        <w:t xml:space="preserve">Widmer (2011) reported that oospores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persisted in infested sand for 1 year at various temperatures, up to 30°C. Field studies on the longevity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the natural environment have shown the pathogen to survive for at least 3 years in leaf litter and soil after removal of infected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(Webber, 2009).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with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causes a diverse range of symptoms which are described in the EPPO Diagnostic Protocol (EPPO, 2013a). A summary of the main symptoms was given more recently by Forest Research, (2022a).</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Bleeding cankers on the trunks of beech (</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The pathogen kills extensive areas of inner bark, often extending 10 metres or more up the stem. This necrotic zone oozes a black, sticky fluid, forming so-called ‘</w:t>
      </w:r>
      <w:r>
        <w:rPr>
          <w:rFonts w:ascii="Calibri" w:hAnsi="Calibri" w:eastAsia="Calibri" w:cs="Calibri"/>
          <w:i/>
          <w:iCs/>
          <w:color w:val="000000"/>
          <w:sz w:val="22"/>
          <w:szCs w:val="22"/>
        </w:rPr>
        <w:t xml:space="preserve">bleeding cankers’</w:t>
      </w:r>
      <w:r>
        <w:rPr>
          <w:rFonts w:ascii="Calibri" w:hAnsi="Calibri" w:eastAsia="Calibri" w:cs="Calibri"/>
          <w:color w:val="000000"/>
          <w:sz w:val="22"/>
          <w:szCs w:val="22"/>
        </w:rPr>
        <w:t xml:space="preserve">. These have also been found on oak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w:t>
      </w:r>
      <w:r>
        <w:rPr>
          <w:rFonts w:ascii="Calibri" w:hAnsi="Calibri" w:eastAsia="Calibri" w:cs="Calibri"/>
          <w:color w:val="000000"/>
          <w:sz w:val="22"/>
          <w:szCs w:val="22"/>
        </w:rPr>
        <w:br/>
        <w:t xml:space="preserve">- Leaf necrosis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On rhododendron leaves there is also often blackening down the mid-vein and stalk</w:t>
      </w:r>
      <w:r>
        <w:rPr>
          <w:rFonts w:ascii="Calibri" w:hAnsi="Calibri" w:eastAsia="Calibri" w:cs="Calibri"/>
          <w:color w:val="000000"/>
          <w:sz w:val="22"/>
          <w:szCs w:val="22"/>
        </w:rPr>
        <w:br/>
        <w:t xml:space="preserve">- Extensive dieback of bilberry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including stem blackening and necrotic leaves which are quickly shed</w:t>
      </w:r>
      <w:r>
        <w:rPr>
          <w:rFonts w:ascii="Calibri" w:hAnsi="Calibri" w:eastAsia="Calibri" w:cs="Calibri"/>
          <w:color w:val="000000"/>
          <w:sz w:val="22"/>
          <w:szCs w:val="22"/>
        </w:rPr>
        <w:br/>
        <w:t xml:space="preserve">- Leaf spot, bud blast and blossom blight on </w:t>
      </w:r>
      <w:r>
        <w:rPr>
          <w:rFonts w:ascii="Calibri" w:hAnsi="Calibri" w:eastAsia="Calibri" w:cs="Calibri"/>
          <w:i/>
          <w:iCs/>
          <w:color w:val="000000"/>
          <w:sz w:val="22"/>
          <w:szCs w:val="22"/>
        </w:rPr>
        <w:t xml:space="preserve">Magnolia</w:t>
      </w:r>
      <w:r>
        <w:rPr>
          <w:rFonts w:ascii="Calibri" w:hAnsi="Calibri" w:eastAsia="Calibri" w:cs="Calibri"/>
          <w:i/>
          <w:iCs/>
          <w:color w:val="000000"/>
          <w:sz w:val="22"/>
          <w:szCs w:val="22"/>
        </w:rPr>
        <w:br/>
        <w:t xml:space="preserve">- </w:t>
      </w:r>
      <w:r>
        <w:rPr>
          <w:rFonts w:ascii="Calibri" w:hAnsi="Calibri" w:eastAsia="Calibri" w:cs="Calibri"/>
          <w:color w:val="000000"/>
          <w:sz w:val="22"/>
          <w:szCs w:val="22"/>
        </w:rPr>
        <w:t xml:space="preserve">Leaf necrosis on a range of other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a homothallic species (self-fertile) and it does not produce chlamydospores.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published its description as follows:</w:t>
      </w:r>
    </w:p>
    <w:p>
      <w:pPr>
        <w:widowControl w:val="on"/>
        <w:pBdr/>
        <w:spacing w:before="220" w:after="220" w:line="240" w:lineRule="auto"/>
        <w:ind w:left="0" w:right="0"/>
        <w:jc w:val="both"/>
      </w:pPr>
      <w:r>
        <w:rPr>
          <w:rFonts w:ascii="Calibri" w:hAnsi="Calibri" w:eastAsia="Calibri" w:cs="Calibri"/>
          <w:color w:val="000000"/>
          <w:sz w:val="22"/>
          <w:szCs w:val="22"/>
        </w:rPr>
        <w:t xml:space="preserve">Oogonia diameter (range of means of 4 isolates) 23.5–25.5 µm, common range </w:t>
      </w:r>
      <w:r>
        <w:rPr>
          <w:rFonts w:ascii="Calibri" w:hAnsi="Calibri" w:eastAsia="Calibri" w:cs="Calibri"/>
          <w:i/>
          <w:iCs/>
          <w:color w:val="000000"/>
          <w:sz w:val="22"/>
          <w:szCs w:val="22"/>
        </w:rPr>
        <w:t xml:space="preserve">ca </w:t>
      </w:r>
      <w:r>
        <w:rPr>
          <w:rFonts w:ascii="Calibri" w:hAnsi="Calibri" w:eastAsia="Calibri" w:cs="Calibri"/>
          <w:color w:val="000000"/>
          <w:sz w:val="22"/>
          <w:szCs w:val="22"/>
        </w:rPr>
        <w:t xml:space="preserve">21–28 µm; often with tapered stalks.</w:t>
      </w:r>
    </w:p>
    <w:p>
      <w:pPr>
        <w:widowControl w:val="on"/>
        <w:pBdr/>
        <w:spacing w:before="220" w:after="220" w:line="240" w:lineRule="auto"/>
        <w:ind w:left="0" w:right="0"/>
        <w:jc w:val="both"/>
      </w:pPr>
      <w:r>
        <w:rPr>
          <w:rFonts w:ascii="Calibri" w:hAnsi="Calibri" w:eastAsia="Calibri" w:cs="Calibri"/>
          <w:color w:val="000000"/>
          <w:sz w:val="22"/>
          <w:szCs w:val="22"/>
        </w:rPr>
        <w:t xml:space="preserve">Antheridia amphigynous. Antheridial length x width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11.5–12.5 x 10–10.5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10–14 x 9–12 µm.</w:t>
      </w:r>
    </w:p>
    <w:p>
      <w:pPr>
        <w:widowControl w:val="on"/>
        <w:pBdr/>
        <w:spacing w:before="220" w:after="220" w:line="240" w:lineRule="auto"/>
        <w:ind w:left="0" w:right="0"/>
        <w:jc w:val="both"/>
      </w:pPr>
      <w:r>
        <w:rPr>
          <w:rFonts w:ascii="Calibri" w:hAnsi="Calibri" w:eastAsia="Calibri" w:cs="Calibri"/>
          <w:color w:val="000000"/>
          <w:sz w:val="22"/>
          <w:szCs w:val="22"/>
        </w:rPr>
        <w:t xml:space="preserve">Oospores plerotic, diameter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21.1–22.5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19–25 µm.</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borne on sympodial sporangiophores. Papillate, caducous, from regular ovoid or limoniform to distinctly asymmetrical or ‘</w:t>
      </w:r>
      <w:r>
        <w:rPr>
          <w:rFonts w:ascii="Calibri" w:hAnsi="Calibri" w:eastAsia="Calibri" w:cs="Calibri"/>
          <w:i/>
          <w:iCs/>
          <w:color w:val="000000"/>
          <w:sz w:val="22"/>
          <w:szCs w:val="22"/>
        </w:rPr>
        <w:t xml:space="preserve">mouse-shaped</w:t>
      </w:r>
      <w:r>
        <w:rPr>
          <w:rFonts w:ascii="Calibri" w:hAnsi="Calibri" w:eastAsia="Calibri" w:cs="Calibri"/>
          <w:color w:val="000000"/>
          <w:sz w:val="22"/>
          <w:szCs w:val="22"/>
        </w:rPr>
        <w:t xml:space="preserve">’ with one rounded and one flatter side. Most have a conspicuous vacuole. Sporangia length x width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38.5–45.5 x 22.5–27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34–52 x 19–31 µm. Length: width ratio average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1.5 µm. Sporangial pedicels range of means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8.6– 14.1 µm, common range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5–19 µm. Hyphae are sometimes denticulate or tuberculate.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kernoviae </w:t>
      </w:r>
      <w:r>
        <w:rPr>
          <w:rFonts w:ascii="Calibri" w:hAnsi="Calibri" w:eastAsia="Calibri" w:cs="Calibri"/>
          <w:color w:val="000000"/>
          <w:sz w:val="22"/>
          <w:szCs w:val="22"/>
        </w:rPr>
        <w:t xml:space="preserve">can be detected in different types of samples, e.g. plant material, water, soil, leaf litter or growing media. Visual inspections alone are not sufficient, because symptoms can vary between different plant species (EPPO, 2013a) and they can be visually undetectable (e.g. root infections,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as is the case with many fungal or fungal-like plant pathogens, they can be latent or suppressed by the use of fungicides.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(EPPO, 2013a) provides detailed information on how to detect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 a range of substrates:</w:t>
      </w:r>
    </w:p>
    <w:p>
      <w:pPr>
        <w:widowControl w:val="on"/>
        <w:pBdr/>
        <w:spacing w:before="220" w:after="220" w:line="240" w:lineRule="auto"/>
        <w:ind w:left="0" w:right="0"/>
        <w:jc w:val="both"/>
      </w:pPr>
      <w:r>
        <w:rPr>
          <w:rFonts w:ascii="Calibri" w:hAnsi="Calibri" w:eastAsia="Calibri" w:cs="Calibri"/>
          <w:color w:val="000000"/>
          <w:sz w:val="22"/>
          <w:szCs w:val="22"/>
        </w:rPr>
        <w:t xml:space="preserve">- Isolation from water or soil (or growing media) is possible by using a bait test with rhododendron leaves.</w:t>
      </w:r>
      <w:r>
        <w:rPr>
          <w:rFonts w:ascii="Calibri" w:hAnsi="Calibri" w:eastAsia="Calibri" w:cs="Calibri"/>
          <w:color w:val="000000"/>
          <w:sz w:val="22"/>
          <w:szCs w:val="22"/>
        </w:rPr>
        <w:br/>
        <w:t xml:space="preserve">- Isolation from plant material (selected plant parts or leaves previously used in a bait test) is possible after a surface disinfection followed by plating the plant material onto a suitable culture medium.</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pathogen is possible by using morphological methods combined with growth characteristics on culture media or by molecular (DNA-based) methods (EPPO, 2013a).</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morphological structures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(e.g. sporangia, gametangia, oospores) in culture and the growth characteristics must be checked and measured for identification. An identification key (e.g. Gallegly &amp; Hong, 2008) should be used together with a comparison with the original species description (Brasier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2005a). The unique morphological features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make it relatively easy to identify when grown-out on semi-selective media as described by EPPO (2013a).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range of molecular methods available to detect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EPPO (2013a) only describe validated and real-time PCR tests. Sequencing of the ITS region (using isolates from pure culture) is required for further confirmation of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Release and dispersal of sporangia (see Biology) from infected plants is primarily considered to involve water, such as rain or mist events, and may also involve some wind assistance e.g. wind-blown mists or wind-driven rain-splash (Sansford, 2008). This can carry the spores over greater distances than water splash which enables the movement of motile zoospores between adjacent plants. As with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the pathogen has the potential to move in watercourses and irrigation and it is known it can survive in water (Kong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2012a).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be detected in leaf litter and soil in woodlands where infected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occurs (e.g.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so, as with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transportation by humans (for example on shoes or on car tyres) is also possible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Frankel, 2008;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support the view that plant collectors or the horticultural nursery trade were likely to have been responsible for the introduction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to the United Kingdom. Brasier &amp; Jung (2006) suggest that there is a link between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-infested nursery stock (referring to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damage to forests with circumstantial evidence of the apparent spread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from out-planted rhododendrons or other nursery stock onto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and then onto trees in Cornwall. The pathogen has been found infecting plants in nurseries in the United Kingdom (Sansford, 2008) and there is potential for movement of infected plants or plant parts in the nursery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Like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was identified by the process of Pest Risk Analysis as posing a risk to the environment, private and managed gardens and woodlands as well as to the ornamental plant trade in the United Kingdom and overseas (Sansford, 2008, 2009). Emergency legislation was implemented in the United Kingdom in 2004 (revoked in 2014) to allow action to be taken against it wherever it was found (Anon., 2004).</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currently a ‘</w:t>
      </w:r>
      <w:r>
        <w:rPr>
          <w:rFonts w:ascii="Calibri" w:hAnsi="Calibri" w:eastAsia="Calibri" w:cs="Calibri"/>
          <w:i/>
          <w:iCs/>
          <w:color w:val="000000"/>
          <w:sz w:val="22"/>
          <w:szCs w:val="22"/>
        </w:rPr>
        <w:t xml:space="preserve">provisional quarantine pest’</w:t>
      </w:r>
      <w:r>
        <w:rPr>
          <w:rFonts w:ascii="Calibri" w:hAnsi="Calibri" w:eastAsia="Calibri" w:cs="Calibri"/>
          <w:color w:val="000000"/>
          <w:sz w:val="22"/>
          <w:szCs w:val="22"/>
        </w:rPr>
        <w:t xml:space="preserve"> in the United Kingdom and action is still taken on findings (Defra, undated).</w:t>
      </w:r>
    </w:p>
    <w:p>
      <w:pPr>
        <w:widowControl w:val="on"/>
        <w:pBdr/>
        <w:spacing w:before="220" w:after="220" w:line="240" w:lineRule="auto"/>
        <w:ind w:left="0" w:right="0"/>
        <w:jc w:val="both"/>
      </w:pPr>
      <w:r>
        <w:rPr>
          <w:rFonts w:ascii="Calibri" w:hAnsi="Calibri" w:eastAsia="Calibri" w:cs="Calibri"/>
          <w:color w:val="000000"/>
          <w:sz w:val="22"/>
          <w:szCs w:val="22"/>
        </w:rPr>
        <w:t xml:space="preserve">Forest Research (2022a) have summarised the current situation with respect to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a pathogen that has had a significant impact on environmentally-important hosts in the United Kingdom including beech trees (</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and bilberry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and this has had consequences for natural ecosystems. On beech the severity of damage can be the same as that caused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but currently it seems that for infection to occur, beech (and oak) trees need to be within 5 m of an infected sporulating host, such as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Bilberry is a key component of heathland, woodland, grassland and peat bog and infected plants usually die when infected with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also infect a wide range of ornamental garden species. This means there could be significant economic implications for the nursery and garden centre industries, and heritage gardens, if the disease is not managed to minimise its spread and impact. However, there were no findings in trade in the three years to 2019. Data from the Plant Health and Seeds Inspectorate (PHSI) showed that from 2020 onwards there were 13 findings at 9 sites including one retail nursery (A. Gaunt, PHSI, APHA, GB, </w:t>
      </w:r>
      <w:r>
        <w:rPr>
          <w:rFonts w:ascii="Calibri" w:hAnsi="Calibri" w:eastAsia="Calibri" w:cs="Calibri"/>
          <w:i/>
          <w:iCs/>
          <w:color w:val="000000"/>
          <w:sz w:val="22"/>
          <w:szCs w:val="22"/>
        </w:rPr>
        <w:t xml:space="preserve">personal communication</w:t>
      </w:r>
      <w:r>
        <w:rPr>
          <w:rFonts w:ascii="Calibri" w:hAnsi="Calibri" w:eastAsia="Calibri" w:cs="Calibri"/>
          <w:color w:val="000000"/>
          <w:sz w:val="22"/>
          <w:szCs w:val="22"/>
        </w:rPr>
        <w:t xml:space="preserve">, August 2022).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data available on the actual impact that the pathogen has caused. However, Drake &amp; Jones (2017) estimated that </w:t>
      </w:r>
      <w:r>
        <w:rPr>
          <w:rFonts w:ascii="Calibri" w:hAnsi="Calibri" w:eastAsia="Calibri" w:cs="Calibri"/>
          <w:i/>
          <w:iCs/>
          <w:color w:val="000000"/>
          <w:sz w:val="22"/>
          <w:szCs w:val="22"/>
        </w:rPr>
        <w:t xml:space="preserve">‘1446 million GBP of public value is at risk in England and Wales per year from an uncontrolled spread of </w:t>
      </w:r>
      <w:r>
        <w:rPr>
          <w:rFonts w:ascii="Calibri" w:hAnsi="Calibri" w:eastAsia="Calibri" w:cs="Calibri"/>
          <w:color w:val="000000"/>
          <w:sz w:val="22"/>
          <w:szCs w:val="22"/>
        </w:rPr>
        <w:t xml:space="preserve">Phytophthora ramorum</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Phytophthora kernoviae</w:t>
      </w:r>
      <w:r>
        <w:rPr>
          <w:rFonts w:ascii="Calibri" w:hAnsi="Calibri" w:eastAsia="Calibri" w:cs="Calibri"/>
          <w:i/>
          <w:iCs/>
          <w:color w:val="000000"/>
          <w:sz w:val="22"/>
          <w:szCs w:val="22"/>
        </w:rPr>
        <w:t xml:space="preserve">. The greatest public value at risk, of 578 million GBP/year, is from an uncontrolled spread of these diseases to heritage gardens, while the lowest public value at risk, of 386 million GBP/year, is from disease spread to heathland’.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infects cherimoya and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Scott &amp;Williams (2014) did not consider it to be a major pathogen at that time. However,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described the pathogen as being one of two causal agents of important needle diseases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in New Zealand but there is no quantification of the likely impact.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Kingdom, control has focused on removing and destroying infected plants that have the potential to sporulate; in woodlands this has largely been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which produces abundant sporangia and is the main source of infection for beech and oak. However, it is known that like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survive in soil and leaf litter (e.g. Webber, 2009; Fichtner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so eradication is difficult. There is no cure for infection with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in woodland and forest situations it would be impractical to apply chemical treatments. Clearance of heathland with infected bilberry will still leave residual inoculum.</w:t>
      </w:r>
    </w:p>
    <w:p>
      <w:pPr>
        <w:widowControl w:val="on"/>
        <w:pBdr/>
        <w:spacing w:before="220" w:after="220" w:line="240" w:lineRule="auto"/>
        <w:ind w:left="0" w:right="0"/>
        <w:jc w:val="both"/>
      </w:pPr>
      <w:r>
        <w:rPr>
          <w:rFonts w:ascii="Calibri" w:hAnsi="Calibri" w:eastAsia="Calibri" w:cs="Calibri"/>
          <w:color w:val="000000"/>
          <w:sz w:val="22"/>
          <w:szCs w:val="22"/>
        </w:rPr>
        <w:t xml:space="preserve">Biosecurity is important and people who work at infected sites should follow good practice, such as cleaning and disinfecting their tools, equipment, clothes, footwear, and vehicles between sites, to prevent the spread of the pathogen by these means. Guidance on this is available on the United Kingdom Government website (Anon., 2021). </w:t>
      </w:r>
    </w:p>
    <w:p>
      <w:pPr>
        <w:widowControl w:val="on"/>
        <w:pBdr/>
        <w:spacing w:before="220" w:after="220" w:line="240" w:lineRule="auto"/>
        <w:ind w:left="0" w:right="0"/>
        <w:jc w:val="both"/>
      </w:pPr>
      <w:r>
        <w:rPr>
          <w:rFonts w:ascii="Calibri" w:hAnsi="Calibri" w:eastAsia="Calibri" w:cs="Calibri"/>
          <w:color w:val="000000"/>
          <w:sz w:val="22"/>
          <w:szCs w:val="22"/>
        </w:rPr>
        <w:t xml:space="preserve">With respect to chemical control for valuable plants in nurseries or in parks and gardens, preventative fungicidal treatments can be useful (Kliejunas, 2010). Metalaxyl, phosetyl-aluminium, copper sulfate or phosphonate are effective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(Garbelotto &amp; Rizzo, 2001;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no doubt would be effective against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Phosphite (phosphonate) is used to control and manage many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in horticultural systems worldwide; it does not kill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but inhibits growth while also stimulating host defence responses (Hunter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Rolando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found that phosphite, copper oxychloride and metalaxyl-M have potential (from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in </w:t>
      </w:r>
      <w:r>
        <w:rPr>
          <w:rFonts w:ascii="Calibri" w:hAnsi="Calibri" w:eastAsia="Calibri" w:cs="Calibri"/>
          <w:i/>
          <w:iCs/>
          <w:color w:val="000000"/>
          <w:sz w:val="22"/>
          <w:szCs w:val="22"/>
        </w:rPr>
        <w:t xml:space="preserve">planta</w:t>
      </w:r>
      <w:r>
        <w:rPr>
          <w:rFonts w:ascii="Calibri" w:hAnsi="Calibri" w:eastAsia="Calibri" w:cs="Calibri"/>
          <w:color w:val="000000"/>
          <w:sz w:val="22"/>
          <w:szCs w:val="22"/>
        </w:rPr>
        <w:t xml:space="preserve"> experiments) to protect commercially planted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pluvialis</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experiments by Hunter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on the efficacy of phosphite against mycelial growth showed huge intraspecific variability on the effect of the chemical against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questioned whether diseases caused by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such as needle blight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could be managed effectively with phosphite. The use of an organosilicone adjuvant however enhanced uptake of phosphite into needles of </w:t>
      </w:r>
      <w:r>
        <w:rPr>
          <w:rFonts w:ascii="Calibri" w:hAnsi="Calibri" w:eastAsia="Calibri" w:cs="Calibri"/>
          <w:i/>
          <w:iCs/>
          <w:color w:val="000000"/>
          <w:sz w:val="22"/>
          <w:szCs w:val="22"/>
        </w:rPr>
        <w:t xml:space="preserve">P. radiata </w:t>
      </w:r>
      <w:r>
        <w:rPr>
          <w:rFonts w:ascii="Calibri" w:hAnsi="Calibri" w:eastAsia="Calibri" w:cs="Calibri"/>
          <w:color w:val="000000"/>
          <w:sz w:val="22"/>
          <w:szCs w:val="22"/>
        </w:rPr>
        <w:t xml:space="preserve">(Rolando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Disinfection of contaminated water is possible with copper-based active ingredients (Colburn &amp; Jeffers, 2010). </w:t>
      </w:r>
    </w:p>
    <w:p>
      <w:pPr>
        <w:widowControl w:val="on"/>
        <w:pBdr/>
        <w:spacing w:before="220" w:after="220" w:line="240" w:lineRule="auto"/>
        <w:ind w:left="0" w:right="0"/>
        <w:jc w:val="both"/>
      </w:pPr>
      <w:r>
        <w:rPr>
          <w:rFonts w:ascii="Calibri" w:hAnsi="Calibri" w:eastAsia="Calibri" w:cs="Calibri"/>
          <w:color w:val="000000"/>
          <w:sz w:val="22"/>
          <w:szCs w:val="22"/>
        </w:rPr>
        <w:t xml:space="preserve">Sanitation is necessary to maintain pathogen-free plant material. This includes removing and testing symptomatic stock, sterilising potting media and disinfecting tools, benches, workers’ gloves, shoes and other equipment (Erwin &amp; Ribeiro, 1996).</w:t>
      </w:r>
    </w:p>
    <w:p>
      <w:pPr>
        <w:widowControl w:val="on"/>
        <w:pBdr/>
        <w:spacing w:before="220" w:after="220" w:line="240" w:lineRule="auto"/>
        <w:ind w:left="0" w:right="0"/>
        <w:jc w:val="both"/>
      </w:pPr>
      <w:r>
        <w:rPr>
          <w:rFonts w:ascii="Calibri" w:hAnsi="Calibri" w:eastAsia="Calibri" w:cs="Calibri"/>
          <w:color w:val="000000"/>
          <w:sz w:val="22"/>
          <w:szCs w:val="22"/>
        </w:rPr>
        <w:t xml:space="preserve">No data on research on resistance in host plants to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or biological control could be found.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P. kernoviae</w:t>
      </w:r>
      <w:r>
        <w:rPr>
          <w:rFonts w:ascii="Calibri" w:hAnsi="Calibri" w:eastAsia="Calibri" w:cs="Calibri"/>
          <w:color w:val="000000"/>
          <w:sz w:val="22"/>
          <w:szCs w:val="22"/>
        </w:rPr>
        <w:t xml:space="preserve"> presents a risk to many different plants including trees and shrubs which grow in ecologically-significant environments such as woodland and heathland as well as those which are grown in parks and gardens and move in the nursery trade. </w:t>
      </w:r>
    </w:p>
    <w:p>
      <w:pPr>
        <w:widowControl w:val="on"/>
        <w:pBdr/>
        <w:spacing w:before="220" w:after="220" w:line="240" w:lineRule="auto"/>
        <w:ind w:left="0" w:right="0"/>
        <w:jc w:val="both"/>
      </w:pPr>
      <w:r>
        <w:rPr>
          <w:rFonts w:ascii="Calibri" w:hAnsi="Calibri" w:eastAsia="Calibri" w:cs="Calibri"/>
          <w:color w:val="000000"/>
          <w:sz w:val="22"/>
          <w:szCs w:val="22"/>
        </w:rPr>
        <w:t xml:space="preserve">Beech</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F. sylvatica</w:t>
      </w:r>
      <w:r>
        <w:rPr>
          <w:rFonts w:ascii="Calibri" w:hAnsi="Calibri" w:eastAsia="Calibri" w:cs="Calibri"/>
          <w:color w:val="000000"/>
          <w:sz w:val="22"/>
          <w:szCs w:val="22"/>
        </w:rPr>
        <w:t xml:space="preserve">), oak (</w:t>
      </w:r>
      <w:r>
        <w:rPr>
          <w:rFonts w:ascii="Calibri" w:hAnsi="Calibri" w:eastAsia="Calibri" w:cs="Calibri"/>
          <w:i/>
          <w:iCs/>
          <w:color w:val="000000"/>
          <w:sz w:val="22"/>
          <w:szCs w:val="22"/>
        </w:rPr>
        <w:t xml:space="preserve">Q. robur</w:t>
      </w:r>
      <w:r>
        <w:rPr>
          <w:rFonts w:ascii="Calibri" w:hAnsi="Calibri" w:eastAsia="Calibri" w:cs="Calibri"/>
          <w:color w:val="000000"/>
          <w:sz w:val="22"/>
          <w:szCs w:val="22"/>
        </w:rPr>
        <w:t xml:space="preserve">), rhododendron (</w:t>
      </w:r>
      <w:r>
        <w:rPr>
          <w:rFonts w:ascii="Calibri" w:hAnsi="Calibri" w:eastAsia="Calibri" w:cs="Calibri"/>
          <w:i/>
          <w:iCs/>
          <w:color w:val="000000"/>
          <w:sz w:val="22"/>
          <w:szCs w:val="22"/>
        </w:rPr>
        <w:t xml:space="preserve">Rhododendro</w:t>
      </w:r>
      <w:r>
        <w:rPr>
          <w:rFonts w:ascii="Calibri" w:hAnsi="Calibri" w:eastAsia="Calibri" w:cs="Calibri"/>
          <w:color w:val="000000"/>
          <w:sz w:val="22"/>
          <w:szCs w:val="22"/>
        </w:rPr>
        <w:t xml:space="preserve">n spp.), holm oak (</w:t>
      </w:r>
      <w:r>
        <w:rPr>
          <w:rFonts w:ascii="Calibri" w:hAnsi="Calibri" w:eastAsia="Calibri" w:cs="Calibri"/>
          <w:i/>
          <w:iCs/>
          <w:color w:val="000000"/>
          <w:sz w:val="22"/>
          <w:szCs w:val="22"/>
        </w:rPr>
        <w:t xml:space="preserve">Q. ilex</w:t>
      </w:r>
      <w:r>
        <w:rPr>
          <w:rFonts w:ascii="Calibri" w:hAnsi="Calibri" w:eastAsia="Calibri" w:cs="Calibri"/>
          <w:color w:val="000000"/>
          <w:sz w:val="22"/>
          <w:szCs w:val="22"/>
        </w:rPr>
        <w:t xml:space="preserve">) (a Mediterranean species), and a range of ornamental trees and shrubs are at risk as well as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(bilberry) which is of ecological importance.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can be lethal to some species including beech, rhododendron and bilberry. </w:t>
      </w:r>
      <w:r>
        <w:rPr>
          <w:rFonts w:ascii="Calibri" w:hAnsi="Calibri" w:eastAsia="Calibri" w:cs="Calibri"/>
          <w:i/>
          <w:iCs/>
          <w:color w:val="000000"/>
          <w:sz w:val="22"/>
          <w:szCs w:val="22"/>
        </w:rPr>
        <w:t xml:space="preserve">R. ponticum</w:t>
      </w:r>
      <w:r>
        <w:rPr>
          <w:rFonts w:ascii="Calibri" w:hAnsi="Calibri" w:eastAsia="Calibri" w:cs="Calibri"/>
          <w:color w:val="000000"/>
          <w:sz w:val="22"/>
          <w:szCs w:val="22"/>
        </w:rPr>
        <w:t xml:space="preserve"> is an invasive species which is also a significant source of infection to trees in woodlands and so whether it is infected or not, its removal would be beneficial to protect other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Importantly,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appears to be favoured by temperate climates which may explain its current limited distribution (Fraser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Consequently, climate matching would help better determine the risk to the wider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(2013b) combines measures for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as their biology is similar in many respects. In order to prevent entry or spread of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introduced plants should originate from a pest-free crop, place of production or area provided suitable surveillance, monitoring and testing regimes are in place. A buffer zone around places of production of at least 10 m for known host shrubs should be in place to avoid the risk of infection from sporulating hosts. A 100 m buffer zone is recommended for tall sporulating trees. This would only apply to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as this species has the potential to sporulate but its inoculum potential is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Introduced host plants should comply with the relevant legislation and certification, such as requirements for phytosanitary certificates, a plant passport in EU countries or a scientific license if a phytosanitary certificate cannot be issued. </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should also apply appropriate measures if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is detected in areas other than places of production, e.g. parks, gardens, forests. Eradication of the pathogen should be attempted, but if this is not possible, at least measures should be taken to contain the pest, by removing as much infected plant material as possible to reduce the pressure of infection. It is recommended to apply the following measures, depending on the decision for eradication or containment: (1) Prohibition of movement of susceptible plants, plant parts (including trees) and soil/growing media; (2) Phytosanitary measures to prevent spread of the pest; (3) Control measures; (4) Surveillance. The phytosanitary measures include the removing of plant debris, disposing of susceptible plants or plant material by burning or deep burying them, repairing and maintaining footpaths, restricting access to contaminated areas, hygiene measures such as cleaning and disinfecting shoes or machines; these actions can usefully be accompanied by signs to inform the public about the measures mentioned (EPPO, 2013b).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ZG (undated)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factsheet. IDphy: molecular and morphological identification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based on the types. </w:t>
      </w:r>
      <w:hyperlink r:id="rId720466985dc8caf9c" w:history="1">
        <w:r>
          <w:rPr>
            <w:rFonts w:ascii="Calibri" w:hAnsi="Calibri" w:eastAsia="Calibri" w:cs="Calibri"/>
            <w:color w:val="0000CC"/>
            <w:sz w:val="22"/>
            <w:szCs w:val="22"/>
            <w:u w:val="single"/>
          </w:rPr>
          <w:t xml:space="preserve">https://idtools.org/id/phytophthora/factsheet.php?name=7970</w:t>
        </w:r>
      </w:hyperlink>
      <w:r>
        <w:rPr>
          <w:rFonts w:ascii="Calibri" w:hAnsi="Calibri" w:eastAsia="Calibri" w:cs="Calibri"/>
          <w:color w:val="000000"/>
          <w:sz w:val="22"/>
          <w:szCs w:val="22"/>
        </w:rPr>
        <w:t xml:space="preserve">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(2004) The Plant Health (</w:t>
      </w:r>
      <w:r>
        <w:rPr>
          <w:rFonts w:ascii="Calibri" w:hAnsi="Calibri" w:eastAsia="Calibri" w:cs="Calibri"/>
          <w:i/>
          <w:iCs/>
          <w:color w:val="000000"/>
          <w:sz w:val="22"/>
          <w:szCs w:val="22"/>
        </w:rPr>
        <w:t xml:space="preserve">Phytophthora kernovii</w:t>
      </w:r>
      <w:r>
        <w:rPr>
          <w:rFonts w:ascii="Calibri" w:hAnsi="Calibri" w:eastAsia="Calibri" w:cs="Calibri"/>
          <w:color w:val="000000"/>
          <w:sz w:val="22"/>
          <w:szCs w:val="22"/>
        </w:rPr>
        <w:t xml:space="preserve"> Management Zone) (England) Order 2004. UK Statutory Instruments No.3367. </w:t>
      </w:r>
      <w:hyperlink r:id="rId448466985dc8cb000" w:history="1">
        <w:r>
          <w:rPr>
            <w:rFonts w:ascii="Calibri" w:hAnsi="Calibri" w:eastAsia="Calibri" w:cs="Calibri"/>
            <w:color w:val="0000CC"/>
            <w:sz w:val="22"/>
            <w:szCs w:val="22"/>
            <w:u w:val="single"/>
          </w:rPr>
          <w:t xml:space="preserve">https://www.legislation.gov.uk/uksi/2004/3367/introduction/made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(2008)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Past investigation throws up new answers. </w:t>
      </w:r>
      <w:r>
        <w:rPr>
          <w:rFonts w:ascii="Calibri" w:hAnsi="Calibri" w:eastAsia="Calibri" w:cs="Calibri"/>
          <w:i/>
          <w:iCs/>
          <w:color w:val="000000"/>
          <w:sz w:val="22"/>
          <w:szCs w:val="22"/>
        </w:rPr>
        <w:t xml:space="preserve">Biosecurity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March issue, p 21.</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(undated)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 A new threat to our trees and woodlands. 6pp. </w:t>
      </w:r>
      <w:hyperlink r:id="rId431866985dc8cb0d9" w:history="1">
        <w:r>
          <w:rPr>
            <w:rFonts w:ascii="Calibri" w:hAnsi="Calibri" w:eastAsia="Calibri" w:cs="Calibri"/>
            <w:color w:val="0000CC"/>
            <w:sz w:val="22"/>
            <w:szCs w:val="22"/>
            <w:u w:val="single"/>
          </w:rPr>
          <w:t xml:space="preserve">https://agri.nv.gov/uploadedFiles/agrinvgov/Content/Plant/Plant_Pathology/Kernoviae%20Bleeding%20Canker%20and%20Blight%20-Phytophthora%20kernoviae.pdf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(2021) How biosecurity can prevent the introduction and spread of tree pests and diseases. </w:t>
      </w:r>
      <w:hyperlink r:id="rId783966985dc8cb10f" w:history="1">
        <w:r>
          <w:rPr>
            <w:rFonts w:ascii="Calibri" w:hAnsi="Calibri" w:eastAsia="Calibri" w:cs="Calibri"/>
            <w:color w:val="0000CC"/>
            <w:sz w:val="22"/>
            <w:szCs w:val="22"/>
            <w:u w:val="single"/>
          </w:rPr>
          <w:t xml:space="preserve">https://www.gov.uk/guidance/prevent-the-introduction-and-spread-of-tree-pests-and-diseases</w:t>
        </w:r>
      </w:hyperlink>
      <w:r>
        <w:rPr>
          <w:rFonts w:ascii="Calibri" w:hAnsi="Calibri" w:eastAsia="Calibri" w:cs="Calibri"/>
          <w:color w:val="000000"/>
          <w:sz w:val="22"/>
          <w:szCs w:val="22"/>
        </w:rPr>
        <w:t xml:space="preserve"> (Last updated August, 2021, accessed August 2022)</w:t>
      </w:r>
    </w:p>
    <w:p>
      <w:pPr>
        <w:widowControl w:val="on"/>
        <w:pBdr/>
        <w:spacing w:before="220" w:after="220" w:line="240" w:lineRule="auto"/>
        <w:ind w:left="0" w:right="0"/>
        <w:jc w:val="left"/>
      </w:pPr>
      <w:r>
        <w:rPr>
          <w:rFonts w:ascii="Calibri" w:hAnsi="Calibri" w:eastAsia="Calibri" w:cs="Calibri"/>
          <w:color w:val="000000"/>
          <w:sz w:val="22"/>
          <w:szCs w:val="22"/>
        </w:rPr>
        <w:t xml:space="preserve">Beales PA, Giltrap PG, Payne A &amp; Ingram N (2009) A new threat to UK heathland from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in the wild.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(2), 393.</w:t>
      </w:r>
    </w:p>
    <w:p>
      <w:pPr>
        <w:widowControl w:val="on"/>
        <w:pBdr/>
        <w:spacing w:before="220" w:after="220" w:line="240" w:lineRule="auto"/>
        <w:ind w:left="0" w:right="0"/>
        <w:jc w:val="left"/>
      </w:pPr>
      <w:r>
        <w:rPr>
          <w:rFonts w:ascii="Calibri" w:hAnsi="Calibri" w:eastAsia="Calibri" w:cs="Calibri"/>
          <w:color w:val="000000"/>
          <w:sz w:val="22"/>
          <w:szCs w:val="22"/>
        </w:rPr>
        <w:t xml:space="preserve">Blair JE, Coffey MD, Park S-Y, Geiser DM &amp; Kang S (2008) A multi-locus phylogeny for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utilizing markers derived from complete genome sequences.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266-277. </w:t>
      </w:r>
      <w:hyperlink r:id="rId859466985dc8cb249" w:history="1">
        <w:r>
          <w:rPr>
            <w:rFonts w:ascii="Calibri" w:hAnsi="Calibri" w:eastAsia="Calibri" w:cs="Calibri"/>
            <w:color w:val="0000CC"/>
            <w:sz w:val="22"/>
            <w:szCs w:val="22"/>
            <w:u w:val="single"/>
          </w:rPr>
          <w:t xml:space="preserve">https://doi/org/10.1016/j.fgb.2007.10.010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Brasier CM, Beales PA, Kirk SA, Denman S &amp; Rose J (2005a)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sp. nov., an invasive pathogen causing bleeding stem lesions on forest trees and foliar necrosis of ornamentals in the UK.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853-859.</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Denman S, Webber J &amp; Brown A (2005b) Sudden Oak Death: Recent Developments on Trees in Europe. Proceedings of the Second Sudden Oak Death Science Symposium: the state of our knowledge. January 18-21, 2005, Monterey,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Jung T (2006) Recent developments in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 of trees and natural ecosystems in Europe. Proceedings of the third international IUFRO working party S07.02.09. Freisling, Germany, 11-18 September 2004. pp. 5-16.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A, Brasier C, Denman S, Rose J, Kirk S &amp; Webber J (2006) Tree hosts of aerial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infections with particular reference to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at two UK survey sites. Progress in research on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of forest trees. Proceedings of the third international IUFRO working party S07.02.09. Freisling, Germany, 11-18 September 2004. pp. 122-125. </w:t>
      </w:r>
    </w:p>
    <w:p>
      <w:pPr>
        <w:widowControl w:val="on"/>
        <w:pBdr/>
        <w:spacing w:before="220" w:after="220" w:line="240" w:lineRule="auto"/>
        <w:ind w:left="0" w:right="0"/>
        <w:jc w:val="left"/>
      </w:pPr>
      <w:r>
        <w:rPr>
          <w:rFonts w:ascii="Calibri" w:hAnsi="Calibri" w:eastAsia="Calibri" w:cs="Calibri"/>
          <w:color w:val="000000"/>
          <w:sz w:val="22"/>
          <w:szCs w:val="22"/>
        </w:rPr>
        <w:t xml:space="preserve">Colburn GC &amp; Jeffers SN (2010) Efficacy of commercial algaecides to manage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in suburban waterways.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PSW-GTR-229, US Department of Agriculture, Forest Service, Pacific Southwest Research Station 229, 223-224. https://www.fs.usda.gov/treesearch/pubs/36402</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JM, Wickland AC, Patterson HA, Falk KR &amp; Rizzo DM (2005) Transmission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mixed-evergreen forest in California.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587-596.</w:t>
      </w:r>
    </w:p>
    <w:p>
      <w:pPr>
        <w:widowControl w:val="on"/>
        <w:pBdr/>
        <w:spacing w:before="220" w:after="220" w:line="240" w:lineRule="auto"/>
        <w:ind w:left="0" w:right="0"/>
        <w:jc w:val="left"/>
      </w:pPr>
      <w:r>
        <w:rPr>
          <w:rFonts w:ascii="Calibri" w:hAnsi="Calibri" w:eastAsia="Calibri" w:cs="Calibri"/>
          <w:color w:val="000000"/>
          <w:sz w:val="22"/>
          <w:szCs w:val="22"/>
        </w:rPr>
        <w:t xml:space="preserve">Defra (undated) UK Risk Register Details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w:t>
      </w:r>
      <w:hyperlink r:id="rId811966985dc8cb513" w:history="1">
        <w:r>
          <w:rPr>
            <w:rFonts w:ascii="Calibri" w:hAnsi="Calibri" w:eastAsia="Calibri" w:cs="Calibri"/>
            <w:color w:val="0000CC"/>
            <w:sz w:val="22"/>
            <w:szCs w:val="22"/>
            <w:u w:val="single"/>
          </w:rPr>
          <w:t xml:space="preserve">https://planthealthportal.defra.gov.uk/pests-and-diseases/uk-plant-health-risk-register/viewPestRisks.cfm?cslref=25428</w:t>
        </w:r>
      </w:hyperlink>
      <w:r>
        <w:rPr>
          <w:rFonts w:ascii="Calibri" w:hAnsi="Calibri" w:eastAsia="Calibri" w:cs="Calibri"/>
          <w:color w:val="000000"/>
          <w:sz w:val="22"/>
          <w:szCs w:val="22"/>
        </w:rPr>
        <w:t xml:space="preserve">. 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Drake B &amp; Jones G (2017) Public value at risk from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spread in England and Wales. </w:t>
      </w:r>
      <w:r>
        <w:rPr>
          <w:rFonts w:ascii="Calibri" w:hAnsi="Calibri" w:eastAsia="Calibri" w:cs="Calibri"/>
          <w:i/>
          <w:iCs/>
          <w:color w:val="000000"/>
          <w:sz w:val="22"/>
          <w:szCs w:val="22"/>
        </w:rPr>
        <w:t xml:space="preserve">Journal of 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191</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Dick MA, Williams NM, Bader MK-F, Gardner JF &amp; Bulma LS (2014) Pathogenicity of </w:t>
      </w:r>
      <w:r>
        <w:rPr>
          <w:rFonts w:ascii="Calibri" w:hAnsi="Calibri" w:eastAsia="Calibri" w:cs="Calibri"/>
          <w:i/>
          <w:iCs/>
          <w:color w:val="000000"/>
          <w:sz w:val="22"/>
          <w:szCs w:val="22"/>
        </w:rPr>
        <w:t xml:space="preserve">Phytophthora pluvialis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and its relation with red needle cast disease in New Zealand. </w:t>
      </w:r>
      <w:r>
        <w:rPr>
          <w:rFonts w:ascii="Calibri" w:hAnsi="Calibri" w:eastAsia="Calibri" w:cs="Calibri"/>
          <w:i/>
          <w:iCs/>
          <w:color w:val="000000"/>
          <w:sz w:val="22"/>
          <w:szCs w:val="22"/>
        </w:rPr>
        <w:t xml:space="preserve">New Zealand Journal of Forestry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(6), </w:t>
      </w:r>
      <w:hyperlink r:id="rId319466985dc8cb66c" w:history="1">
        <w:r>
          <w:rPr>
            <w:rFonts w:ascii="Calibri" w:hAnsi="Calibri" w:eastAsia="Calibri" w:cs="Calibri"/>
            <w:color w:val="0000CC"/>
            <w:sz w:val="22"/>
            <w:szCs w:val="22"/>
            <w:u w:val="single"/>
          </w:rPr>
          <w:t xml:space="preserve">10.1186/s40490-014-0006-7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Situation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2009/069 </w:t>
      </w:r>
      <w:hyperlink r:id="rId251666985dc8cb6dd" w:history="1">
        <w:r>
          <w:rPr>
            <w:rFonts w:ascii="Calibri" w:hAnsi="Calibri" w:eastAsia="Calibri" w:cs="Calibri"/>
            <w:color w:val="0000CC"/>
            <w:sz w:val="22"/>
            <w:szCs w:val="22"/>
            <w:u w:val="single"/>
          </w:rPr>
          <w:t xml:space="preserve">https://gd.eppo.int/reporting/article-173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(2010) First report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in Ireland.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2010/148 </w:t>
      </w:r>
      <w:hyperlink r:id="rId464866985dc8cb74c" w:history="1">
        <w:r>
          <w:rPr>
            <w:rFonts w:ascii="Calibri" w:hAnsi="Calibri" w:eastAsia="Calibri" w:cs="Calibri"/>
            <w:color w:val="0000CC"/>
            <w:sz w:val="22"/>
            <w:szCs w:val="22"/>
            <w:u w:val="single"/>
          </w:rPr>
          <w:t xml:space="preserve">https://gd.eppo.int/reporting/article-605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(2013a) Diagnostic protocol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EPPO Standard PM 7/112(1).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81-93. Available at </w:t>
      </w:r>
      <w:hyperlink r:id="rId735766985dc8cb7da" w:history="1">
        <w:r>
          <w:rPr>
            <w:rFonts w:ascii="Calibri" w:hAnsi="Calibri" w:eastAsia="Calibri" w:cs="Calibri"/>
            <w:color w:val="0000CC"/>
            <w:sz w:val="22"/>
            <w:szCs w:val="22"/>
            <w:u w:val="single"/>
          </w:rPr>
          <w:t xml:space="preserve">https://gd.eppo.int/taxon/PHYTKE/documents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Pest risk management for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hyperlink r:id="rId958366985dc8cb854" w:history="1">
        <w:r>
          <w:rPr>
            <w:rFonts w:ascii="Calibri" w:hAnsi="Calibri" w:eastAsia="Calibri" w:cs="Calibri"/>
            <w:color w:val="0000CC"/>
            <w:sz w:val="22"/>
            <w:szCs w:val="22"/>
            <w:u w:val="single"/>
          </w:rPr>
          <w:t xml:space="preserve">https://gd.eppo.int/taxon/PHYTRA/documents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Ribeiro OK (1996)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diseases worldwide. </w:t>
      </w:r>
      <w:r>
        <w:rPr>
          <w:rFonts w:ascii="Calibri" w:hAnsi="Calibri" w:eastAsia="Calibri" w:cs="Calibri"/>
          <w:i/>
          <w:iCs/>
          <w:color w:val="000000"/>
          <w:sz w:val="22"/>
          <w:szCs w:val="22"/>
        </w:rPr>
        <w:t xml:space="preserve">APS Press, </w:t>
      </w:r>
      <w:r>
        <w:rPr>
          <w:rFonts w:ascii="Calibri" w:hAnsi="Calibri" w:eastAsia="Calibri" w:cs="Calibri"/>
          <w:color w:val="000000"/>
          <w:sz w:val="22"/>
          <w:szCs w:val="22"/>
        </w:rPr>
        <w:t xml:space="preserve">The American Phytopathological Society,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(2012)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diseases on bilberry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A threat to our woodlands, heathlands and historic gardens. Plant Disease Factsheet (4pp) </w:t>
      </w:r>
      <w:hyperlink r:id="rId461766985dc8cb94a" w:history="1">
        <w:r>
          <w:rPr>
            <w:rFonts w:ascii="Calibri" w:hAnsi="Calibri" w:eastAsia="Calibri" w:cs="Calibri"/>
            <w:color w:val="0000CC"/>
            <w:sz w:val="22"/>
            <w:szCs w:val="22"/>
            <w:u w:val="single"/>
          </w:rPr>
          <w:t xml:space="preserve">https://planthealthportal.defra.gov.uk/assets/factsheets/phytophthoraBilberry.pdf</w:t>
        </w:r>
      </w:hyperlink>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(last accessed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Fichtner EJ, Rizzo DM, Kirk SA, Webber JF (2011) Root infections may challenge management of invasive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 in UK woodlands.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(1), 13-18</w:t>
      </w:r>
    </w:p>
    <w:p>
      <w:pPr>
        <w:widowControl w:val="on"/>
        <w:pBdr/>
        <w:spacing w:before="220" w:after="220" w:line="240" w:lineRule="auto"/>
        <w:ind w:left="0" w:right="0"/>
        <w:jc w:val="left"/>
      </w:pPr>
      <w:r>
        <w:rPr>
          <w:rFonts w:ascii="Calibri" w:hAnsi="Calibri" w:eastAsia="Calibri" w:cs="Calibri"/>
          <w:color w:val="000000"/>
          <w:sz w:val="22"/>
          <w:szCs w:val="22"/>
        </w:rPr>
        <w:t xml:space="preserve">Fichtner EJ, Rizzo DM, Kirk SA, Webber JF (2012) Infectivity and sporulation potential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to select North American native plants.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(2), 224-233.</w:t>
      </w:r>
    </w:p>
    <w:p>
      <w:pPr>
        <w:widowControl w:val="on"/>
        <w:pBdr/>
        <w:spacing w:before="220" w:after="220" w:line="240" w:lineRule="auto"/>
        <w:ind w:left="0" w:right="0"/>
        <w:jc w:val="left"/>
      </w:pPr>
      <w:r>
        <w:rPr>
          <w:rFonts w:ascii="Calibri" w:hAnsi="Calibri" w:eastAsia="Calibri" w:cs="Calibri"/>
          <w:color w:val="000000"/>
          <w:sz w:val="22"/>
          <w:szCs w:val="22"/>
        </w:rPr>
        <w:t xml:space="preserve">Forest Research (2022)</w:t>
      </w:r>
      <w:r>
        <w:rPr>
          <w:rFonts w:ascii="Calibri" w:hAnsi="Calibri" w:eastAsia="Calibri" w:cs="Calibri"/>
          <w:i/>
          <w:iCs/>
          <w:color w:val="000000"/>
          <w:sz w:val="22"/>
          <w:szCs w:val="22"/>
        </w:rPr>
        <w:t xml:space="preserve"> Phytophthora kernoviae</w:t>
      </w:r>
      <w:r>
        <w:rPr>
          <w:rFonts w:ascii="Calibri" w:hAnsi="Calibri" w:eastAsia="Calibri" w:cs="Calibri"/>
          <w:color w:val="000000"/>
          <w:sz w:val="22"/>
          <w:szCs w:val="22"/>
        </w:rPr>
        <w:t xml:space="preserve">. Research. Last accessed 9 August 2022. </w:t>
      </w:r>
      <w:hyperlink r:id="rId297366985dc8cbab1" w:history="1">
        <w:r>
          <w:rPr>
            <w:rFonts w:ascii="Calibri" w:hAnsi="Calibri" w:eastAsia="Calibri" w:cs="Calibri"/>
            <w:color w:val="0000CC"/>
            <w:sz w:val="22"/>
            <w:szCs w:val="22"/>
            <w:u w:val="single"/>
          </w:rPr>
          <w:t xml:space="preserve">https://www.forestresearch.gov.uk/research/phytophthora-kernoviae/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Forest Research (2022a)</w:t>
      </w:r>
      <w:r>
        <w:rPr>
          <w:rFonts w:ascii="Calibri" w:hAnsi="Calibri" w:eastAsia="Calibri" w:cs="Calibri"/>
          <w:i/>
          <w:iCs/>
          <w:color w:val="000000"/>
          <w:sz w:val="22"/>
          <w:szCs w:val="22"/>
        </w:rPr>
        <w:t xml:space="preserve"> Phytophthora kernoviae</w:t>
      </w:r>
      <w:r>
        <w:rPr>
          <w:rFonts w:ascii="Calibri" w:hAnsi="Calibri" w:eastAsia="Calibri" w:cs="Calibri"/>
          <w:color w:val="000000"/>
          <w:sz w:val="22"/>
          <w:szCs w:val="22"/>
        </w:rPr>
        <w:t xml:space="preserve">. Tools and resources. Last accessed 9 August 2022. </w:t>
      </w:r>
      <w:hyperlink r:id="rId907166985dc8cbb01" w:history="1">
        <w:r>
          <w:rPr>
            <w:rFonts w:ascii="Calibri" w:hAnsi="Calibri" w:eastAsia="Calibri" w:cs="Calibri"/>
            <w:color w:val="0000CC"/>
            <w:sz w:val="22"/>
            <w:szCs w:val="22"/>
            <w:u w:val="single"/>
          </w:rPr>
          <w:t xml:space="preserve">https://www.forestresearch.gov.uk/tools-and-resources/fthr/pest-and-disease-resources/phytophthora-kernoviae/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Frankel SJ (2008) Sudden oak death and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USA: a management challenge.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19-25.</w:t>
      </w:r>
    </w:p>
    <w:p>
      <w:pPr>
        <w:widowControl w:val="on"/>
        <w:pBdr/>
        <w:spacing w:before="220" w:after="220" w:line="240" w:lineRule="auto"/>
        <w:ind w:left="0" w:right="0"/>
        <w:jc w:val="left"/>
      </w:pPr>
      <w:r>
        <w:rPr>
          <w:rFonts w:ascii="Calibri" w:hAnsi="Calibri" w:eastAsia="Calibri" w:cs="Calibri"/>
          <w:color w:val="000000"/>
          <w:sz w:val="22"/>
          <w:szCs w:val="22"/>
        </w:rPr>
        <w:t xml:space="preserve">Fraser SF, Gomez-Gallego M, Gardner J, Bulman LS, Denman S &amp; Williams NM (2020) Impact of weather variables and season on sporulation of </w:t>
      </w:r>
      <w:r>
        <w:rPr>
          <w:rFonts w:ascii="Calibri" w:hAnsi="Calibri" w:eastAsia="Calibri" w:cs="Calibri"/>
          <w:i/>
          <w:iCs/>
          <w:color w:val="000000"/>
          <w:sz w:val="22"/>
          <w:szCs w:val="22"/>
        </w:rPr>
        <w:t xml:space="preserve">Phytophthora pluvialis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(2), e12588. </w:t>
      </w:r>
    </w:p>
    <w:p>
      <w:pPr>
        <w:widowControl w:val="on"/>
        <w:pBdr/>
        <w:spacing w:before="220" w:after="220" w:line="240" w:lineRule="auto"/>
        <w:ind w:left="0" w:right="0"/>
        <w:jc w:val="left"/>
      </w:pPr>
      <w:r>
        <w:rPr>
          <w:rFonts w:ascii="Calibri" w:hAnsi="Calibri" w:eastAsia="Calibri" w:cs="Calibri"/>
          <w:color w:val="000000"/>
          <w:sz w:val="22"/>
          <w:szCs w:val="22"/>
        </w:rPr>
        <w:t xml:space="preserve">Gallegly ME &amp; Hong C (2008)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Identifying species by morphology and DNA fingerprints. American Phytopathological Society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Rizzo DM (2001) Preliminary studies on chemical and cultural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associated with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(S30), 1057-1065.</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Rizzo DM &amp; Marais L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sudden oak death in California: IV: Preliminary studies on chemical control. In: </w:t>
      </w:r>
      <w:r>
        <w:rPr>
          <w:rFonts w:ascii="Calibri" w:hAnsi="Calibri" w:eastAsia="Calibri" w:cs="Calibri"/>
          <w:i/>
          <w:iCs/>
          <w:color w:val="000000"/>
          <w:sz w:val="22"/>
          <w:szCs w:val="22"/>
        </w:rPr>
        <w:t xml:space="preserve">Standiford RB et al. (2002) Proceedings of the Fifth Symposium on Oak Woodlands: Oaks in California’s Challenging Landscape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PSW-GTR-184. US Department of Agriculture, Forest Service, Pacific Southwest Research Station </w:t>
      </w:r>
      <w:r>
        <w:rPr>
          <w:rFonts w:ascii="Calibri" w:hAnsi="Calibri" w:eastAsia="Calibri" w:cs="Calibri"/>
          <w:b/>
          <w:bCs/>
          <w:color w:val="000000"/>
          <w:sz w:val="22"/>
          <w:szCs w:val="22"/>
        </w:rPr>
        <w:t xml:space="preserve">184</w:t>
      </w:r>
      <w:r>
        <w:rPr>
          <w:rFonts w:ascii="Calibri" w:hAnsi="Calibri" w:eastAsia="Calibri" w:cs="Calibri"/>
          <w:color w:val="000000"/>
          <w:sz w:val="22"/>
          <w:szCs w:val="22"/>
        </w:rPr>
        <w:t xml:space="preserve">, 811-818.</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&amp; Press CM (2008)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pathogen with a remarkably wide host range causing sudden oak death on oaks and ramorum blight on woody ornamentals.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(6), 729-740.</w:t>
      </w:r>
    </w:p>
    <w:p>
      <w:pPr>
        <w:widowControl w:val="on"/>
        <w:pBdr/>
        <w:spacing w:before="220" w:after="220" w:line="240" w:lineRule="auto"/>
        <w:ind w:left="0" w:right="0"/>
        <w:jc w:val="left"/>
      </w:pPr>
      <w:r>
        <w:rPr>
          <w:rFonts w:ascii="Calibri" w:hAnsi="Calibri" w:eastAsia="Calibri" w:cs="Calibri"/>
          <w:color w:val="000000"/>
          <w:sz w:val="22"/>
          <w:szCs w:val="22"/>
        </w:rPr>
        <w:t xml:space="preserve">Hunter S, McDougal R, Williams N &amp; Scott P (2022) Variability in phosphite sensitivity observed within and between seven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273–279 </w:t>
      </w:r>
      <w:hyperlink r:id="rId318166985dc8cbe58" w:history="1">
        <w:r>
          <w:rPr>
            <w:rFonts w:ascii="Calibri" w:hAnsi="Calibri" w:eastAsia="Calibri" w:cs="Calibri"/>
            <w:color w:val="0000CC"/>
            <w:sz w:val="22"/>
            <w:szCs w:val="22"/>
            <w:u w:val="single"/>
          </w:rPr>
          <w:t xml:space="preserve">https://doi.org/10.1007/s13313-021-00846-5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Jung T, Durán A, Sanfuentes von Stowasser E, Schena L, Mosca S, Fajardo S, González M, Navarro Ortega AD, Bakonyi J, Seress D, Tomšovský M, Cravador A, Maia C &amp; Horta Jung M (2018) Diversity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in Valdivian rainforests and association with severe dieback symptoms.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e12443 </w:t>
      </w:r>
      <w:hyperlink r:id="rId114266985dc8cbee9" w:history="1">
        <w:r>
          <w:rPr>
            <w:rFonts w:ascii="Calibri" w:hAnsi="Calibri" w:eastAsia="Calibri" w:cs="Calibri"/>
            <w:color w:val="0000CC"/>
            <w:sz w:val="22"/>
            <w:szCs w:val="22"/>
            <w:u w:val="single"/>
          </w:rPr>
          <w:t xml:space="preserve">https://onlinelibrary.wiley.com/doi/10.1111/efp.12443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(2010) Sudden oak death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summary of the literature. </w:t>
      </w:r>
      <w:r>
        <w:rPr>
          <w:rFonts w:ascii="Calibri" w:hAnsi="Calibri" w:eastAsia="Calibri" w:cs="Calibri"/>
          <w:i/>
          <w:iCs/>
          <w:color w:val="000000"/>
          <w:sz w:val="22"/>
          <w:szCs w:val="22"/>
        </w:rPr>
        <w:t xml:space="preserve">General Technical Report PSW-GTR-234</w:t>
      </w:r>
      <w:r>
        <w:rPr>
          <w:rFonts w:ascii="Calibri" w:hAnsi="Calibri" w:eastAsia="Calibri" w:cs="Calibri"/>
          <w:color w:val="000000"/>
          <w:sz w:val="22"/>
          <w:szCs w:val="22"/>
        </w:rPr>
        <w:t xml:space="preserve">. US Department of Agriculture, Forest Service, Pacific Southwest Research Station 234, 181 pp.</w:t>
      </w:r>
    </w:p>
    <w:p>
      <w:pPr>
        <w:widowControl w:val="on"/>
        <w:pBdr/>
        <w:spacing w:before="220" w:after="220" w:line="240" w:lineRule="auto"/>
        <w:ind w:left="0" w:right="0"/>
        <w:jc w:val="left"/>
      </w:pPr>
      <w:r>
        <w:rPr>
          <w:rFonts w:ascii="Calibri" w:hAnsi="Calibri" w:eastAsia="Calibri" w:cs="Calibri"/>
          <w:color w:val="000000"/>
          <w:sz w:val="22"/>
          <w:szCs w:val="22"/>
        </w:rPr>
        <w:t xml:space="preserve">Kong P, Lea-Cox JD, Hong CX (2012) Effect of electrical conductivity on survival of </w:t>
      </w:r>
      <w:r>
        <w:rPr>
          <w:rFonts w:ascii="Calibri" w:hAnsi="Calibri" w:eastAsia="Calibri" w:cs="Calibri"/>
          <w:i/>
          <w:iCs/>
          <w:color w:val="000000"/>
          <w:sz w:val="22"/>
          <w:szCs w:val="22"/>
        </w:rPr>
        <w:t xml:space="preserve">Phytophthora alni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in a simulated aquatic environment.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(6), 1179-1186.</w:t>
      </w:r>
    </w:p>
    <w:p>
      <w:pPr>
        <w:widowControl w:val="on"/>
        <w:pBdr/>
        <w:spacing w:before="220" w:after="220" w:line="240" w:lineRule="auto"/>
        <w:ind w:left="0" w:right="0"/>
        <w:jc w:val="left"/>
      </w:pPr>
      <w:r>
        <w:rPr>
          <w:rFonts w:ascii="Calibri" w:hAnsi="Calibri" w:eastAsia="Calibri" w:cs="Calibri"/>
          <w:color w:val="000000"/>
          <w:sz w:val="22"/>
          <w:szCs w:val="22"/>
        </w:rPr>
        <w:t xml:space="preserve">Kong P, Lea-Cox JD, Moorman GW &amp; Hong C (2012a) Survival of </w:t>
      </w:r>
      <w:r>
        <w:rPr>
          <w:rFonts w:ascii="Calibri" w:hAnsi="Calibri" w:eastAsia="Calibri" w:cs="Calibri"/>
          <w:i/>
          <w:iCs/>
          <w:color w:val="000000"/>
          <w:sz w:val="22"/>
          <w:szCs w:val="22"/>
        </w:rPr>
        <w:t xml:space="preserve">Phytophthora alni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a simulated aquatic environment at different levels of pH. </w:t>
      </w:r>
      <w:r>
        <w:rPr>
          <w:rFonts w:ascii="Calibri" w:hAnsi="Calibri" w:eastAsia="Calibri" w:cs="Calibri"/>
          <w:i/>
          <w:iCs/>
          <w:color w:val="000000"/>
          <w:sz w:val="22"/>
          <w:szCs w:val="22"/>
        </w:rPr>
        <w:t xml:space="preserve">FEMS Microbiology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332</w:t>
      </w:r>
      <w:r>
        <w:rPr>
          <w:rFonts w:ascii="Calibri" w:hAnsi="Calibri" w:eastAsia="Calibri" w:cs="Calibri"/>
          <w:color w:val="000000"/>
          <w:sz w:val="22"/>
          <w:szCs w:val="22"/>
        </w:rPr>
        <w:t xml:space="preserve">(1), 54-60</w:t>
      </w:r>
    </w:p>
    <w:p>
      <w:pPr>
        <w:widowControl w:val="on"/>
        <w:pBdr/>
        <w:spacing w:before="220" w:after="220" w:line="240" w:lineRule="auto"/>
        <w:ind w:left="0" w:right="0"/>
        <w:jc w:val="left"/>
      </w:pPr>
      <w:r>
        <w:rPr>
          <w:rFonts w:ascii="Calibri" w:hAnsi="Calibri" w:eastAsia="Calibri" w:cs="Calibri"/>
          <w:color w:val="000000"/>
          <w:sz w:val="22"/>
          <w:szCs w:val="22"/>
        </w:rPr>
        <w:t xml:space="preserve">Ramsfield TD, Dick MA, Beever RE, Horner IJ, McAlonan MJ &amp; Hill CF (2009)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in New Zealand. In Proceedings of the fourth meeting of the International Union of Forest Research Organizations (IUFRO) Working Party S07.02.09: Phytophthoras in forests and natural ecosystems. </w:t>
      </w:r>
      <w:r>
        <w:rPr>
          <w:rFonts w:ascii="Calibri" w:hAnsi="Calibri" w:eastAsia="Calibri" w:cs="Calibri"/>
          <w:i/>
          <w:iCs/>
          <w:color w:val="000000"/>
          <w:sz w:val="22"/>
          <w:szCs w:val="22"/>
        </w:rPr>
        <w:t xml:space="preserve">General Technical Report - Pacific Southwest Research Station, USDA Forest Service, 2009 </w:t>
      </w:r>
      <w:r>
        <w:rPr>
          <w:rFonts w:ascii="Calibri" w:hAnsi="Calibri" w:eastAsia="Calibri" w:cs="Calibri"/>
          <w:color w:val="000000"/>
          <w:sz w:val="22"/>
          <w:szCs w:val="22"/>
        </w:rPr>
        <w:t xml:space="preserve">No.PSW-GTR-221, 47-53. </w:t>
      </w:r>
      <w:hyperlink r:id="rId432266985dc8cc125" w:history="1">
        <w:r>
          <w:rPr>
            <w:rFonts w:ascii="Calibri" w:hAnsi="Calibri" w:eastAsia="Calibri" w:cs="Calibri"/>
            <w:color w:val="0000CC"/>
            <w:sz w:val="22"/>
            <w:szCs w:val="22"/>
            <w:u w:val="single"/>
          </w:rPr>
          <w:t xml:space="preserve">https://www.fs.usda.gov/psw/publications/documents/psw_gtr221/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Rolando C, Gaskin RE, Horgan D, Williams N &amp; Bader M (2014) The use of adjuvants to improve uptake of phosphorous acid applied to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needles for control of foliar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w:t>
      </w:r>
      <w:r>
        <w:rPr>
          <w:rFonts w:ascii="Calibri" w:hAnsi="Calibri" w:eastAsia="Calibri" w:cs="Calibri"/>
          <w:i/>
          <w:iCs/>
          <w:color w:val="000000"/>
          <w:sz w:val="22"/>
          <w:szCs w:val="22"/>
        </w:rPr>
        <w:t xml:space="preserve">New Zealand Journal of Forestry Science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(8) </w:t>
      </w:r>
      <w:hyperlink r:id="rId927366985dc8cc1c5" w:history="1">
        <w:r>
          <w:rPr>
            <w:rFonts w:ascii="Calibri" w:hAnsi="Calibri" w:eastAsia="Calibri" w:cs="Calibri"/>
            <w:color w:val="0000CC"/>
            <w:sz w:val="22"/>
            <w:szCs w:val="22"/>
            <w:u w:val="single"/>
          </w:rPr>
          <w:t xml:space="preserve">http://dx.doi.org/10.1186/s40490-014-0008-5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Rolando CA, Dick MA, Gardner J, Bader MKF &amp; Williams NM (2017) Chemical control of two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infecting the canopy of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e12327. </w:t>
      </w:r>
      <w:hyperlink r:id="rId386566985dc8cc270" w:history="1">
        <w:r>
          <w:rPr>
            <w:rFonts w:ascii="Calibri" w:hAnsi="Calibri" w:eastAsia="Calibri" w:cs="Calibri"/>
            <w:color w:val="0000CC"/>
            <w:sz w:val="22"/>
            <w:szCs w:val="22"/>
            <w:u w:val="single"/>
          </w:rPr>
          <w:t xml:space="preserve">https://doi.org/10.1111/efp.12327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(2008) Revised Summary Pest Risk Analysis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65pp. </w:t>
      </w:r>
      <w:hyperlink r:id="rId288566985dc8cc2c1" w:history="1">
        <w:r>
          <w:rPr>
            <w:rFonts w:ascii="Calibri" w:hAnsi="Calibri" w:eastAsia="Calibri" w:cs="Calibri"/>
            <w:color w:val="0000CC"/>
            <w:sz w:val="22"/>
            <w:szCs w:val="22"/>
            <w:u w:val="single"/>
          </w:rPr>
          <w:t xml:space="preserve">https://planthealthportal.defra.gov.uk/pests-and-diseases/uk-plant-health-risk-register/downloadExternalPra.cfm?id=4435</w:t>
        </w:r>
      </w:hyperlink>
      <w:r>
        <w:rPr>
          <w:rFonts w:ascii="Calibri" w:hAnsi="Calibri" w:eastAsia="Calibri" w:cs="Calibri"/>
          <w:color w:val="000000"/>
          <w:sz w:val="22"/>
          <w:szCs w:val="22"/>
        </w:rPr>
        <w:t xml:space="preserve">. Last accessed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(2009) Development of UK/EU/EPPO Pest Risk Analyses for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lateralis</w:t>
      </w:r>
      <w:r>
        <w:rPr>
          <w:rFonts w:ascii="Calibri" w:hAnsi="Calibri" w:eastAsia="Calibri" w:cs="Calibri"/>
          <w:color w:val="000000"/>
          <w:sz w:val="22"/>
          <w:szCs w:val="22"/>
        </w:rPr>
        <w:t xml:space="preserve">, Berkeley, USA, Pacific Southwest Research Station, USDA Forest Service. </w:t>
      </w:r>
      <w:r>
        <w:rPr>
          <w:rFonts w:ascii="Calibri" w:hAnsi="Calibri" w:eastAsia="Calibri" w:cs="Calibri"/>
          <w:i/>
          <w:iCs/>
          <w:color w:val="000000"/>
          <w:sz w:val="22"/>
          <w:szCs w:val="22"/>
        </w:rPr>
        <w:t xml:space="preserve">Proceedings of the Fourth Meeting of IUFRO Working Party S07.02.09</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Scott P &amp; Williams N (2014)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diseases in New Zealand forests. </w:t>
      </w:r>
      <w:r>
        <w:rPr>
          <w:rFonts w:ascii="Calibri" w:hAnsi="Calibri" w:eastAsia="Calibri" w:cs="Calibri"/>
          <w:i/>
          <w:iCs/>
          <w:color w:val="000000"/>
          <w:sz w:val="22"/>
          <w:szCs w:val="22"/>
        </w:rPr>
        <w:t xml:space="preserve">New Zealand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14-21.</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(2009) Management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in southwest England. In Proceedings of the fourth meeting of the International Union of Forest Research Organizations (IUFRO) Working Party S07.02.09: Phytophthoras in forests and natural ecosystems</w:t>
      </w:r>
      <w:r>
        <w:rPr>
          <w:rFonts w:ascii="Calibri" w:hAnsi="Calibri" w:eastAsia="Calibri" w:cs="Calibri"/>
          <w:i/>
          <w:iCs/>
          <w:color w:val="000000"/>
          <w:sz w:val="22"/>
          <w:szCs w:val="22"/>
        </w:rPr>
        <w:t xml:space="preserve"> General Technical Report - Pacific Southwest Research Station, USDA Forest Service, 2009 </w:t>
      </w:r>
      <w:r>
        <w:rPr>
          <w:rFonts w:ascii="Calibri" w:hAnsi="Calibri" w:eastAsia="Calibri" w:cs="Calibri"/>
          <w:color w:val="000000"/>
          <w:sz w:val="22"/>
          <w:szCs w:val="22"/>
        </w:rPr>
        <w:t xml:space="preserve">No.PSW-GTR-221, pp. 177-183. </w:t>
      </w:r>
      <w:hyperlink r:id="rId981466985dc8cc487" w:history="1">
        <w:r>
          <w:rPr>
            <w:rFonts w:ascii="Calibri" w:hAnsi="Calibri" w:eastAsia="Calibri" w:cs="Calibri"/>
            <w:color w:val="0000CC"/>
            <w:sz w:val="22"/>
            <w:szCs w:val="22"/>
            <w:u w:val="single"/>
          </w:rPr>
          <w:t xml:space="preserve">https://www.fs.usda.gov/psw/publications/documents/psw_gtr221/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Widmer T (2011) Effect of temperature on survival of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oospores, sporangia, and mycelium. </w:t>
      </w:r>
      <w:r>
        <w:rPr>
          <w:rFonts w:ascii="Calibri" w:hAnsi="Calibri" w:eastAsia="Calibri" w:cs="Calibri"/>
          <w:i/>
          <w:iCs/>
          <w:color w:val="000000"/>
          <w:sz w:val="22"/>
          <w:szCs w:val="22"/>
        </w:rPr>
        <w:t xml:space="preserve">New Zealand Journal of Forestry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S15-23</w:t>
      </w:r>
      <w:r>
        <w:rPr>
          <w:rFonts w:ascii="Calibri" w:hAnsi="Calibri" w:eastAsia="Calibri" w:cs="Calibri"/>
          <w:b/>
          <w:b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prepared in 2022 by Dr Claire Sansford, Independent Plant Health Consultant, York, GB (Former Principal Risk Analyst with Fera, GB).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kernoviae</w:t>
      </w:r>
      <w:r>
        <w:rPr>
          <w:rFonts w:ascii="Calibri" w:hAnsi="Calibri" w:eastAsia="Calibri" w:cs="Calibri"/>
          <w:color w:val="000000"/>
          <w:sz w:val="22"/>
          <w:szCs w:val="22"/>
        </w:rPr>
        <w:t xml:space="preserve">. EPPO datasheets on pests recommended for regulation. Available online. </w:t>
      </w:r>
      <w:hyperlink r:id="rId383466985dc8cc5c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0743429" name="name263166985dc8ccb6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3666985dc8ccb6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720504">
    <w:multiLevelType w:val="hybridMultilevel"/>
    <w:lvl w:ilvl="0" w:tplc="33539257">
      <w:start w:val="1"/>
      <w:numFmt w:val="decimal"/>
      <w:lvlText w:val="%1."/>
      <w:lvlJc w:val="left"/>
      <w:pPr>
        <w:ind w:left="720" w:hanging="360"/>
      </w:pPr>
    </w:lvl>
    <w:lvl w:ilvl="1" w:tplc="33539257" w:tentative="1">
      <w:start w:val="1"/>
      <w:numFmt w:val="lowerLetter"/>
      <w:lvlText w:val="%2."/>
      <w:lvlJc w:val="left"/>
      <w:pPr>
        <w:ind w:left="1440" w:hanging="360"/>
      </w:pPr>
    </w:lvl>
    <w:lvl w:ilvl="2" w:tplc="33539257" w:tentative="1">
      <w:start w:val="1"/>
      <w:numFmt w:val="lowerRoman"/>
      <w:lvlText w:val="%3."/>
      <w:lvlJc w:val="right"/>
      <w:pPr>
        <w:ind w:left="2160" w:hanging="180"/>
      </w:pPr>
    </w:lvl>
    <w:lvl w:ilvl="3" w:tplc="33539257" w:tentative="1">
      <w:start w:val="1"/>
      <w:numFmt w:val="decimal"/>
      <w:lvlText w:val="%4."/>
      <w:lvlJc w:val="left"/>
      <w:pPr>
        <w:ind w:left="2880" w:hanging="360"/>
      </w:pPr>
    </w:lvl>
    <w:lvl w:ilvl="4" w:tplc="33539257" w:tentative="1">
      <w:start w:val="1"/>
      <w:numFmt w:val="lowerLetter"/>
      <w:lvlText w:val="%5."/>
      <w:lvlJc w:val="left"/>
      <w:pPr>
        <w:ind w:left="3600" w:hanging="360"/>
      </w:pPr>
    </w:lvl>
    <w:lvl w:ilvl="5" w:tplc="33539257" w:tentative="1">
      <w:start w:val="1"/>
      <w:numFmt w:val="lowerRoman"/>
      <w:lvlText w:val="%6."/>
      <w:lvlJc w:val="right"/>
      <w:pPr>
        <w:ind w:left="4320" w:hanging="180"/>
      </w:pPr>
    </w:lvl>
    <w:lvl w:ilvl="6" w:tplc="33539257" w:tentative="1">
      <w:start w:val="1"/>
      <w:numFmt w:val="decimal"/>
      <w:lvlText w:val="%7."/>
      <w:lvlJc w:val="left"/>
      <w:pPr>
        <w:ind w:left="5040" w:hanging="360"/>
      </w:pPr>
    </w:lvl>
    <w:lvl w:ilvl="7" w:tplc="33539257" w:tentative="1">
      <w:start w:val="1"/>
      <w:numFmt w:val="lowerLetter"/>
      <w:lvlText w:val="%8."/>
      <w:lvlJc w:val="left"/>
      <w:pPr>
        <w:ind w:left="5760" w:hanging="360"/>
      </w:pPr>
    </w:lvl>
    <w:lvl w:ilvl="8" w:tplc="33539257" w:tentative="1">
      <w:start w:val="1"/>
      <w:numFmt w:val="lowerRoman"/>
      <w:lvlText w:val="%9."/>
      <w:lvlJc w:val="right"/>
      <w:pPr>
        <w:ind w:left="6480" w:hanging="180"/>
      </w:pPr>
    </w:lvl>
  </w:abstractNum>
  <w:abstractNum w:abstractNumId="88720503">
    <w:multiLevelType w:val="hybridMultilevel"/>
    <w:lvl w:ilvl="0" w:tplc="83475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720503">
    <w:abstractNumId w:val="88720503"/>
  </w:num>
  <w:num w:numId="88720504">
    <w:abstractNumId w:val="887205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6518558" Type="http://schemas.microsoft.com/office/2011/relationships/commentsExtended" Target="commentsExtended.xml"/><Relationship Id="rId799189071" Type="http://schemas.microsoft.com/office/2011/relationships/people" Target="people.xml"/><Relationship Id="rId623566985dc8c7672" Type="http://schemas.openxmlformats.org/officeDocument/2006/relationships/hyperlink" Target="https://gd.eppo.int/taxon/PHYTKE/" TargetMode="External"/><Relationship Id="rId235566985dc8c76b8" Type="http://schemas.openxmlformats.org/officeDocument/2006/relationships/hyperlink" Target="https://gd.eppo.int/taxon/PHYTKE/categorization" TargetMode="External"/><Relationship Id="rId329766985dc8c7f53" Type="http://schemas.openxmlformats.org/officeDocument/2006/relationships/hyperlink" Target="https://gd.eppo.int/taxon/PHYTKE/photos" TargetMode="External"/><Relationship Id="rId720466985dc8caf9c" Type="http://schemas.openxmlformats.org/officeDocument/2006/relationships/hyperlink" Target="https://idtools.org/id/phytophthora/factsheet.php?name=7970" TargetMode="External"/><Relationship Id="rId448466985dc8cb000" Type="http://schemas.openxmlformats.org/officeDocument/2006/relationships/hyperlink" Target="https://www.legislation.gov.uk/uksi/2004/3367/introduction/made" TargetMode="External"/><Relationship Id="rId431866985dc8cb0d9" Type="http://schemas.openxmlformats.org/officeDocument/2006/relationships/hyperlink" Target="https://agri.nv.gov/uploadedFiles/agrinvgov/Content/Plant/Plant_Pathology/Kernoviae%20Bleeding%20Canker%20and%20Blight%20-Phytophthora%20kernoviae.pdf" TargetMode="External"/><Relationship Id="rId783966985dc8cb10f" Type="http://schemas.openxmlformats.org/officeDocument/2006/relationships/hyperlink" Target="https://www.gov.uk/guidance/prevent-the-introduction-and-spread-of-tree-pests-and-diseases" TargetMode="External"/><Relationship Id="rId859466985dc8cb249" Type="http://schemas.openxmlformats.org/officeDocument/2006/relationships/hyperlink" Target="https://doi/org/10.1016/j.fgb.2007.10.010" TargetMode="External"/><Relationship Id="rId811966985dc8cb513" Type="http://schemas.openxmlformats.org/officeDocument/2006/relationships/hyperlink" Target="https://planthealthportal.defra.gov.uk/pests-and-diseases/uk-plant-health-risk-register/viewPestRisks.cfm?cslref=25428" TargetMode="External"/><Relationship Id="rId319466985dc8cb66c" Type="http://schemas.openxmlformats.org/officeDocument/2006/relationships/hyperlink" Target="http://dx.doi.org/10.1186/s40490-014-0006-7" TargetMode="External"/><Relationship Id="rId251666985dc8cb6dd" Type="http://schemas.openxmlformats.org/officeDocument/2006/relationships/hyperlink" Target="https://gd.eppo.int/reporting/article-173" TargetMode="External"/><Relationship Id="rId464866985dc8cb74c" Type="http://schemas.openxmlformats.org/officeDocument/2006/relationships/hyperlink" Target="https://gd.eppo.int/reporting/article-605" TargetMode="External"/><Relationship Id="rId735766985dc8cb7da" Type="http://schemas.openxmlformats.org/officeDocument/2006/relationships/hyperlink" Target="https://gd.eppo.int/taxon/PHYTKE/documents" TargetMode="External"/><Relationship Id="rId958366985dc8cb854" Type="http://schemas.openxmlformats.org/officeDocument/2006/relationships/hyperlink" Target="https://gd.eppo.int/taxon/PHYTRA/documents" TargetMode="External"/><Relationship Id="rId461766985dc8cb94a" Type="http://schemas.openxmlformats.org/officeDocument/2006/relationships/hyperlink" Target="https://planthealthportal.defra.gov.uk/assets/factsheets/phytophthoraBilberry.pdf" TargetMode="External"/><Relationship Id="rId297366985dc8cbab1" Type="http://schemas.openxmlformats.org/officeDocument/2006/relationships/hyperlink" Target="https://www.forestresearch.gov.uk/research/phytophthora-kernoviae/" TargetMode="External"/><Relationship Id="rId907166985dc8cbb01" Type="http://schemas.openxmlformats.org/officeDocument/2006/relationships/hyperlink" Target="https://www.forestresearch.gov.uk/tools-and-resources/fthr/pest-and-disease-resources/phytophthora-kernoviae/" TargetMode="External"/><Relationship Id="rId318166985dc8cbe58" Type="http://schemas.openxmlformats.org/officeDocument/2006/relationships/hyperlink" Target="https://doi.org/10.1007/s13313-021-00846-5" TargetMode="External"/><Relationship Id="rId114266985dc8cbee9" Type="http://schemas.openxmlformats.org/officeDocument/2006/relationships/hyperlink" Target="https://onlinelibrary.wiley.com/doi/10.1111/efp.12443" TargetMode="External"/><Relationship Id="rId432266985dc8cc125" Type="http://schemas.openxmlformats.org/officeDocument/2006/relationships/hyperlink" Target="https://www.fs.usda.gov/psw/publications/documents/psw_gtr221/" TargetMode="External"/><Relationship Id="rId927366985dc8cc1c5" Type="http://schemas.openxmlformats.org/officeDocument/2006/relationships/hyperlink" Target="http://dx.doi.org/10.1186/s40490-014-0008-5" TargetMode="External"/><Relationship Id="rId386566985dc8cc270" Type="http://schemas.openxmlformats.org/officeDocument/2006/relationships/hyperlink" Target="https://doi.org/10.1111/efp.12327" TargetMode="External"/><Relationship Id="rId288566985dc8cc2c1" Type="http://schemas.openxmlformats.org/officeDocument/2006/relationships/hyperlink" Target="https://planthealthportal.defra.gov.uk/pests-and-diseases/uk-plant-health-risk-register/downloadExternalPra.cfm?id=4435" TargetMode="External"/><Relationship Id="rId981466985dc8cc487" Type="http://schemas.openxmlformats.org/officeDocument/2006/relationships/hyperlink" Target="https://www.fs.usda.gov/psw/publications/documents/psw_gtr221/" TargetMode="External"/><Relationship Id="rId383466985dc8cc5ce" Type="http://schemas.openxmlformats.org/officeDocument/2006/relationships/hyperlink" Target="https://gd.eppo.int" TargetMode="External"/><Relationship Id="rId196866985dc8c7dd8" Type="http://schemas.openxmlformats.org/officeDocument/2006/relationships/image" Target="media/imgrId196866985dc8c7dd8.jpg"/><Relationship Id="rId491766985dc8c9727" Type="http://schemas.openxmlformats.org/officeDocument/2006/relationships/image" Target="media/imgrId491766985dc8c9727.jpg"/><Relationship Id="rId863666985dc8ccb6b" Type="http://schemas.openxmlformats.org/officeDocument/2006/relationships/image" Target="media/imgrId863666985dc8ccb6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