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fragariae</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Lanarkshire disease of strawberry, red core of strawberry, red stele of strawberry</w:t>
            </w:r>
            <w:hyperlink r:id="rId749066986230456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73766986230457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693104" name="name32866698623045fae" descr="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97396698623045fac" cstate="print"/>
                          <a:stretch>
                            <a:fillRect/>
                          </a:stretch>
                        </pic:blipFill>
                        <pic:spPr>
                          <a:xfrm>
                            <a:off x="0" y="0"/>
                            <a:ext cx="2160000" cy="1281600"/>
                          </a:xfrm>
                          <a:prstGeom prst="rect">
                            <a:avLst/>
                          </a:prstGeom>
                          <a:ln w="0">
                            <a:noFill/>
                          </a:ln>
                        </pic:spPr>
                      </pic:pic>
                    </a:graphicData>
                  </a:graphic>
                </wp:inline>
              </w:drawing>
            </w:r>
            <w:hyperlink r:id="rId571266986230460c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was previously considered to have two varieties: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Wilcox &amp; Duncan and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Wilcox &amp; Duncan, which shared similar morphology and growth/temperature responses but differed in their host specificities;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causing red core of strawberry, and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being associated with root rot of raspberry (Wilcox &amp; Duncan, 1993). In 2007,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was separated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re-described as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(Wilcox &amp; Duncan, 1993 and Man in’t Veld, 2007), as analyses of isozyme profiles and cox1 sequences demonstrated the absence of gene flow between both taxa (Man in ‘t Veld, 2007). This was subsequentially supported by whole genome analyses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Phylogenetically, both species belong to Clade 7a, with </w:t>
      </w:r>
      <w:r>
        <w:rPr>
          <w:rFonts w:ascii="Calibri" w:hAnsi="Calibri" w:eastAsia="Calibri" w:cs="Calibri"/>
          <w:i/>
          <w:iCs/>
          <w:color w:val="000000"/>
          <w:sz w:val="22"/>
          <w:szCs w:val="22"/>
        </w:rPr>
        <w:t xml:space="preserve">Phytophthora attenuata</w:t>
      </w:r>
      <w:r>
        <w:rPr>
          <w:rFonts w:ascii="Calibri" w:hAnsi="Calibri" w:eastAsia="Calibri" w:cs="Calibri"/>
          <w:color w:val="000000"/>
          <w:sz w:val="22"/>
          <w:szCs w:val="22"/>
        </w:rPr>
        <w:t xml:space="preserve"> from Taiwan being the most closely related species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loganobaccus</w:t>
      </w:r>
      <w:r>
        <w:rPr>
          <w:rFonts w:ascii="Calibri" w:hAnsi="Calibri" w:eastAsia="Calibri" w:cs="Calibri"/>
          <w:color w:val="000000"/>
          <w:sz w:val="22"/>
          <w:szCs w:val="22"/>
        </w:rPr>
        <w:t xml:space="preserve"> are the only known hosts under natural conditions. Infection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occur via artificial inoculation on other genera in the families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(Erwin &amp; Ribeiro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 </w:t>
      </w:r>
      <w:r>
        <w:rPr>
          <w:rFonts w:ascii="Calibri" w:hAnsi="Calibri" w:eastAsia="Calibri" w:cs="Calibri"/>
          <w:color w:val="000000"/>
          <w:sz w:val="22"/>
          <w:szCs w:val="22"/>
        </w:rPr>
        <w:t xml:space="preserve">is currently present in all five continents, although its distribution is concentrated in Europe and North America. Since its first report in Scotland in 1920, the pathogen has spread in many countries where strawberry is grown, except China and the Southern Mediterranean countries of Europe (Van de Weg, 1997) where the pathogen distribution is still restricted. The climate of most European countries is favorable to the requirements of the pathogen for growth and sporulation; conditions are apparently most conducive in the western part of Northern Europe, with a temperate, oceanic climate, and least so in the southern Mediterranean regions, where high soil temperatures would inhibit pathogen establishment and disease development. Disease outbreaks are so far known only in commercial strawberry production, and it is reported in several EPPO member countries. In two EPPO member countries (Hungary, Sweden)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reported as eradicated.</w:t>
      </w:r>
    </w:p>
    <w:p>
      <w:r>
        <w:drawing>
          <wp:inline distT="0" distB="0" distL="0" distR="0">
            <wp:extent cx="6120000" cy="3067200"/>
            <wp:docPr id="45719540" name="name773966986230471d1" descr="PHY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R_distribution_map.jpg"/>
                    <pic:cNvPicPr/>
                  </pic:nvPicPr>
                  <pic:blipFill>
                    <a:blip r:embed="rId645266986230471c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Denmark, Finland, France (mainland), Germany, Ireland, Italy (mainland), Lithuania, Luxembourg, Netherlands, Norway, Russia (Central Russia, Southern Russia), Slovakia, Switzerland,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Japan,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(Arkansas, California, Colorado, Connecticut, Delaware, Florida, Illinois, Indiana, Iowa, Kentucky, Maine, Maryland, Massachusetts, Michigan, New Hampshire, New Jersey, New York, North Carolina, Ohio, Oklahoma, Oregon, Pennsylvania, Rhode Island, Tennessee, Vermont, Virginia,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survive in the soil for at least 12 years without host plants as resistant oospores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whereas hyphae and other asexual structures persist for a few months only (Duncan &amp; Cowan, 1980). </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germinate and form a new sporangiophore on which, depending on the environmental conditions, one or occasionally several sporangia are produced. The optimum temperature for germination is 10-15°C but germination can occur also at 20°C and very slowly at 5°C. Minimum growth temperature is 3°C, while optimum and maximum temperatures are 18°C and 27°C, respectively. Sporangia release motile, biflagellate zoospores into the soil water. These zoospores are then chemotactically attracted by the root tips of the host plant where they attach themselves, encyst, and form germ tubes which penetrate into the root. The pathogen traverses the cortex inter- and intracellularly to the stele, mainly colonizing the pericycle and the phloem. Growth is mostly concentrated within and along the stele, but hyphae grow out from the roots to form new sporangia which release more zoospores, and the cycle starts again. Secondary sporangia are produced within a few days and thus many cycles of infection can occur over the winter months. Sporangia can often be seen on recently infected roots, generally concentrated around root tips and at the points where lateral roots are emerging from the main root. Internal proliferation of the sporangia is a common feature, which presumably contributes to the rapid production of large numbers of zoospores. Zoospores are negatively geotropic and, by swimming upwards, become concentrated in the water at the surface of the soil. Movement in surface or drainage water, especially down slopes, can spread the zoospores very rapidly. The optimum temperature for infection is 10-17°C; infection can occur at temperatures down to 3°C but not at 25°C (Erwin &amp; Ribeiro, 1996). It proceeds more slowly below 10°C but more secondary inoculum is produced over longer periods at these low temperatures, which explains why the disease is more severe after a wet winter. The infection occurs most readily under wet, cool conditions, typically in late autumn and early spring and the low temperatures favour the production of large amounts of secondary inoculum over a long period.</w:t>
      </w:r>
    </w:p>
    <w:p>
      <w:pPr>
        <w:widowControl w:val="on"/>
        <w:pBdr/>
        <w:spacing w:before="220" w:after="220" w:line="240" w:lineRule="auto"/>
        <w:ind w:left="0" w:right="0"/>
        <w:jc w:val="left"/>
      </w:pPr>
      <w:r>
        <w:rPr>
          <w:rFonts w:ascii="Calibri" w:hAnsi="Calibri" w:eastAsia="Calibri" w:cs="Calibri"/>
          <w:color w:val="000000"/>
          <w:sz w:val="22"/>
          <w:szCs w:val="22"/>
        </w:rPr>
        <w:t xml:space="preserve">The stele of infected roots turns red in response to infection and later the root starts to rot from the tip upwards. As the infection progresses, oospores are formed in close association with the stele, probably in the sieve tubes of the phloem.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has a homothallic breeding system and forms oogonia, containing thick-walled oospores, and amphigynous and/or paragynous antheridia in single culture. Several hundred oospores may be produced per cm length of infected root. Eventually infected roots rot, and are invaded by secondary organisms, leaving a large number of new oospores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distinct pathogenicity races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in the United Kingdom, United States, and Canada, although there is no internationally recognized system for classifying races. A total of 27 races have been described, however some of which were shown to be the same as other described races (Kennedy &amp; Duncan, 1993). Recent studies using genomic approach allowed the resolution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race schemes between different countries, Canadian race 1 is equivalent to United Kingdom race 1, Canadian race 2 is equivalent to United Kingdom race 3 and both Canadian race 3 and United States race 4 are equivalent to United Kingdom race 2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outbreaks often start from small foci of infected strawberry plants. They increase in size, especially down slopes where spread in water can quickly lead to large areas being affected. Symptoms can be apparent on the roots from late autumn onwards but generally do not become noticeable on the above-ground parts of the plants until late spring or early summer, at which time it can be difficult to find confirmatory evidence of the pathogen in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appear on the upper parts of plants that come under stress in late spring or early summer, especially in low-lying, wet areas. Plants often fail to develop or have only stunted growth. They may die just before fruiting or produce a few small fruits. Younger leaves can have a blue-green coloration and older ones turn yellow or red. Digging up the plants reveals a poorly developed and rotten root system.</w:t>
      </w:r>
    </w:p>
    <w:p>
      <w:pPr>
        <w:widowControl w:val="on"/>
        <w:pBdr/>
        <w:spacing w:before="220" w:after="220" w:line="240" w:lineRule="auto"/>
        <w:ind w:left="0" w:right="0"/>
        <w:jc w:val="both"/>
      </w:pPr>
      <w:r>
        <w:rPr>
          <w:rFonts w:ascii="Calibri" w:hAnsi="Calibri" w:eastAsia="Calibri" w:cs="Calibri"/>
          <w:color w:val="000000"/>
          <w:sz w:val="22"/>
          <w:szCs w:val="22"/>
        </w:rPr>
        <w:t xml:space="preserve">Lateral feeder roots are usually badly rotten and are commonly lost by the time plants are dug up. The adventitious roots rot from the tips upwards and often are grey to brown at their distal ends, giving the characteristic 'rat-tail' symptom. Cutting open the upper, white, unrotten parts of such roots reveals steles which are wine-red to brick-red in colour - hence the name red core. The colour can extend for quite long distances above the rotten parts of the roots, right into the crown in highly susceptible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usually confirmed by finding red steles and the presence of the typical oospores in the infected tissues. The oospores can be abundant but are restricted to the stelar region of rotten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non-papillate; persistent; obpyriform, ovoid, ellipsoid (28–56 × 27–49 µm), often very markedly obpyriform in shape; with internal and nested proliferation and originated in unbranched or simple sympodial sporangiophores. Hyphal swellings coralloid, irregular shapes, globose, subglobose, some solitary, and others catenulate in chains. Chlamydospores absent. Oogonia smooth-walled, originated in very short stalks; frequently globose (28–46 µm diam) with tapering base; antheridia amphigynous and some paragynous (16–30 × 12–22 µm); oospores plerotic and aplerotic, many showing a single globule and turning golden brown with age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strawberry roots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be difficult to detect, especially in summer when the fungus is largely inactive and is present principally as oospores.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detected in fields even at very low levels by the use of a sensitive root tip bait test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Runners are dug up at regular intervals across the field and samples of root tips, 2-5 cm in length, are cut from the ends of the roots and collected in a polythene bag. The root tips are mixed with a soilless compost and the mixture is planted with the alpine strawberry cultivar Baron Solemacher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alpina</w:t>
      </w:r>
      <w:r>
        <w:rPr>
          <w:rFonts w:ascii="Calibri" w:hAnsi="Calibri" w:eastAsia="Calibri" w:cs="Calibri"/>
          <w:color w:val="000000"/>
          <w:sz w:val="22"/>
          <w:szCs w:val="22"/>
        </w:rPr>
        <w:t xml:space="preserve">), grown from seed. The plants are then kept under cool conditions with moderate lighting in a glasshouse and watered copiously (care should be taken to ensure that the pots drain freely and do not become stagnant). Deep-red coloration of stems and leaves and wilting of leaves often become apparent within 5 weeks, when the test is normally terminated (Duncan, 1979). The root systems of the plants should be checked for oospores and, if present, isolation can be carried out on a selective medium (Erwin &amp; Ribeiro, 1996). The root tip bait test is highly sensitive and can detect &lt;1% infection levels, however it is time-consuming and requires the tester to have mycological expertise, taxonomic experience and must be done at about 12°C.</w:t>
      </w:r>
    </w:p>
    <w:p>
      <w:pPr>
        <w:widowControl w:val="on"/>
        <w:pBdr/>
        <w:spacing w:before="220" w:after="220" w:line="240" w:lineRule="auto"/>
        <w:ind w:left="0" w:right="0"/>
        <w:jc w:val="both"/>
      </w:pPr>
      <w:r>
        <w:rPr>
          <w:rFonts w:ascii="Calibri" w:hAnsi="Calibri" w:eastAsia="Calibri" w:cs="Calibri"/>
          <w:color w:val="000000"/>
          <w:sz w:val="22"/>
          <w:szCs w:val="22"/>
        </w:rPr>
        <w:t xml:space="preserve">Other methods of detecting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developed. ELISA tests have been developed (Amouzou-Alladaye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Mohan, 1988; Werres, 1988; Pscheidt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but these are not suitable for critical diagnosis since they are only specific at the level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Burns &amp; George (1995) tried to obtain monoclonal antibodies specific for the two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but these again were specific only at the genus level. </w:t>
      </w:r>
    </w:p>
    <w:p>
      <w:pPr>
        <w:widowControl w:val="on"/>
        <w:pBdr/>
        <w:spacing w:before="220" w:after="220" w:line="240" w:lineRule="auto"/>
        <w:ind w:left="0" w:right="0"/>
        <w:jc w:val="both"/>
      </w:pPr>
      <w:r>
        <w:rPr>
          <w:rFonts w:ascii="Calibri" w:hAnsi="Calibri" w:eastAsia="Calibri" w:cs="Calibri"/>
          <w:color w:val="000000"/>
          <w:sz w:val="22"/>
          <w:szCs w:val="22"/>
        </w:rPr>
        <w:t xml:space="preserve">A Polymerase Chain Reaction (PCR) technique has been developed in the Netherlands and Scotland. Sequences of the internal transcribed spacer region of the ribosomal gene repeat (rDNA) were used to develop specific primers in a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With this technique, it was possible to detect specifically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in infected but symptomless roots, and also to detect zoospores in contaminated water samples. The method is highly sensitive and is at least as sensitive as the root tip bait test. Although this work was mainly done 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PCR method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Munawar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rapid recombinase polymerase amplification (RPA) assay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targeting the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mitochondrial DNA intergenic atp9-nad9 marker, which was shown to be more reliable than the baiting test to detect the pathogen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generally, other fast and reliable methods have been developed for DNA extraction from soil and zoospores trapped from water on filters making it possible to follow the activity and spread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throughout the year (Prigigallo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plants for planting of strawberries imported from affected parts of the world (e.g. USA, South America) should fulfil the phytosanitary procedures described in the EPPO Standard PM 3/73 (EPPO, 2008b). This guideline describes the procedure by which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for planting are subjected to import control including sampling and pathogen identification.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can be made both at the point of entry in the importing country or may be applied in the exporting country, just before transporting the consignment. Inspections are made visually for detection of specific disease symptoms, such as root and crown rot, and through sampling and pathogen testing.</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3/83 (EPPO, 2017) describes the procedure for inspection of places of production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spread in surface or drainage water, and this can be important for local spread. Caution must be exercised when irrigating crops as the pathogen has been spread by irrigating with water which had drained from infested fields, especially in very wet, mild winters. The pathogen can also be moved in soil on equipment and machinery. However, the most important means of spread which has undoubtedly resulted in the movement of the disease within countries and throughout much of Europe, is in planting material of strawberry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Red core is a cause of serious economic loss wherever it occurs, although it is generally most severe in cool, wet regions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Damage is most severe after wet winters and can be considerable, with yields as low as 1 tonne/ha, mostly of small fruit of poor quality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Nova Scotia (Canada), it was estimated that in one season 78% of the strawberry area was rendered unproductive with significant losses to growers (Gourley &amp; Delbridge, 1972). Montgomerie and Kennedy (1982) demonstrated that the relationship between red core disease incidence and severity and yield was highly significant and negatively correlated. In the EPPO region, the disease is of great economic importance to strawberry production in Belgium, France, Germany, Italy, Netherlands, Russia, Switzerland and the United Kingdom, and of some importance in all countries where it is established.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build-up and spread of inoculum, the polycyclic nature of the disease, and the production and subsequent survival of oospores are the main factors which make this disease difficult to control and eradicate.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spread is via infected planting material and the best control measure is through strict legislation and certification schemes (ideally involving a root tip bait test see above) for nursery stocks. EPPO has produced recommendations on a certification scheme for strawberries (EPPO, 2008a) providing detailed guidelines to produce pathogen tested material of vegetatively propagated strawberry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fungicides are known to be effective in controlling red core disease. Both metalaxyl and fosetyl aluminium gave satisfactory control of red core disease (McIntyre &amp; Walton, 1981; O’Neill &amp; Griffin, 1987). Various fungicides containing phenylamides when applied in autumn and spring also gave significant disease control. However, in addition to environmental consequences arising from the use of fungicides, there is a risk of selecting fungicide-resistant strains of the pathogen. Metalaxyl-resistant strains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from Germany (Seemüller &amp; Sun, 1989) and North America, where metalaxyl tolerance is causing serious problems (Nickerson &amp; Maas, 1991).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also be obtained by appropriate use of cultural practices, especially by improving drainage. Good results have sometimes been achieved by growing plants on ridges or raised beds. The presence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seems to cause more damage under perennial cultivation systems than annual cultivation systems. In the case of a transfer from perennial to annual cultivation systems,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would possibly cause less damage, provided that disease-free plants were used for planting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breed for resistance have resulted in the release of commercial cultivars with high levels of field resistance (Gooding, 1972), however, their resistance was shown to be race-specific (Kennedy &amp; Duncan, 1988). Many popular cultivars in Europe have race-specific resistance, but it is not clear whether this contributes to disease control because races, which are virulent on these cultivars, have been recorded from several countries. In North America, breeders have selected cultivars with race-specific resistance (Scott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have had some success in controlling the disease. Attempts to breed for resistance have resulted in the production of commercial cultivars with high levels of field resistance. Van de Weg (1997) suggested that resistance of strawberry and virulence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behaves according to a gene-for-gene system with at least five race-specific resistance and avirulence genes. In Europe, Canada and the USA there are a number of red core-resistant varieties grown (Milholland, 1994), although, in Europe they are not widely cultivated. Due to the increasing concern about the use of pesticide, the use of resistant cultivars represents an important disease management alternative to prevent establishment of the pathogen in new strawberry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red stele could be an alternative to the use of agrochemicals. Plant growth promoting rhizobacteria (PGPR) showed positive results both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experiments in reducing red core and crown rot caused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exhibiting similar level of control as the chemical fungicides (Anandhakumar &amp; Zeller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is well established in the EPPO region and could potentially spread further. Strawberry red core is a potential hazard where soils remain cool and damp for some part of the year. In fact, the disease now occurs in several countries in the EPPO region, particularly in central and northern Europe. It has also been recorded in countries of the warmer and drier Mediterranean region and extensive use of irrigation in such regions may increase the risk of more serious outbreaks in that region.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however of restricted distribution within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apply worldwide. It may be required that host plants are produced in a pest-free area, or, as suggested by some countries, in a pest free place of production (EFSA, 2014). Use of certified strawberry planting material, according to EPPO (2008a), can, however, provide adequate guarantees and the probability that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imported through this scheme may carry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considered to be low. In the European Union, when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was deregulated as a quarantine pest (EU, 2019), the pathogen was recommended for regulation as a RNQP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(other than seeds)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ISPM 40 (IPPC, 2017) also provides useful guidance for phytosanitary measures to be applied to growing media associated to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Burgess TI, Bourret T, Bensch K, Cacciola S, Scanu B, Mathew R, Kasiborski B, Srivastava S, Kageyama K, Bienapfl JC, Verkleij G, Broders K, Schena L, Redford AJ (2023). Phytophthora: taxonomic and phylogenetic revision of the genus. Studies in Mycology 106, 259–348. </w:t>
      </w:r>
      <w:hyperlink r:id="rId56946698623047fdd" w:history="1">
        <w:r>
          <w:rPr>
            <w:rFonts w:ascii="Calibri" w:hAnsi="Calibri" w:eastAsia="Calibri" w:cs="Calibri"/>
            <w:color w:val="0000CC"/>
            <w:sz w:val="22"/>
            <w:szCs w:val="22"/>
            <w:u w:val="single"/>
          </w:rPr>
          <w:t xml:space="preserve">https://doi.org/10.3114/ sim.2023.106.05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Adams TM, Armitage AD, Sobczyk MK, Bates HJ, Tabima JF, Kronmiller BA, Tyler BM, Grünwald NJ, Dunwell JM, Nellist CF, Harrison RJ (2020) Genomic investigation of the strawberry pathogen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indicates pathogenicity is associated with transcriptional variation in three key races.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490.</w:t>
      </w:r>
    </w:p>
    <w:p>
      <w:pPr>
        <w:widowControl w:val="on"/>
        <w:pBdr/>
        <w:spacing w:before="220" w:after="220" w:line="240" w:lineRule="auto"/>
        <w:ind w:left="0" w:right="0"/>
        <w:jc w:val="left"/>
      </w:pPr>
      <w:r>
        <w:rPr>
          <w:rFonts w:ascii="Calibri" w:hAnsi="Calibri" w:eastAsia="Calibri" w:cs="Calibri"/>
          <w:color w:val="000000"/>
          <w:sz w:val="22"/>
          <w:szCs w:val="22"/>
        </w:rPr>
        <w:t xml:space="preserve">Amouzou-Alladaye E, Dunez J, Clerjeau M (1988) Immunoenzymatic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infected strawberry plants.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1022-1026.</w:t>
      </w:r>
    </w:p>
    <w:p>
      <w:pPr>
        <w:widowControl w:val="on"/>
        <w:pBdr/>
        <w:spacing w:before="220" w:after="220" w:line="240" w:lineRule="auto"/>
        <w:ind w:left="0" w:right="0"/>
        <w:jc w:val="left"/>
      </w:pPr>
      <w:r>
        <w:rPr>
          <w:rFonts w:ascii="Calibri" w:hAnsi="Calibri" w:eastAsia="Calibri" w:cs="Calibri"/>
          <w:color w:val="000000"/>
          <w:sz w:val="22"/>
          <w:szCs w:val="22"/>
        </w:rPr>
        <w:t xml:space="preserve">Anandhakumar J, Zeller W (2008) Biological control of red stele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and crown rot (</w:t>
      </w:r>
      <w:r>
        <w:rPr>
          <w:rFonts w:ascii="Calibri" w:hAnsi="Calibri" w:eastAsia="Calibri" w:cs="Calibri"/>
          <w:i/>
          <w:iCs/>
          <w:color w:val="000000"/>
          <w:sz w:val="22"/>
          <w:szCs w:val="22"/>
        </w:rPr>
        <w:t xml:space="preserve">P. cactorum</w:t>
      </w:r>
      <w:r>
        <w:rPr>
          <w:rFonts w:ascii="Calibri" w:hAnsi="Calibri" w:eastAsia="Calibri" w:cs="Calibri"/>
          <w:color w:val="000000"/>
          <w:sz w:val="22"/>
          <w:szCs w:val="22"/>
        </w:rPr>
        <w:t xml:space="preserve">) disease of strawberry with rhizobacteria. </w:t>
      </w:r>
      <w:r>
        <w:rPr>
          <w:rFonts w:ascii="Calibri" w:hAnsi="Calibri" w:eastAsia="Calibri" w:cs="Calibri"/>
          <w:i/>
          <w:iCs/>
          <w:color w:val="000000"/>
          <w:sz w:val="22"/>
          <w:szCs w:val="22"/>
        </w:rPr>
        <w:t xml:space="preserve">Journal of Plant Disease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115, </w:t>
      </w:r>
      <w:r>
        <w:rPr>
          <w:rFonts w:ascii="Calibri" w:hAnsi="Calibri" w:eastAsia="Calibri" w:cs="Calibri"/>
          <w:color w:val="000000"/>
          <w:sz w:val="22"/>
          <w:szCs w:val="22"/>
        </w:rPr>
        <w:t xml:space="preserve">7.</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Burns R, George E (1995) The use of monoclonal antibodies for the detection of fungi.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(1979)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bait plants as a method for detecting red core in strawberry fields.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Cowan JB (1980) Effect of temperature and soil moisture content on persistence of infectivity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naturally infested field soil.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Fordyce W, Harper PC, Rankin PA (1986) Eliminating red core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from Scottish certified stock strawberries. </w:t>
      </w:r>
      <w:r>
        <w:rPr>
          <w:rFonts w:ascii="Calibri" w:hAnsi="Calibri" w:eastAsia="Calibri" w:cs="Calibri"/>
          <w:i/>
          <w:iCs/>
          <w:color w:val="000000"/>
          <w:sz w:val="22"/>
          <w:szCs w:val="22"/>
        </w:rPr>
        <w:t xml:space="preserve">Research and Development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risks to plant health posed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3539, 63 pp. </w:t>
      </w:r>
      <w:hyperlink r:id="rId582066986230484fe" w:history="1">
        <w:r>
          <w:rPr>
            <w:rFonts w:ascii="Calibri" w:hAnsi="Calibri" w:eastAsia="Calibri" w:cs="Calibri"/>
            <w:color w:val="0000CC"/>
            <w:sz w:val="22"/>
            <w:szCs w:val="22"/>
            <w:u w:val="single"/>
          </w:rPr>
          <w:t xml:space="preserve">https://doi.org/10.2903/j.efsa.2014.3539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 Schemes for the production of healthy plants for planting – PM 4/11(2)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 Phytosanitary procedures –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 Phytosanitary procedures -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Phytophthora Diseases World- wide. APS Press,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St. Paul, Minnesota, pp. 562.</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(EU)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Gourley CO, Delbridge RW (1972) Economic loss from strawberry red stele disease in Nova Scotia. Report, Research Station Kentville, Nova Scotia, Canada for 1971, pp. 63-64.</w:t>
      </w:r>
    </w:p>
    <w:p>
      <w:pPr>
        <w:widowControl w:val="on"/>
        <w:pBdr/>
        <w:spacing w:before="220" w:after="220" w:line="240" w:lineRule="auto"/>
        <w:ind w:left="0" w:right="0"/>
        <w:jc w:val="left"/>
      </w:pPr>
      <w:r>
        <w:rPr>
          <w:rFonts w:ascii="Calibri" w:hAnsi="Calibri" w:eastAsia="Calibri" w:cs="Calibri"/>
          <w:color w:val="000000"/>
          <w:sz w:val="22"/>
          <w:szCs w:val="22"/>
        </w:rPr>
        <w:t xml:space="preserve">International Plant Protection Convention (IPPC) (2017), ISPM 40 International movement of growing media in association with plants for planting [online]. Rome, IPPC Secretariat, FAO. 2017. </w:t>
      </w:r>
      <w:hyperlink r:id="rId8870669862304876d" w:history="1">
        <w:r>
          <w:rPr>
            <w:rFonts w:ascii="Calibri" w:hAnsi="Calibri" w:eastAsia="Calibri" w:cs="Calibri"/>
            <w:color w:val="0000CC"/>
            <w:sz w:val="22"/>
            <w:szCs w:val="22"/>
            <w:u w:val="single"/>
          </w:rPr>
          <w:t xml:space="preserve">https://www.ippc.int/en/publications/84342/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(1988) Frequency of virulence phenotypes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397-406.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(1993) European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resistance to them.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348</w:t>
      </w:r>
      <w:r>
        <w:rPr>
          <w:rFonts w:ascii="Calibri" w:hAnsi="Calibri" w:eastAsia="Calibri" w:cs="Calibri"/>
          <w:color w:val="000000"/>
          <w:sz w:val="22"/>
          <w:szCs w:val="22"/>
        </w:rPr>
        <w:t xml:space="preserve">, 469-482.</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McIntyre J, Walton G (1981) Control of strawberry red stele caused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835–836.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(1994) A monograph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the red stele disease of strawberry. Technical bulletin, North Carolina Agricultural Research Service, North Carolina State University,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SB (1988) Evaluation of antisera raised against Phytophthora fragariae for detecting the red core disease of strawberries by enzyme-linked immunosorbent assay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206-216. </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Montgomerie IG, Kennedy DM (1982) The effects of dazomet, fenaminosulf, and soil ridges on red core disease of strawberry,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443–455. </w:t>
      </w:r>
    </w:p>
    <w:p>
      <w:pPr>
        <w:widowControl w:val="on"/>
        <w:pBdr/>
        <w:spacing w:before="220" w:after="220" w:line="240" w:lineRule="auto"/>
        <w:ind w:left="0" w:right="0"/>
        <w:jc w:val="left"/>
      </w:pPr>
      <w:r>
        <w:rPr>
          <w:rFonts w:ascii="Calibri" w:hAnsi="Calibri" w:eastAsia="Calibri" w:cs="Calibri"/>
          <w:color w:val="000000"/>
          <w:sz w:val="22"/>
          <w:szCs w:val="22"/>
        </w:rPr>
        <w:t xml:space="preserve">Munawar MA, Toljamo A, Martin F, Oksanen E, Kokko H (2020) Development and evaluation of a recombinase polymerase amplification assay for rapid detection of strawberry red stele pathogen.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AC, Duncan JM, Augustin NH, Guy DC, Cooke DEL (2010) Survival, distribution and genetic variability of inoculum of the strawberry red core pathogen,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472-479</w:t>
      </w:r>
    </w:p>
    <w:p>
      <w:pPr>
        <w:widowControl w:val="on"/>
        <w:pBdr/>
        <w:spacing w:before="220" w:after="220" w:line="240" w:lineRule="auto"/>
        <w:ind w:left="0" w:right="0"/>
        <w:jc w:val="left"/>
      </w:pPr>
      <w:r>
        <w:rPr>
          <w:rFonts w:ascii="Calibri" w:hAnsi="Calibri" w:eastAsia="Calibri" w:cs="Calibri"/>
          <w:color w:val="000000"/>
          <w:sz w:val="22"/>
          <w:szCs w:val="22"/>
        </w:rPr>
        <w:t xml:space="preserve">Nickerson NL, Maas JL (1991) Red stele in North America. Proceedings of the Third North American Strawberry Conference (Ed. by Dale A, Luby JJ), pp. 195-201. Timber Press, Portland, USA. </w:t>
      </w:r>
    </w:p>
    <w:p>
      <w:pPr>
        <w:widowControl w:val="on"/>
        <w:pBdr/>
        <w:spacing w:before="220" w:after="220" w:line="240" w:lineRule="auto"/>
        <w:ind w:left="0" w:right="0"/>
        <w:jc w:val="left"/>
      </w:pPr>
      <w:r>
        <w:rPr>
          <w:rFonts w:ascii="Calibri" w:hAnsi="Calibri" w:eastAsia="Calibri" w:cs="Calibri"/>
          <w:color w:val="000000"/>
          <w:sz w:val="22"/>
          <w:szCs w:val="22"/>
        </w:rPr>
        <w:t xml:space="preserve">O‘Neill TM, Griffin MW (1987) Effect of fosetyl aluminum and captafol on red core disease and fruit yield of established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Ivors KL, Reeser PW, Bristow PR, Windom GE (2002) The use of soil solarization for the management of soil-borne plant pathogens in strawberry and red raspberry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645–651.</w:t>
      </w:r>
    </w:p>
    <w:p>
      <w:pPr>
        <w:widowControl w:val="on"/>
        <w:pBdr/>
        <w:spacing w:before="220" w:after="220" w:line="240" w:lineRule="auto"/>
        <w:ind w:left="0" w:right="0"/>
        <w:jc w:val="left"/>
      </w:pPr>
      <w:r>
        <w:rPr>
          <w:rFonts w:ascii="Calibri" w:hAnsi="Calibri" w:eastAsia="Calibri" w:cs="Calibri"/>
          <w:color w:val="000000"/>
          <w:sz w:val="22"/>
          <w:szCs w:val="22"/>
        </w:rPr>
        <w:t xml:space="preserve">Prigigallo MI, Abdelfattah A, Cacciola SO, Faedda R, Sanzani SM, Cooke DEL, Schena L (2016) Metabarcoding analysis of Phytophthora diversity using genus-specific primers and 454 pyrosequencing.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Burket JZ, Fischer SL, Hamm PB (1992) Sensitivity and clinical use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-specific immunoassay kits.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928-932.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DH, Draper AD, Galletta GJ (1984) Breeding strawberries for red stele resistance.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195-294. </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Sun C (1989) Occurrence of metalaxyl resistance in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71-73. </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Grünwald NJ (2018) Populations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Weg WE (1997) A gene-for-gene model to explain interactions between cultivars of strawberry and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445–451. </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(1988) Enzyme-linked immunosorbent assay (ELISA) as a method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roots.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146-150.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Hamm PB, Kennedy DM, Duncan JM, Brasier CM, Hansen EM (1993) Identity of a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Prits MP, Kelly MJ (1999) Integrated control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83, </w:t>
      </w:r>
      <w:r>
        <w:rPr>
          <w:rFonts w:ascii="Calibri" w:hAnsi="Calibri" w:eastAsia="Calibri" w:cs="Calibri"/>
          <w:color w:val="000000"/>
          <w:sz w:val="22"/>
          <w:szCs w:val="22"/>
        </w:rPr>
        <w:t xml:space="preserve">1149-1154.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EPPO datasheets on pests recommended for regulation. Available online. </w:t>
      </w:r>
      <w:hyperlink r:id="rId7993669862304931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 </w:t>
      </w:r>
      <w:hyperlink r:id="rId21066698623049466" w:history="1">
        <w:r>
          <w:rPr>
            <w:rFonts w:ascii="Calibri" w:hAnsi="Calibri" w:eastAsia="Calibri" w:cs="Calibri"/>
            <w:color w:val="0000CC"/>
            <w:sz w:val="22"/>
            <w:szCs w:val="22"/>
            <w:u w:val="single"/>
          </w:rPr>
          <w:t xml:space="preserve">https://doi.org/10.1111/j.1365-2338.1982.tb01963.x</w:t>
        </w:r>
      </w:hyperlink>
      <w:r>
        <w:rPr>
          <w:rFonts w:ascii="Calibri" w:hAnsi="Calibri" w:eastAsia="Calibri" w:cs="Calibri"/>
          <w:color w:val="000000"/>
          <w:sz w:val="22"/>
          <w:szCs w:val="22"/>
        </w:rPr>
        <w:t xml:space="preserve"> </w:t>
      </w:r>
    </w:p>
    <w:p>
      <w:r>
        <w:drawing>
          <wp:inline distT="0" distB="0" distL="0" distR="0">
            <wp:extent cx="1800000" cy="604800"/>
            <wp:docPr id="85052378" name="name186066986230494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9366986230494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295538">
    <w:multiLevelType w:val="hybridMultilevel"/>
    <w:lvl w:ilvl="0" w:tplc="71663396">
      <w:start w:val="1"/>
      <w:numFmt w:val="decimal"/>
      <w:lvlText w:val="%1."/>
      <w:lvlJc w:val="left"/>
      <w:pPr>
        <w:ind w:left="720" w:hanging="360"/>
      </w:pPr>
    </w:lvl>
    <w:lvl w:ilvl="1" w:tplc="71663396" w:tentative="1">
      <w:start w:val="1"/>
      <w:numFmt w:val="lowerLetter"/>
      <w:lvlText w:val="%2."/>
      <w:lvlJc w:val="left"/>
      <w:pPr>
        <w:ind w:left="1440" w:hanging="360"/>
      </w:pPr>
    </w:lvl>
    <w:lvl w:ilvl="2" w:tplc="71663396" w:tentative="1">
      <w:start w:val="1"/>
      <w:numFmt w:val="lowerRoman"/>
      <w:lvlText w:val="%3."/>
      <w:lvlJc w:val="right"/>
      <w:pPr>
        <w:ind w:left="2160" w:hanging="180"/>
      </w:pPr>
    </w:lvl>
    <w:lvl w:ilvl="3" w:tplc="71663396" w:tentative="1">
      <w:start w:val="1"/>
      <w:numFmt w:val="decimal"/>
      <w:lvlText w:val="%4."/>
      <w:lvlJc w:val="left"/>
      <w:pPr>
        <w:ind w:left="2880" w:hanging="360"/>
      </w:pPr>
    </w:lvl>
    <w:lvl w:ilvl="4" w:tplc="71663396" w:tentative="1">
      <w:start w:val="1"/>
      <w:numFmt w:val="lowerLetter"/>
      <w:lvlText w:val="%5."/>
      <w:lvlJc w:val="left"/>
      <w:pPr>
        <w:ind w:left="3600" w:hanging="360"/>
      </w:pPr>
    </w:lvl>
    <w:lvl w:ilvl="5" w:tplc="71663396" w:tentative="1">
      <w:start w:val="1"/>
      <w:numFmt w:val="lowerRoman"/>
      <w:lvlText w:val="%6."/>
      <w:lvlJc w:val="right"/>
      <w:pPr>
        <w:ind w:left="4320" w:hanging="180"/>
      </w:pPr>
    </w:lvl>
    <w:lvl w:ilvl="6" w:tplc="71663396" w:tentative="1">
      <w:start w:val="1"/>
      <w:numFmt w:val="decimal"/>
      <w:lvlText w:val="%7."/>
      <w:lvlJc w:val="left"/>
      <w:pPr>
        <w:ind w:left="5040" w:hanging="360"/>
      </w:pPr>
    </w:lvl>
    <w:lvl w:ilvl="7" w:tplc="71663396" w:tentative="1">
      <w:start w:val="1"/>
      <w:numFmt w:val="lowerLetter"/>
      <w:lvlText w:val="%8."/>
      <w:lvlJc w:val="left"/>
      <w:pPr>
        <w:ind w:left="5760" w:hanging="360"/>
      </w:pPr>
    </w:lvl>
    <w:lvl w:ilvl="8" w:tplc="71663396" w:tentative="1">
      <w:start w:val="1"/>
      <w:numFmt w:val="lowerRoman"/>
      <w:lvlText w:val="%9."/>
      <w:lvlJc w:val="right"/>
      <w:pPr>
        <w:ind w:left="6480" w:hanging="180"/>
      </w:pPr>
    </w:lvl>
  </w:abstractNum>
  <w:abstractNum w:abstractNumId="34295537">
    <w:multiLevelType w:val="hybridMultilevel"/>
    <w:lvl w:ilvl="0" w:tplc="46257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295537">
    <w:abstractNumId w:val="34295537"/>
  </w:num>
  <w:num w:numId="34295538">
    <w:abstractNumId w:val="342955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2759271" Type="http://schemas.microsoft.com/office/2011/relationships/commentsExtended" Target="commentsExtended.xml"/><Relationship Id="rId750582730" Type="http://schemas.microsoft.com/office/2011/relationships/people" Target="people.xml"/><Relationship Id="rId749066986230456f0" Type="http://schemas.openxmlformats.org/officeDocument/2006/relationships/hyperlink" Target="https://gd.eppo.int/taxon/PHYTFR/" TargetMode="External"/><Relationship Id="rId573766986230457e3" Type="http://schemas.openxmlformats.org/officeDocument/2006/relationships/hyperlink" Target="https://gd.eppo.int/taxon/PHYTFR/categorization" TargetMode="External"/><Relationship Id="rId571266986230460c3" Type="http://schemas.openxmlformats.org/officeDocument/2006/relationships/hyperlink" Target="https://gd.eppo.int/taxon/PHYTFR/photos" TargetMode="External"/><Relationship Id="rId56946698623047fdd" Type="http://schemas.openxmlformats.org/officeDocument/2006/relationships/hyperlink" Target="https://doi.org/10.3114/%20sim.2023.106.05" TargetMode="External"/><Relationship Id="rId582066986230484fe" Type="http://schemas.openxmlformats.org/officeDocument/2006/relationships/hyperlink" Target="https://doi.org/10.2903/j.efsa.2014.3539" TargetMode="External"/><Relationship Id="rId8870669862304876d" Type="http://schemas.openxmlformats.org/officeDocument/2006/relationships/hyperlink" Target="https://www.ippc.int/en/publications/84342/" TargetMode="External"/><Relationship Id="rId7993669862304931a" Type="http://schemas.openxmlformats.org/officeDocument/2006/relationships/hyperlink" Target="https://gd.eppo.int" TargetMode="External"/><Relationship Id="rId21066698623049466" Type="http://schemas.openxmlformats.org/officeDocument/2006/relationships/hyperlink" Target="https://doi.org/10.1111/j.1365-2338.1982.tb01963.x" TargetMode="External"/><Relationship Id="rId97396698623045fac" Type="http://schemas.openxmlformats.org/officeDocument/2006/relationships/image" Target="media/imgrId97396698623045fac.jpg"/><Relationship Id="rId645266986230471ce" Type="http://schemas.openxmlformats.org/officeDocument/2006/relationships/image" Target="media/imgrId645266986230471ce.jpg"/><Relationship Id="rId549366986230494d3" Type="http://schemas.openxmlformats.org/officeDocument/2006/relationships/image" Target="media/imgrId549366986230494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