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solani'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Quaglino, Zhao, Casati, Bulgari, Bianco, Wei &amp;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bois noir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Maize redness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solani</w:t>
            </w:r>
            <w:r>
              <w:rPr>
                <w:rFonts w:ascii="Calibri" w:hAnsi="Calibri" w:eastAsia="Calibri" w:cs="Calibri"/>
                <w:color w:val="000000"/>
                <w:position w:val="-3"/>
                <w:sz w:val="22"/>
                <w:szCs w:val="22"/>
              </w:rPr>
              <w:t xml:space="preserve"> Quaglino, Zhao, Casati, Bulgari, Bianco, Wei &amp; Davis, </w:t>
            </w:r>
            <w:r>
              <w:rPr>
                <w:rFonts w:ascii="Calibri" w:hAnsi="Calibri" w:eastAsia="Calibri" w:cs="Calibri"/>
                <w:i/>
                <w:iCs/>
                <w:color w:val="000000"/>
                <w:position w:val="-3"/>
                <w:sz w:val="22"/>
                <w:szCs w:val="22"/>
              </w:rPr>
              <w:t xml:space="preserve">Potato stolbur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Stolbur phytoplasma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STOL, black wood of grapevine, maize redness, metabolbur, parastolbur, stolbur of potato, stolbur of tobacco, stolbur of tomato</w:t>
            </w:r>
            <w:hyperlink r:id="rId83506627bca2f00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28736627bca2f008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PHYPSO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846475" name="name35916627bca2f04cb" descr="1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7.jpg"/>
                          <pic:cNvPicPr/>
                        </pic:nvPicPr>
                        <pic:blipFill>
                          <a:blip r:embed="rId72356627bca2f04c9" cstate="print"/>
                          <a:stretch>
                            <a:fillRect/>
                          </a:stretch>
                        </pic:blipFill>
                        <pic:spPr>
                          <a:xfrm>
                            <a:off x="0" y="0"/>
                            <a:ext cx="2160000" cy="1281600"/>
                          </a:xfrm>
                          <a:prstGeom prst="rect">
                            <a:avLst/>
                          </a:prstGeom>
                          <a:ln w="0">
                            <a:noFill/>
                          </a:ln>
                        </pic:spPr>
                      </pic:pic>
                    </a:graphicData>
                  </a:graphic>
                </wp:inline>
              </w:drawing>
            </w:r>
            <w:hyperlink r:id="rId72866627bca2f05c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wall-less plant pathogenic bacteria (class Mollicutes) that survive and multiply in the plant phloem and insect haemolymph (IRPCM, 2004). The name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represents the ‘unculturable’ status of the phytoplasma (Murray &amp; Stackebrandt, 1995). The taxonomy of phytoplasmas is complex and based on 16S ribosomal gene sequence as well as on biological, phytopathological, and genetic properties (IRPCM, 2004). Based on highly conserved 16S ribosomal gene sequence, phytoplasmas are categorized into 33 groups (Bertaccini &amp; Lee,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was first described as a distinct species in the genus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by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To be classified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 strain should (i) share &gt;99% sequence similarity over a minimum length of 1.2kb within the 16S rRNA gene of the reference strain STOL11 (GenBank accession number AF248959), (ii) contain the identical STOL11-unique 16S rDNA signature sequence and (iii) contain two distinguishing sequence blocks noted for the reference strain STOL11 with a tolerance of a single nucleotide difference in no more than one of the sequences. Strains that do not fulfill either criterion (ii) or (iii) are considered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solani’-related strains, even if they fulfil criterion (i).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16S rDNA sequence analyses,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strains are classified into taxonomic subgroups 16SrXII-A, -F, -G, -J, and –K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Molecular typing, based on sequence analyses of several other genes (e.g., </w:t>
      </w:r>
      <w:r>
        <w:rPr>
          <w:rFonts w:ascii="Calibri" w:hAnsi="Calibri" w:eastAsia="Calibri" w:cs="Calibri"/>
          <w:i/>
          <w:iCs/>
          <w:color w:val="000000"/>
          <w:sz w:val="22"/>
          <w:szCs w:val="22"/>
        </w:rPr>
        <w:t xml:space="preserve">tuf, secY, stamp, vmp1</w:t>
      </w:r>
      <w:r>
        <w:rPr>
          <w:rFonts w:ascii="Calibri" w:hAnsi="Calibri" w:eastAsia="Calibri" w:cs="Calibri"/>
          <w:color w:val="000000"/>
          <w:sz w:val="22"/>
          <w:szCs w:val="22"/>
        </w:rPr>
        <w:t xml:space="preserve">), highlighted the presence of numerous genetically distinct strains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(e.g. Aryan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Murolo &amp; Romanazzi, 2015;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Balakishiyeva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has a wide plant host range, including many wild/weed species, ornamentals and crops. Cultivated hosts affected include,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lavender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ananassa</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Fruit tree species, such as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w:t>
      </w:r>
      <w:r>
        <w:rPr>
          <w:rFonts w:ascii="Calibri" w:hAnsi="Calibri" w:eastAsia="Calibri" w:cs="Calibri"/>
          <w:i/>
          <w:iCs/>
          <w:color w:val="000000"/>
          <w:sz w:val="22"/>
          <w:szCs w:val="22"/>
        </w:rPr>
        <w:t xml:space="preserve"> persica</w:t>
      </w:r>
      <w:r>
        <w:rPr>
          <w:rFonts w:ascii="Calibri" w:hAnsi="Calibri" w:eastAsia="Calibri" w:cs="Calibri"/>
          <w:color w:val="000000"/>
          <w:sz w:val="22"/>
          <w:szCs w:val="22"/>
        </w:rPr>
        <w:t xml:space="preserve">), cherry (</w:t>
      </w:r>
      <w:r>
        <w:rPr>
          <w:rFonts w:ascii="Calibri" w:hAnsi="Calibri" w:eastAsia="Calibri" w:cs="Calibri"/>
          <w:i/>
          <w:iCs/>
          <w:color w:val="000000"/>
          <w:sz w:val="22"/>
          <w:szCs w:val="22"/>
        </w:rPr>
        <w:t xml:space="preserve">Prunus</w:t>
      </w:r>
      <w:r>
        <w:rPr>
          <w:rFonts w:ascii="Calibri" w:hAnsi="Calibri" w:eastAsia="Calibri" w:cs="Calibri"/>
          <w:i/>
          <w:iCs/>
          <w:color w:val="000000"/>
          <w:sz w:val="22"/>
          <w:szCs w:val="22"/>
        </w:rPr>
        <w:t xml:space="preserve"> avium</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have also been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hosts. The main natural reservoirs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are wild plants such as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EFSA, 2014; CABI,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gemmifera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Bupleurum tenuissimum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Centaurium erythraea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Cephalaria transsylvanica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Cistus ladanifer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Cuscuta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Gomphocarpus physocarpus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barbatum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Hyssopus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Lapsana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Levisticum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tazetta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x suffruticosa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judaica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 hieracioides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Prunella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miltiorrhiza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rosmarinus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sclarea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alopecuroides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Spartium junceum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Trigonella foenum-graecum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Tussilago farfara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 yellows-type disease, named ‘stolbur’, was found several decades ago affecting various plants in the Solanaceae family (mainly potato and tomato) in Southern and Eastern Europe (CABI, 2020). Unusual symptoms of reddening were first observed on maize in 1957 in Serbia, and disease was called maize redness (Duduk &amp; Bertaccini, 2006). The first observation of lavender decline is from France in the late 1960s (Sémétey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yellows-type disease of grapevine, named bois noir was first reported in 1961 in vineyards in North-Eastern France, and a few years later, similar symptoms were observed in vineyards in the Mosel and Rhine valleys in Germany. The disease was named ‘Vergilbungskrankheit’ and further studies showed that this was the same disease as bois noir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Soon after bois noir was observed in France and Germany, it was reported in many countries in the Euro-Mediterranean area (a few reports were also made in other continents), where it is responsible for serious crop losses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demonstrated that phytoplasmas associated with stolbur, maize redness, lavender decline, and yellows-type diseases of grapevine and other wild and cultivated plants, are members of the same species i.e.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w:t>
      </w:r>
    </w:p>
    <w:p>
      <w:r>
        <w:drawing>
          <wp:inline distT="0" distB="0" distL="0" distR="0">
            <wp:extent cx="6120000" cy="3067200"/>
            <wp:docPr id="63851441" name="name67066627bca2f2cc7" descr="PHYPS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SO_distribution_map.jpg"/>
                    <pic:cNvPicPr/>
                  </pic:nvPicPr>
                  <pic:blipFill>
                    <a:blip r:embed="rId70126627bca2f2c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Austria, Azerbaijan, Bosnia and Herzegovina, Bulgaria, Croatia, Czech Republic, France (mainland), Georgia, Germany, Greece (mainland), Hungary, Israel, Italy (mainland, Sicilia), Jordan, Kyrgyzstan, Moldova, Montenegro, North Macedonia, Poland, Russia (Central Russia, Southern Russia), Serbia, Slovakia, Slovenia, Spain (mainland), Switzerland,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Niger</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(Shaanxi, Shandong), India (West Bengal), Iran, Israel, Japan (Shikoku), Jordan, Kyrgyzstan, Lebanon, Saudi Arabia, Taiwan, Tajikistan, Uzbekistan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not seed transmissible but can be transmitted by grafting and vegetative propagation of infected hosts, such as potato, tomato, grapevine, strawberry and lavender (EFSA, 2014). In diseased plants, phytoplasmas are restricted to the phloem sieve tubes, and are naturally transmitted between plants mainly by phloem-sap-feeding leafhoppers, planthoppers or psyllids (see below) as well as by parasitic plant species (see Pathways for movement) (Weintraub &amp; Beanland, 2006).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Euro-Mediterranean region,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usually transmitted from plant to plant by the polyphagous insect vector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(Cixiidae) which is native to Europe and is ubiquitous in European countries. The acquisition stage is achieved by overwintering nymphs feeding on infected roots. All infected crops except lavender are generally epidemiological dead-end hosts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as its main vector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does not develop on these crops (Weintraub &amp; Beanland, 2006; Johannesen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Sémétey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but only incidentally transmits the phytoplasma from other host plants to these crops during its feeding probing at the adult stage. The same situation applies to many wild/weed hosts, but some weeds, such as bindweed and stinging nettle, act as plant reservoirs, hosting both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and its vector (Langer &amp; Maixner, 2004; Bressan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There is no transovarial transfer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from infected female planthopper vectors to their progeny. Therefore, the average six-week activity period of adult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feeding on annual plants could explain their infection. In addition, such plants are probably hosts (or incidental hosts) of one or more alternative vectors which could also transmit the phytoplasma between these plants, and these vectors are probably present in the agro-system as adults for a longer period during the same vegetative season (Weintraub &amp; Beanland, 2006; EFSA, 2014;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2014b; CABI, 2020).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other known vectors, the planthopper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has been reported as a natural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isolates causing maize redness and bois noir in Serbia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Cvrković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Adult </w:t>
      </w:r>
      <w:r>
        <w:rPr>
          <w:rFonts w:ascii="Calibri" w:hAnsi="Calibri" w:eastAsia="Calibri" w:cs="Calibri"/>
          <w:i/>
          <w:iCs/>
          <w:color w:val="000000"/>
          <w:sz w:val="22"/>
          <w:szCs w:val="22"/>
        </w:rPr>
        <w:t xml:space="preserve">R. panzeri</w:t>
      </w:r>
      <w:r>
        <w:rPr>
          <w:rFonts w:ascii="Calibri" w:hAnsi="Calibri" w:eastAsia="Calibri" w:cs="Calibri"/>
          <w:color w:val="000000"/>
          <w:sz w:val="22"/>
          <w:szCs w:val="22"/>
        </w:rPr>
        <w:t xml:space="preserve"> lay eggs on infected maize roots. If these roots are infected, nymphs feeding on them will acquire the phytoplasma. The nymphs overwinter on the roots of wheat planted in maize fields in autumn or on Johnson grass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allowing the emergence of infectious vectors the following summer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Cvrković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planthopper </w:t>
      </w:r>
      <w:r>
        <w:rPr>
          <w:rFonts w:ascii="Calibri" w:hAnsi="Calibri" w:eastAsia="Calibri" w:cs="Calibri"/>
          <w:i/>
          <w:iCs/>
          <w:color w:val="000000"/>
          <w:sz w:val="22"/>
          <w:szCs w:val="22"/>
        </w:rPr>
        <w:t xml:space="preserve">Pentastiridius leporinus</w:t>
      </w:r>
      <w:r>
        <w:rPr>
          <w:rFonts w:ascii="Calibri" w:hAnsi="Calibri" w:eastAsia="Calibri" w:cs="Calibri"/>
          <w:color w:val="000000"/>
          <w:sz w:val="22"/>
          <w:szCs w:val="22"/>
        </w:rPr>
        <w:t xml:space="preserve"> has been reported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to sugar beet (Gatineau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EFSA, 2014). </w:t>
      </w:r>
      <w:r>
        <w:rPr>
          <w:rFonts w:ascii="Calibri" w:hAnsi="Calibri" w:eastAsia="Calibri" w:cs="Calibri"/>
          <w:i/>
          <w:iCs/>
          <w:color w:val="000000"/>
          <w:sz w:val="22"/>
          <w:szCs w:val="22"/>
        </w:rPr>
        <w:t xml:space="preserve">Anaceratagallia ribauti </w:t>
      </w:r>
      <w:r>
        <w:rPr>
          <w:rFonts w:ascii="Calibri" w:hAnsi="Calibri" w:eastAsia="Calibri" w:cs="Calibri"/>
          <w:color w:val="000000"/>
          <w:sz w:val="22"/>
          <w:szCs w:val="22"/>
        </w:rPr>
        <w:t xml:space="preserve">has been reported as a vector in Austria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Reptalus quinquecostatus</w:t>
      </w:r>
      <w:r>
        <w:rPr>
          <w:rFonts w:ascii="Calibri" w:hAnsi="Calibri" w:eastAsia="Calibri" w:cs="Calibri"/>
          <w:color w:val="000000"/>
          <w:sz w:val="22"/>
          <w:szCs w:val="22"/>
        </w:rPr>
        <w:t xml:space="preserve"> has been reported as a putative vector in Serbia and France, but its capability to transmit the phytoplasma to plants has not been established (Chuche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Mitrović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and in the Mediterranean basin,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strains are associated with bois noir disease of grapevine, with stolbur disease in wild and cultivated herbaceous and woody plants, and with yellowing, reddening, decline, dwarfism, leaf malformation and degeneration diseases of other plants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are variable, depending on environmental factors. Annual crops develop symptoms a few weeks after inoculation by the insect, whereas symptoms on perennial hosts can appear one or more years after inoculation (EFSA, 2014).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grapevine (bois noir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of grapevine, also known as bois noir disease, produces leaf yellows (in white-berried cultivars) or leaf reddening (in red-berried cultivars), downwards leaf rolling, irregular ripening of wood, growth reduction, and shriveling and drying up of berries and bunches. Young plants can die following infection, while older plants tend to recover (Belli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severity of the symptoms depends on cultivar sensitivity (EFSA, 2014). The symptoms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cannot be distinguished from those caused by grapevine flavescence dorée. Symptoms are illustrated in EPPO (2018b).</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(potato stolbur)</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on potato plants include upward rolling and purplish or red discoloration of the top leaves, shortened internodes, aerial tubers, early senescence and, finally, plant wilting and death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Mitrović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(tomato stolbur)</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on tomato plants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are short internodes near to the plant apex and smaller curled leaves with thicker tissues. The leaves are discoloured and show yellowing or purpling. Adventitious roots sometimes appear on the stem. Plants infected early are bushy because of the development of numerous axillary buds. The flowers of infected plants are abnormally straight, they are sterile and have altered morphological development: (i) sepals, with purple veins, remain completely sealed and the calyx is enlarged (big bud); (ii) petals are green with stamens of the same colour (virescence); (iii) sepals may be leaf-like (phyllody); (iv) dysfunction may occur in flower differentiation. Fewer fruits are produced, and they are smaller, lacking colour, and dense (CABI,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maize (maize redness)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appear in late July and continue to intensify until the beginning of September. Typical symptoms are reddening of the leaf midrib, followed by reddening of leaves and stalks and then whole-plant desiccation. Ear development is abnormal and seed set is greatly reduced (Duduk &amp; Bertaccini, 2006;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lavender (lavender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symptoms of lavender decline are low vigour and leaf yellowing, then the canopy of infected lavender dries in sectors and plants eventually die (</w:t>
      </w:r>
      <w:hyperlink r:id="rId37906627bca2f37cf" w:history="1">
        <w:r>
          <w:rPr>
            <w:rFonts w:ascii="Calibri" w:hAnsi="Calibri" w:eastAsia="Calibri" w:cs="Calibri"/>
            <w:color w:val="0000CC"/>
            <w:sz w:val="22"/>
            <w:szCs w:val="22"/>
            <w:u w:val="single"/>
          </w:rPr>
          <w:t xml:space="preserve">S</w:t>
        </w:r>
      </w:hyperlink>
      <w:r>
        <w:rPr>
          <w:rFonts w:ascii="Calibri" w:hAnsi="Calibri" w:eastAsia="Calibri" w:cs="Calibri"/>
          <w:color w:val="000000"/>
          <w:sz w:val="22"/>
          <w:szCs w:val="22"/>
        </w:rPr>
        <w:t xml:space="preserve">émétey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 description in strawberry is available in EPPO (2017b).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Under transmission electron microscopy, phytoplasmas are pleomorphic, as they can appear in many shapes and sizes (Waters &amp; Hunt, 1980). They can almost completely fill the phloem sieve tubes (Dermastia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especially the leaves, should be inspected for symptoms. Attention should be paid to the presence of the leafhopper vectors. Where appropriate, samples for laboratory testing should be taken for the final identification of the pest. Crop inspection procedures for strawberry plants for planting (EPPO, 2017b), potatoes (EPPO, 2007), vegetable plants for planting (EPPO, 2016), and grapevine plants for planting (EPPO, 2018b) have been developed. </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PCR based tests have been developed to detect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 widely applied procedure is based on nested PCR amplification with phytoplasma-universal primer pairs, followed by sequencing or restriction fragment length polymorphism (RFLP) analyses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EPPO, 2018a). An online phytoplasma classification tool iPhyClassifier can be used for sequence similarity analysis and generation of virtual RFLP profiles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Multiplex nested PCR developed by 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allows the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and allows it to be distinguished from grapevine flavescence dorée phytoplasma. Several real-time PCR tests have also been developed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detection (e.g. Angelini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Pelletier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Loop mediated isothermal amplification (LAMP) can be used for on-site detection as well as for screening in laboratories (Kogovšek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naturally dispersed over fairly long distances by its planthopper vectors (see Biology). It can be transmitted by the parasitic plant dodder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epilinum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trifolii</w:t>
      </w:r>
      <w:r>
        <w:rPr>
          <w:rFonts w:ascii="Calibri" w:hAnsi="Calibri" w:eastAsia="Calibri" w:cs="Calibri"/>
          <w:color w:val="000000"/>
          <w:sz w:val="22"/>
          <w:szCs w:val="22"/>
        </w:rPr>
        <w:t xml:space="preserve">). In addition, the plant </w:t>
      </w:r>
      <w:r>
        <w:rPr>
          <w:rFonts w:ascii="Calibri" w:hAnsi="Calibri" w:eastAsia="Calibri" w:cs="Calibri"/>
          <w:i/>
          <w:iCs/>
          <w:color w:val="000000"/>
          <w:sz w:val="22"/>
          <w:szCs w:val="22"/>
        </w:rPr>
        <w:t xml:space="preserve">Orobanche aegyptiaca</w:t>
      </w:r>
      <w:r>
        <w:rPr>
          <w:rFonts w:ascii="Calibri" w:hAnsi="Calibri" w:eastAsia="Calibri" w:cs="Calibri"/>
          <w:color w:val="000000"/>
          <w:sz w:val="22"/>
          <w:szCs w:val="22"/>
        </w:rPr>
        <w:t xml:space="preserve">, which parasitizes roots of diseased tomato plants, has been shown to contain phytoplasmas, so it could be involved in transmission in the field.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not thought to be transmitted in the true seed of any of its hosts, but it can be transmitted by vegetative propagation of infected host plants. The phytoplasma has a complex ecology and epidemiological cycle, and a high capability to adapt to different agro-ecosystems. The risk of introduction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to new regions is related to the dispersal of its vectors and to trade in cultivated host plants (e.g., symptomless seedlings) (EFSA, 2014; CABI,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outbreaks have been reported in potato fields in several countries, including the Czech Republic, Hungary, Romania and Russia, causing significant yield loss (30–80 %) and a reduction in seed potato quality (Paltrinieri &amp; Bertaccini 2007; Girsova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Fialová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Lindner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EFSA, 2014).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increases the sucrose content of tubers by three- to six-fold; severely affecting the suitability of tubers for fried potato processing (Lindner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severe epidemics, yield losses as high as 60 % in tomato, 90 % in pepper, and 100 % in celery have been reported (Navrátil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Maize redness has been linked to yield reductions of 40–90 % in Serbia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 the main symptom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on grapevine is the loss of production due to berry shrivel, the economic impact of the disease, especially on susceptible varieties, is significant.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causes symptoms that cannot be distinguished from those caused by grapevine flavescence dorée, high local incidences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infection can severely complicate the surveys for grapevine flavescence dorée (EFSA, 2014).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also has a high economic impact on lavender crops. Unlike the situation with most crop plants,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can complete its life cycle on lavender; thus, disease propagation is epidemic and lavender fields can be destroyed within 4–5 years in South-Eastern France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impact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variable, depending on yearly variations in insect vector abundance, and can also be significant in a range of other hosts. Economic impact may increase in the future from range extension and from increase in density of vector populations as a consequence of climate change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control of surrounding weeds that are main hosts of </w:t>
      </w:r>
      <w:r>
        <w:rPr>
          <w:rFonts w:ascii="Calibri" w:hAnsi="Calibri" w:eastAsia="Calibri" w:cs="Calibri"/>
          <w:i/>
          <w:iCs/>
          <w:color w:val="000000"/>
          <w:sz w:val="22"/>
          <w:szCs w:val="22"/>
        </w:rPr>
        <w:t xml:space="preserve">H. obsoletus</w:t>
      </w:r>
      <w:r>
        <w:rPr>
          <w:rFonts w:ascii="Calibri" w:hAnsi="Calibri" w:eastAsia="Calibri" w:cs="Calibri"/>
          <w:color w:val="000000"/>
          <w:sz w:val="22"/>
          <w:szCs w:val="22"/>
        </w:rPr>
        <w:t xml:space="preserve"> is considered crucial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control. Trials conducted to control nettle growth with glyphosate or other herbicides significantly reduced the density of emerging adult vectors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Neonicotinoid insecticides, applied in early spring, gave protection levels comparable to those of herbicide treatments (Mori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However, the use of herbicides and insecticides can have negative effects on beneficial insects (e.g. honeybees) as well as human health and biodiversity (EFSA, 2014). Preventive measures such as checking the phytosanitary status of propagation materials, and treating diseased mother plants through thermotherapy, are applied to limit long-distance dissemination and in-ﬁeld spread of the disease (CABI, 2020). Hot water treatment of dormant canes of grapevines may be used to eliminate phytoplasmas (EPPO, 2008; EPPO, 2012). In addition, other strategies to reduce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Phytoplasmas solani’ on grapevines are available, such as treatments with resistance inducers (Romanazzi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is included in the certification system for grapevine (EPPO, 2008), petunia (EPPO, 2002) and seed potato tubers (EPPO, 1999). This reduces the spread and impact associated with the plants for planting pathway.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may cause serious losses in economically important cultivated species, such as grapevine, maize, potato, tomato. In addition, it can survive and complete its life cycle without cultivated host plants, because wild plants are main hosts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w:t>
      </w:r>
      <w:r>
        <w:rPr>
          <w:rFonts w:ascii="Calibri" w:hAnsi="Calibri" w:eastAsia="Calibri" w:cs="Calibri"/>
          <w:i/>
          <w:iCs/>
          <w:color w:val="000000"/>
          <w:sz w:val="22"/>
          <w:szCs w:val="22"/>
        </w:rPr>
        <w:t xml:space="preserve"> ‘Ca. </w:t>
      </w:r>
      <w:r>
        <w:rPr>
          <w:rFonts w:ascii="Calibri" w:hAnsi="Calibri" w:eastAsia="Calibri" w:cs="Calibri"/>
          <w:color w:val="000000"/>
          <w:sz w:val="22"/>
          <w:szCs w:val="22"/>
        </w:rPr>
        <w:t xml:space="preserve">Phytoplasma solani’ and its main vector have been found in different agro-ecosystems in many countries in Europe and the eastern Mediterranean area. In terms of disease epidemiology, the wide range of the vector’s host plants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plant hosts are factors which should be considered. Disease control is difficult in the field, and there is limited information about effective methods to control the insect vector or about the availability of resistant/tolerant crops. Finally, climate change might significantly influence the epidemiology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diseases.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import requirements for different host species apply worldwide. These requirements can vary with regards to crop and prevalence at the place of origin. When deregulated as a quarantine pest,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 was recommended for regulation as a regulated non-quarantine pest (RNQP) for seed potatoes and propagation material of </w:t>
      </w:r>
      <w:r>
        <w:rPr>
          <w:rFonts w:ascii="Calibri" w:hAnsi="Calibri" w:eastAsia="Calibri" w:cs="Calibri"/>
          <w:i/>
          <w:iCs/>
          <w:color w:val="000000"/>
          <w:sz w:val="22"/>
          <w:szCs w:val="22"/>
        </w:rPr>
        <w:t xml:space="preserve">Lavandula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does not occur, or where it is not widely distributed, may regulate it. If they do, EPPO recommends that they should require measures for import of seed potatoes (except microplants and minitubers). According to EPPO Standard PM 8/1 (EPPO, 2017a) seed potatoes imported from a country where the pest occurs should come from a pest-free area according to EPPO Standard PM 3/61 (EPPO, 2019b) or a pest-free place of production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solani’ since the last growing season. In addition, post-entry quarantine programs are established to allow safe movement of potato germplasm for research and breeding purposes. During post-entry quarantine for potato, it is recommended that Phytoplasmas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be tested for by using universal phytoplasma primers (EPPO, 2019a).</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Therefore, the absence of the phytoplasma in germplasm, mother plants and nuclear stock should be assured before the start of breeding, propagation and/or production of plants. During the EU Quality pest project, recommended measures included a zero tolerance for all categories of seed potatoes, </w:t>
      </w:r>
      <w:r>
        <w:rPr>
          <w:rFonts w:ascii="Calibri" w:hAnsi="Calibri" w:eastAsia="Calibri" w:cs="Calibri"/>
          <w:i/>
          <w:iCs/>
          <w:color w:val="000000"/>
          <w:sz w:val="22"/>
          <w:szCs w:val="22"/>
        </w:rPr>
        <w:t xml:space="preserve">Lavandula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based on absence of symptoms and/or testing.</w:t>
      </w:r>
    </w:p>
    <w:p>
      <w:pPr>
        <w:widowControl w:val="on"/>
        <w:pBdr/>
        <w:spacing w:before="220" w:after="220" w:line="240" w:lineRule="auto"/>
        <w:ind w:left="0" w:right="0"/>
        <w:jc w:val="left"/>
      </w:pPr>
      <w:r>
        <w:rPr>
          <w:rFonts w:ascii="Calibri" w:hAnsi="Calibri" w:eastAsia="Calibri" w:cs="Calibri"/>
          <w:color w:val="000000"/>
          <w:sz w:val="22"/>
          <w:szCs w:val="22"/>
        </w:rPr>
        <w:t xml:space="preserve">There is no possibility of complete eradication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Phytoplasma solani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from the natural environment.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Angelini E, Bianchi GL, Filippin L, Morassutti C &amp; Borgo M (2007) A new TaqMan method for the identification of phytoplasmas associated with grapevine yellows by real-time PCR assay.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(3), 613-622.</w:t>
      </w:r>
    </w:p>
    <w:p>
      <w:pPr>
        <w:widowControl w:val="on"/>
        <w:pBdr/>
        <w:spacing w:before="220" w:after="220" w:line="240" w:lineRule="auto"/>
        <w:ind w:left="0" w:right="0"/>
        <w:jc w:val="left"/>
      </w:pPr>
      <w:r>
        <w:rPr>
          <w:rFonts w:ascii="Calibri" w:hAnsi="Calibri" w:eastAsia="Calibri" w:cs="Calibri"/>
          <w:color w:val="000000"/>
          <w:sz w:val="22"/>
          <w:szCs w:val="22"/>
        </w:rPr>
        <w:t xml:space="preserve">Aryan A, Brader G, Mörtel J, Pastar M &amp; Riedle-Bauer M (2014) An abundant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tuf b strain is associated with grapevine, stinging nettle and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213–227. </w:t>
      </w:r>
    </w:p>
    <w:p>
      <w:pPr>
        <w:widowControl w:val="on"/>
        <w:pBdr/>
        <w:spacing w:before="220" w:after="220" w:line="240" w:lineRule="auto"/>
        <w:ind w:left="0" w:right="0"/>
        <w:jc w:val="left"/>
      </w:pPr>
      <w:r>
        <w:rPr>
          <w:rFonts w:ascii="Calibri" w:hAnsi="Calibri" w:eastAsia="Calibri" w:cs="Calibri"/>
          <w:color w:val="000000"/>
          <w:sz w:val="22"/>
          <w:szCs w:val="22"/>
        </w:rPr>
        <w:t xml:space="preserve">Balakishiyeva G, Bayramova J, Mammadov A, Salar P, Danet JL, Ember I, Verdin E, Foissac X &amp; Huseynova I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related strains associated with bois noir grapevine yellows and planthoppers in Azerbaijan.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937–946. </w:t>
      </w:r>
    </w:p>
    <w:p>
      <w:pPr>
        <w:widowControl w:val="on"/>
        <w:pBdr/>
        <w:spacing w:before="220" w:after="220" w:line="240" w:lineRule="auto"/>
        <w:ind w:left="0" w:right="0"/>
        <w:jc w:val="left"/>
      </w:pPr>
      <w:r>
        <w:rPr>
          <w:rFonts w:ascii="Calibri" w:hAnsi="Calibri" w:eastAsia="Calibri" w:cs="Calibri"/>
          <w:color w:val="000000"/>
          <w:sz w:val="22"/>
          <w:szCs w:val="22"/>
        </w:rPr>
        <w:t xml:space="preserve">Belli G, Bianco PA &amp; Conti M (2010) Grapevine yellows in Italy: past, present and future.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303-326.</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&amp; Lee IM (2018) Phytoplasmas: An Update. In: Rao GP, Bertaccini A, Fiore N, Liefting LW (Eds) Phytoplasmas: Plant Pathogenic Bacteria—I: Characterisation and Epidemiology of Phytoplasma—Associated Diseases. </w:t>
      </w:r>
      <w:r>
        <w:rPr>
          <w:rFonts w:ascii="Calibri" w:hAnsi="Calibri" w:eastAsia="Calibri" w:cs="Calibri"/>
          <w:i/>
          <w:iCs/>
          <w:color w:val="000000"/>
          <w:sz w:val="22"/>
          <w:szCs w:val="22"/>
        </w:rPr>
        <w:t xml:space="preserve">Springer: Singapore,</w:t>
      </w:r>
      <w:r>
        <w:rPr>
          <w:rFonts w:ascii="Calibri" w:hAnsi="Calibri" w:eastAsia="Calibri" w:cs="Calibri"/>
          <w:color w:val="000000"/>
          <w:sz w:val="22"/>
          <w:szCs w:val="22"/>
        </w:rPr>
        <w:t xml:space="preserve"> 1–29.</w:t>
      </w:r>
    </w:p>
    <w:p>
      <w:pPr>
        <w:widowControl w:val="on"/>
        <w:pBdr/>
        <w:spacing w:before="220" w:after="220" w:line="240" w:lineRule="auto"/>
        <w:ind w:left="0" w:right="0"/>
        <w:jc w:val="left"/>
      </w:pPr>
      <w:r>
        <w:rPr>
          <w:rFonts w:ascii="Calibri" w:hAnsi="Calibri" w:eastAsia="Calibri" w:cs="Calibri"/>
          <w:color w:val="000000"/>
          <w:sz w:val="22"/>
          <w:szCs w:val="22"/>
        </w:rPr>
        <w:t xml:space="preserve">Bressan A, Turata R, Maixner M, Spiazzi S, Boudon-Padieu E &amp; Girolami V (2007) Vector activity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living on nettles and transmitting a stolbur phytoplasma to grapevines: a case study.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331–339.</w:t>
      </w:r>
    </w:p>
    <w:p>
      <w:pPr>
        <w:widowControl w:val="on"/>
        <w:pBdr/>
        <w:spacing w:before="220" w:after="220" w:line="240" w:lineRule="auto"/>
        <w:ind w:left="0" w:right="0"/>
        <w:jc w:val="left"/>
      </w:pPr>
      <w:r>
        <w:rPr>
          <w:rFonts w:ascii="Calibri" w:hAnsi="Calibri" w:eastAsia="Calibri" w:cs="Calibri"/>
          <w:color w:val="000000"/>
          <w:sz w:val="22"/>
          <w:szCs w:val="22"/>
        </w:rPr>
        <w:t xml:space="preserve">Chuche J, Danet JL, Salar P, Foissac X &amp; Thiéry D (2016)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by </w:t>
      </w:r>
      <w:r>
        <w:rPr>
          <w:rFonts w:ascii="Calibri" w:hAnsi="Calibri" w:eastAsia="Calibri" w:cs="Calibri"/>
          <w:i/>
          <w:iCs/>
          <w:color w:val="000000"/>
          <w:sz w:val="22"/>
          <w:szCs w:val="22"/>
        </w:rPr>
        <w:t xml:space="preserve">Reptalus quinquecostatus</w:t>
      </w:r>
      <w:r>
        <w:rPr>
          <w:rFonts w:ascii="Calibri" w:hAnsi="Calibri" w:eastAsia="Calibri" w:cs="Calibri"/>
          <w:color w:val="000000"/>
          <w:sz w:val="22"/>
          <w:szCs w:val="22"/>
        </w:rPr>
        <w:t xml:space="preserve"> (Hemiptera: Cixiidae).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(2), 214-223. </w:t>
      </w:r>
    </w:p>
    <w:p>
      <w:pPr>
        <w:widowControl w:val="on"/>
        <w:pBdr/>
        <w:spacing w:before="220" w:after="220" w:line="240" w:lineRule="auto"/>
        <w:ind w:left="0" w:right="0"/>
        <w:jc w:val="left"/>
      </w:pPr>
      <w:r>
        <w:rPr>
          <w:rFonts w:ascii="Calibri" w:hAnsi="Calibri" w:eastAsia="Calibri" w:cs="Calibri"/>
          <w:color w:val="000000"/>
          <w:sz w:val="22"/>
          <w:szCs w:val="22"/>
        </w:rPr>
        <w:t xml:space="preserve">Clair D, Larrue J, Aubert G, Gillet J, Cloquemin G &amp; Boudon-Padieu E (2003). A multiplex nested-PCR assay for sensitive and simultaneous detection and direct identification of phytoplasma in the Elm yellows group and Stolbur group and its use in survey of grapevine yellows in France.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Cvrković T, Jović J, Mitrović M, Krstić O &amp; Toševski I (2014) Experimental and molecular evidence of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as a natural vector of bois noir.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42-53.</w:t>
      </w:r>
    </w:p>
    <w:p>
      <w:pPr>
        <w:widowControl w:val="on"/>
        <w:pBdr/>
        <w:spacing w:before="220" w:after="220" w:line="240" w:lineRule="auto"/>
        <w:ind w:left="0" w:right="0"/>
        <w:jc w:val="left"/>
      </w:pPr>
      <w:r>
        <w:rPr>
          <w:rFonts w:ascii="Calibri" w:hAnsi="Calibri" w:eastAsia="Calibri" w:cs="Calibri"/>
          <w:color w:val="000000"/>
          <w:sz w:val="22"/>
          <w:szCs w:val="22"/>
        </w:rPr>
        <w:t xml:space="preserve">Dermastia M, Bertaccini A, Constable F &amp; Mehle N (2017) Grapevine Yellows Diseases and Their Phytoplasma Agents. </w:t>
      </w:r>
      <w:r>
        <w:rPr>
          <w:rFonts w:ascii="Calibri" w:hAnsi="Calibri" w:eastAsia="Calibri" w:cs="Calibri"/>
          <w:i/>
          <w:iCs/>
          <w:color w:val="000000"/>
          <w:sz w:val="22"/>
          <w:szCs w:val="22"/>
        </w:rPr>
        <w:t xml:space="preserve">Springer International Publishing. </w:t>
      </w:r>
      <w:r>
        <w:rPr>
          <w:rFonts w:ascii="Calibri" w:hAnsi="Calibri" w:eastAsia="Calibri" w:cs="Calibri"/>
          <w:color w:val="000000"/>
          <w:sz w:val="22"/>
          <w:szCs w:val="22"/>
        </w:rPr>
        <w:t xml:space="preserve">Cham, (SZ). </w:t>
      </w:r>
      <w:hyperlink r:id="rId12806627bca3006db" w:history="1">
        <w:r>
          <w:rPr>
            <w:rFonts w:ascii="Calibri" w:hAnsi="Calibri" w:eastAsia="Calibri" w:cs="Calibri"/>
            <w:color w:val="0000CC"/>
            <w:sz w:val="22"/>
            <w:szCs w:val="22"/>
            <w:u w:val="single"/>
          </w:rPr>
          <w:t xml:space="preserve">https://dpo.org/10.1007/978-3-319-50648-7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Duduk B &amp; Bertaccini A (2006) Corn with symptoms of reddening: New host of stolbur phytoplasma.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1313-1319.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(12). </w:t>
      </w:r>
      <w:hyperlink r:id="rId77686627bca3007df" w:history="1">
        <w:r>
          <w:rPr>
            <w:rFonts w:ascii="Calibri" w:hAnsi="Calibri" w:eastAsia="Calibri" w:cs="Calibri"/>
            <w:color w:val="0000CC"/>
            <w:sz w:val="22"/>
            <w:szCs w:val="22"/>
            <w:u w:val="single"/>
          </w:rPr>
          <w:t xml:space="preserve">https://doi.org/10.2903/j.efsa.2014.3924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PM 4/28 (1) Seed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Production of healthy plants for planting. PM 4/26 (2) Certification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PM 10/18 (1) Hot water treatment of grapevine to control Grapevine flavescence dorée phytoplasma.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490-492.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Certification schemes. PM 4/8 (2) Pathogen-tested material of grapevine varieties and rootstocks.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3/77 (1) Vegetable plants for planting under protected conditions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Commodity-speciﬁc phytosanitary measures. PM 8/1 (2)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Phytosanitary procedures.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Diagnostics. PM 7/133 (1) Generic detection of phytoplasmas.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Phytosanitary procedures. PM 3/85 (1) Inspection of places of production – Vitis plants for planting.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PM 3/21 (3) Post entry quarantine for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452-479.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Fialová R, Válová P, Balakishiyeva G, Danet JL, Šafárová D, Foissac X &amp; Navrátil M (2009) Genetic variability of stolbur phytoplasma in annual crop and wild plant species in south Moravia.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411-416.</w:t>
      </w:r>
    </w:p>
    <w:p>
      <w:pPr>
        <w:widowControl w:val="on"/>
        <w:pBdr/>
        <w:spacing w:before="220" w:after="220" w:line="240" w:lineRule="auto"/>
        <w:ind w:left="0" w:right="0"/>
        <w:jc w:val="left"/>
      </w:pPr>
      <w:r>
        <w:rPr>
          <w:rFonts w:ascii="Calibri" w:hAnsi="Calibri" w:eastAsia="Calibri" w:cs="Calibri"/>
          <w:color w:val="000000"/>
          <w:sz w:val="22"/>
          <w:szCs w:val="22"/>
        </w:rPr>
        <w:t xml:space="preserve">Gajardo A, Fiore N, Prodan S, Paltrinieri S, Botti S, Pino AM, Zamorano A, Montealegre J &amp; Bertaccini A (2009) Phytoplasmas associated with grapevine yellows disease in Chile.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(8), 789-796.</w:t>
      </w:r>
    </w:p>
    <w:p>
      <w:pPr>
        <w:widowControl w:val="on"/>
        <w:pBdr/>
        <w:spacing w:before="220" w:after="220" w:line="240" w:lineRule="auto"/>
        <w:ind w:left="0" w:right="0"/>
        <w:jc w:val="left"/>
      </w:pPr>
      <w:r>
        <w:rPr>
          <w:rFonts w:ascii="Calibri" w:hAnsi="Calibri" w:eastAsia="Calibri" w:cs="Calibri"/>
          <w:color w:val="000000"/>
          <w:sz w:val="22"/>
          <w:szCs w:val="22"/>
        </w:rPr>
        <w:t xml:space="preserve">Gatineau F, Larrue J, Clair D, Lorton F, Richard-Molard M &amp; Boudon-Padieu E (2001) A new natural planthopper vector of stolbur phytoplasma in the genus </w:t>
      </w:r>
      <w:r>
        <w:rPr>
          <w:rFonts w:ascii="Calibri" w:hAnsi="Calibri" w:eastAsia="Calibri" w:cs="Calibri"/>
          <w:i/>
          <w:iCs/>
          <w:color w:val="000000"/>
          <w:sz w:val="22"/>
          <w:szCs w:val="22"/>
        </w:rPr>
        <w:t xml:space="preserve">Pentastiridius</w:t>
      </w:r>
      <w:r>
        <w:rPr>
          <w:rFonts w:ascii="Calibri" w:hAnsi="Calibri" w:eastAsia="Calibri" w:cs="Calibri"/>
          <w:color w:val="000000"/>
          <w:sz w:val="22"/>
          <w:szCs w:val="22"/>
        </w:rPr>
        <w:t xml:space="preserve"> (Hemiptera: Cixiidae).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263–271.</w:t>
      </w:r>
    </w:p>
    <w:p>
      <w:pPr>
        <w:widowControl w:val="on"/>
        <w:pBdr/>
        <w:spacing w:before="220" w:after="220" w:line="240" w:lineRule="auto"/>
        <w:ind w:left="0" w:right="0"/>
        <w:jc w:val="left"/>
      </w:pPr>
      <w:r>
        <w:rPr>
          <w:rFonts w:ascii="Calibri" w:hAnsi="Calibri" w:eastAsia="Calibri" w:cs="Calibri"/>
          <w:color w:val="000000"/>
          <w:sz w:val="22"/>
          <w:szCs w:val="22"/>
        </w:rPr>
        <w:t xml:space="preserve">Girsova N, Bottner KD, Mozhaeva KA, Kastalyeva TB, Owens RA &amp; Lee IM (2008) Molecular detection and identification of group 16SrI and 16SrXII phytoplasmas associated with diseased potatoes in Russia.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(4), 654.</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Glynos PE, Karafla CD, Koutsioumari EM, Simoglou KB &amp; Eleftheriadis E (2014)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associated with potato plants in Greece.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(12), 1739.</w:t>
      </w:r>
    </w:p>
    <w:p>
      <w:pPr>
        <w:widowControl w:val="on"/>
        <w:pBdr/>
        <w:spacing w:before="220" w:after="220" w:line="240" w:lineRule="auto"/>
        <w:ind w:left="0" w:right="0"/>
        <w:jc w:val="left"/>
      </w:pPr>
      <w:r>
        <w:rPr>
          <w:rFonts w:ascii="Calibri" w:hAnsi="Calibri" w:eastAsia="Calibri" w:cs="Calibri"/>
          <w:color w:val="000000"/>
          <w:sz w:val="22"/>
          <w:szCs w:val="22"/>
        </w:rPr>
        <w:t xml:space="preserve">Hren M, Boben J, Rotter A, Kralj P, Gruden K &amp; Ravnikar M (2007) Real-time PCR detection systems for Flavescence dorée and Bois noir phytoplasmas in grapevine: comparison with conventional PCR detection and application in diagnostics.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785–796. </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'Candidatus Phytoplasma', a taxon for the wall-less, non-helical prokaryotes that colonize plant phloem and insects. </w:t>
      </w:r>
      <w:r>
        <w:rPr>
          <w:rFonts w:ascii="Calibri" w:hAnsi="Calibri" w:eastAsia="Calibri" w:cs="Calibri"/>
          <w:i/>
          <w:iCs/>
          <w:color w:val="000000"/>
          <w:sz w:val="22"/>
          <w:szCs w:val="22"/>
        </w:rPr>
        <w:t xml:space="preserve">International Journal</w:t>
      </w:r>
      <w:r>
        <w:rPr>
          <w:rFonts w:ascii="Calibri" w:hAnsi="Calibri" w:eastAsia="Calibri" w:cs="Calibri"/>
          <w:i/>
          <w:iCs/>
          <w:color w:val="000000"/>
          <w:sz w:val="22"/>
          <w:szCs w:val="22"/>
        </w:rPr>
        <w:t xml:space="preserve"> of Systematic and Evolutionary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Johannesen J, Lux B, Michel K, Seitz A &amp; Maixner M (2008) Invasion biology and host specificity of the grapevine yellows disease vector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(3), 217-227.</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Krnjajić S, Petrović A, Redinbaugh MG, Pratt RC, Hogenhout SA &amp; Toševski I (2009) Stolbur phytoplasma transmission to maize by </w:t>
      </w:r>
      <w:r>
        <w:rPr>
          <w:rFonts w:ascii="Calibri" w:hAnsi="Calibri" w:eastAsia="Calibri" w:cs="Calibri"/>
          <w:i/>
          <w:iCs/>
          <w:color w:val="000000"/>
          <w:sz w:val="22"/>
          <w:szCs w:val="22"/>
        </w:rPr>
        <w:t xml:space="preserve">Reptalus panzeri </w:t>
      </w:r>
      <w:r>
        <w:rPr>
          <w:rFonts w:ascii="Calibri" w:hAnsi="Calibri" w:eastAsia="Calibri" w:cs="Calibri"/>
          <w:color w:val="000000"/>
          <w:sz w:val="22"/>
          <w:szCs w:val="22"/>
        </w:rPr>
        <w:t xml:space="preserve">and the disease cycle of maize redness in Serbia.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1053-1061. </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Krnjajić S, Redinbaugh MG, Pratt RC, Gingery RE, Hogenhout SA &amp; Toševski I (2007) Roles of stolbur phytoplasma and </w:t>
      </w:r>
      <w:r>
        <w:rPr>
          <w:rFonts w:ascii="Calibri" w:hAnsi="Calibri" w:eastAsia="Calibri" w:cs="Calibri"/>
          <w:i/>
          <w:iCs/>
          <w:color w:val="000000"/>
          <w:sz w:val="22"/>
          <w:szCs w:val="22"/>
        </w:rPr>
        <w:t xml:space="preserve">Reptalus panzeri</w:t>
      </w:r>
      <w:r>
        <w:rPr>
          <w:rFonts w:ascii="Calibri" w:hAnsi="Calibri" w:eastAsia="Calibri" w:cs="Calibri"/>
          <w:color w:val="000000"/>
          <w:sz w:val="22"/>
          <w:szCs w:val="22"/>
        </w:rPr>
        <w:t xml:space="preserve"> (Cixiinae, Auchenorrhyncha) in the epidemiology of Maize redness in Serbia.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(1), 85-89.</w:t>
      </w:r>
    </w:p>
    <w:p>
      <w:pPr>
        <w:widowControl w:val="on"/>
        <w:pBdr/>
        <w:spacing w:before="220" w:after="220" w:line="240" w:lineRule="auto"/>
        <w:ind w:left="0" w:right="0"/>
        <w:jc w:val="left"/>
      </w:pPr>
      <w:r>
        <w:rPr>
          <w:rFonts w:ascii="Calibri" w:hAnsi="Calibri" w:eastAsia="Calibri" w:cs="Calibri"/>
          <w:color w:val="000000"/>
          <w:sz w:val="22"/>
          <w:szCs w:val="22"/>
        </w:rPr>
        <w:t xml:space="preserve">Kogovšek P, Mehle N, Pugelj A, Jakomin T, Schroers HJ, Ravnikar M &amp; Dermastia M (2017) Rapid loop-mediated isothermal amplification assays for grapevine yellows phytoplasmas on crude leaf-vein homogenate has the same performance as qPCR. </w:t>
      </w:r>
      <w:r>
        <w:rPr>
          <w:rFonts w:ascii="Calibri" w:hAnsi="Calibri" w:eastAsia="Calibri" w:cs="Calibri"/>
          <w:i/>
          <w:iCs/>
          <w:color w:val="000000"/>
          <w:sz w:val="22"/>
          <w:szCs w:val="22"/>
        </w:rPr>
        <w:t xml:space="preserve">European journal of plant pathology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(1), 75-84.</w:t>
      </w:r>
    </w:p>
    <w:p>
      <w:pPr>
        <w:widowControl w:val="on"/>
        <w:pBdr/>
        <w:spacing w:before="220" w:after="220" w:line="240" w:lineRule="auto"/>
        <w:ind w:left="0" w:right="0"/>
        <w:jc w:val="left"/>
      </w:pPr>
      <w:r>
        <w:rPr>
          <w:rFonts w:ascii="Calibri" w:hAnsi="Calibri" w:eastAsia="Calibri" w:cs="Calibri"/>
          <w:color w:val="000000"/>
          <w:sz w:val="22"/>
          <w:szCs w:val="22"/>
        </w:rPr>
        <w:t xml:space="preserve">Langer M &amp; Maixner M (2004) Molecular characterisation of grapevine yellows associated phytoplasmas of the stolbur-group based on RFLP-analysis of non-ribosomal DNA.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191-199.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Gundersen-Rindal DE, Davis RE &amp; Bartoszyk IM (1998) Revised classification scheme of phytoplasmas based on RFLP analyses of 16S rRNA and ribosomal protein gene sequences. </w:t>
      </w:r>
      <w:r>
        <w:rPr>
          <w:rFonts w:ascii="Calibri" w:hAnsi="Calibri" w:eastAsia="Calibri" w:cs="Calibri"/>
          <w:i/>
          <w:iCs/>
          <w:color w:val="000000"/>
          <w:sz w:val="22"/>
          <w:szCs w:val="22"/>
        </w:rPr>
        <w:t xml:space="preserve">International Journal of Systematic Bacteriology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(4), 1153-1169.</w:t>
      </w:r>
    </w:p>
    <w:p>
      <w:pPr>
        <w:widowControl w:val="on"/>
        <w:pBdr/>
        <w:spacing w:before="220" w:after="220" w:line="240" w:lineRule="auto"/>
        <w:ind w:left="0" w:right="0"/>
        <w:jc w:val="left"/>
      </w:pPr>
      <w:r>
        <w:rPr>
          <w:rFonts w:ascii="Calibri" w:hAnsi="Calibri" w:eastAsia="Calibri" w:cs="Calibri"/>
          <w:color w:val="000000"/>
          <w:sz w:val="22"/>
          <w:szCs w:val="22"/>
        </w:rPr>
        <w:t xml:space="preserve">Lindner K, Haase NU, Roman M &amp; Seemüller E (2011) Impact of stolbur phytoplasmas on potato tuber texture and sugar content of selected potato cultivars. </w:t>
      </w:r>
      <w:r>
        <w:rPr>
          <w:rFonts w:ascii="Calibri" w:hAnsi="Calibri" w:eastAsia="Calibri" w:cs="Calibri"/>
          <w:i/>
          <w:iCs/>
          <w:color w:val="000000"/>
          <w:sz w:val="22"/>
          <w:szCs w:val="22"/>
        </w:rPr>
        <w:t xml:space="preserve">Potato Research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267-282. </w:t>
      </w:r>
    </w:p>
    <w:p>
      <w:pPr>
        <w:widowControl w:val="on"/>
        <w:pBdr/>
        <w:spacing w:before="220" w:after="220" w:line="240" w:lineRule="auto"/>
        <w:ind w:left="0" w:right="0"/>
        <w:jc w:val="left"/>
      </w:pPr>
      <w:r>
        <w:rPr>
          <w:rFonts w:ascii="Calibri" w:hAnsi="Calibri" w:eastAsia="Calibri" w:cs="Calibri"/>
          <w:color w:val="000000"/>
          <w:sz w:val="22"/>
          <w:szCs w:val="22"/>
        </w:rPr>
        <w:t xml:space="preserve">Mitrović M, Jakovljević M, Jović J, Krstić O, Kosovac A, Trivellone V, Jermini M, Toševski I &amp; Cvrković T (2016) 'Candidatus Phytoplasma solani' genotypes associated with potato stolbur in Serbia and the role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Reptalus panzeri</w:t>
      </w:r>
      <w:r>
        <w:rPr>
          <w:rFonts w:ascii="Calibri" w:hAnsi="Calibri" w:eastAsia="Calibri" w:cs="Calibri"/>
          <w:color w:val="000000"/>
          <w:sz w:val="22"/>
          <w:szCs w:val="22"/>
        </w:rPr>
        <w:t xml:space="preserve"> (Hemiptera, Cixiidae) as natural vectors.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(3), 619-630.</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Pavan F &amp; Maixner M (2014a) Control of </w:t>
      </w:r>
      <w:r>
        <w:rPr>
          <w:rFonts w:ascii="Calibri" w:hAnsi="Calibri" w:eastAsia="Calibri" w:cs="Calibri"/>
          <w:i/>
          <w:iCs/>
          <w:color w:val="000000"/>
          <w:sz w:val="22"/>
          <w:szCs w:val="22"/>
        </w:rPr>
        <w:t xml:space="preserve">Hyalesthes obsoletus</w:t>
      </w:r>
      <w:r>
        <w:rPr>
          <w:rFonts w:ascii="Calibri" w:hAnsi="Calibri" w:eastAsia="Calibri" w:cs="Calibri"/>
          <w:color w:val="000000"/>
          <w:sz w:val="22"/>
          <w:szCs w:val="22"/>
        </w:rPr>
        <w:t xml:space="preserve"> nymphs based on chemical weeding and insecticides applied on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(2),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Mori N, Quaglino F, Tessari F, Pozzebon A, Bulgari D, Casati P &amp; Bianco PA (2014b) Investigation on 'bois noir' epidemiology in north-eastern Italian vineyards through a multidisciplinary approach. </w:t>
      </w:r>
      <w:r>
        <w:rPr>
          <w:rFonts w:ascii="Calibri" w:hAnsi="Calibri" w:eastAsia="Calibri" w:cs="Calibri"/>
          <w:i/>
          <w:iCs/>
          <w:color w:val="000000"/>
          <w:sz w:val="22"/>
          <w:szCs w:val="22"/>
        </w:rPr>
        <w:t xml:space="preserve">Annals of Applied Biology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(1), 75-89.</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(2015) In-vineyard population structure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using multilocus sequence typing analysis. </w:t>
      </w:r>
      <w:r>
        <w:rPr>
          <w:rFonts w:ascii="Calibri" w:hAnsi="Calibri" w:eastAsia="Calibri" w:cs="Calibri"/>
          <w:i/>
          <w:iCs/>
          <w:color w:val="000000"/>
          <w:sz w:val="22"/>
          <w:szCs w:val="22"/>
        </w:rPr>
        <w:t xml:space="preserve">Infection, Genetics and Evolution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221-230.</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RGE &amp; Stackebrandt E (1995) Taxonomic note: Implementation of the provisional status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for incompletely described procaryotes. </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nternational Journal of Systematic Bacteriology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186–187.</w:t>
      </w:r>
    </w:p>
    <w:p>
      <w:pPr>
        <w:widowControl w:val="on"/>
        <w:pBdr/>
        <w:spacing w:before="220" w:after="220" w:line="240" w:lineRule="auto"/>
        <w:ind w:left="0" w:right="0"/>
        <w:jc w:val="left"/>
      </w:pPr>
      <w:r>
        <w:rPr>
          <w:rFonts w:ascii="Calibri" w:hAnsi="Calibri" w:eastAsia="Calibri" w:cs="Calibri"/>
          <w:color w:val="000000"/>
          <w:sz w:val="22"/>
          <w:szCs w:val="22"/>
        </w:rPr>
        <w:t xml:space="preserve">Navrátil M, Válová P, Fialová R, Lauterer P, Šafárová D &amp; Starý M (2009) The incidence of stolbur disease and associated yield losses in vegetable crops in South Moravia (Czech Republic).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(10), 898-904.</w:t>
      </w:r>
    </w:p>
    <w:p>
      <w:pPr>
        <w:widowControl w:val="on"/>
        <w:pBdr/>
        <w:spacing w:before="220" w:after="220" w:line="240" w:lineRule="auto"/>
        <w:ind w:left="0" w:right="0"/>
        <w:jc w:val="left"/>
      </w:pPr>
      <w:r>
        <w:rPr>
          <w:rFonts w:ascii="Calibri" w:hAnsi="Calibri" w:eastAsia="Calibri" w:cs="Calibri"/>
          <w:color w:val="000000"/>
          <w:sz w:val="22"/>
          <w:szCs w:val="22"/>
        </w:rPr>
        <w:t xml:space="preserve">Paltrinieri S &amp; Bertaccini A (2007) Detection of phytoplasmas in plantlets grown from different batches of seed-potatoes. </w:t>
      </w:r>
      <w:r>
        <w:rPr>
          <w:rFonts w:ascii="Calibri" w:hAnsi="Calibri" w:eastAsia="Calibri" w:cs="Calibri"/>
          <w:i/>
          <w:iCs/>
          <w:color w:val="000000"/>
          <w:sz w:val="22"/>
          <w:szCs w:val="22"/>
        </w:rPr>
        <w:t xml:space="preserve">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379-380.</w:t>
      </w:r>
    </w:p>
    <w:p>
      <w:pPr>
        <w:widowControl w:val="on"/>
        <w:pBdr/>
        <w:spacing w:before="220" w:after="220" w:line="240" w:lineRule="auto"/>
        <w:ind w:left="0" w:right="0"/>
        <w:jc w:val="left"/>
      </w:pPr>
      <w:r>
        <w:rPr>
          <w:rFonts w:ascii="Calibri" w:hAnsi="Calibri" w:eastAsia="Calibri" w:cs="Calibri"/>
          <w:color w:val="000000"/>
          <w:sz w:val="22"/>
          <w:szCs w:val="22"/>
        </w:rPr>
        <w:t xml:space="preserve">Pelletier C, Salar P, Gillet J, Cloquemin G, Very P, Foissac X &amp; Malembic-Maher S (2009) Triplex real-time PCR assay for sensitive and simultaneous detection of grapevine phytoplasmas of the 16SrV and 16SrXII-A groups with an endogenous analytical control.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87-95.</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Maghradze D, Casati P, Chkhaidze N, Lobjanidze M, Ravasio A, Passera A, Venturini G, Failla O &amp; Bianco PA (2016) Identification and characterization of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strains associated with bois noir disease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cultivars showing a range of symptom severity in Georgia, the Caucasus region.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(5), 904-915. </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Murolo S, Zhao Y, Casati P, Durante G, Wei W, Bianco PA, Romanazzi G &amp; Davis RE (2017) Identification of new -J and -K 16SrXII subgroups and distinct single nucleotide polymorphism genetic lineages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strains associated with bois noir in Central Italy. </w:t>
      </w:r>
      <w:r>
        <w:rPr>
          <w:rFonts w:ascii="Calibri" w:hAnsi="Calibri" w:eastAsia="Calibri" w:cs="Calibri"/>
          <w:i/>
          <w:iCs/>
          <w:color w:val="000000"/>
          <w:sz w:val="22"/>
          <w:szCs w:val="22"/>
        </w:rPr>
        <w:t xml:space="preserve">Australasian Plant Pathology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31-34. </w:t>
      </w:r>
    </w:p>
    <w:p>
      <w:pPr>
        <w:widowControl w:val="on"/>
        <w:pBdr/>
        <w:spacing w:before="220" w:after="220" w:line="240" w:lineRule="auto"/>
        <w:ind w:left="0" w:right="0"/>
        <w:jc w:val="left"/>
      </w:pPr>
      <w:r>
        <w:rPr>
          <w:rFonts w:ascii="Calibri" w:hAnsi="Calibri" w:eastAsia="Calibri" w:cs="Calibri"/>
          <w:color w:val="000000"/>
          <w:sz w:val="22"/>
          <w:szCs w:val="22"/>
        </w:rPr>
        <w:t xml:space="preserve">Quaglino F, Zhao Y, Casati P, Bulgari D, Bianco PA, Wei W &amp; Davis RE (2013)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solani’, a novel taxon associated with stolbur- and bois noir-related diseases of plants.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2879-2894.</w:t>
      </w:r>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Sára A &amp; Regner F (2008) Transmission of a stolbur phytoplasma by the Agalliinae leafhopper </w:t>
      </w:r>
      <w:r>
        <w:rPr>
          <w:rFonts w:ascii="Calibri" w:hAnsi="Calibri" w:eastAsia="Calibri" w:cs="Calibri"/>
          <w:i/>
          <w:iCs/>
          <w:color w:val="000000"/>
          <w:sz w:val="22"/>
          <w:szCs w:val="22"/>
        </w:rPr>
        <w:t xml:space="preserve">Anaceratagallia ribauti</w:t>
      </w:r>
      <w:r>
        <w:rPr>
          <w:rFonts w:ascii="Calibri" w:hAnsi="Calibri" w:eastAsia="Calibri" w:cs="Calibri"/>
          <w:color w:val="000000"/>
          <w:sz w:val="22"/>
          <w:szCs w:val="22"/>
        </w:rPr>
        <w:t xml:space="preserve"> (Hemiptera, Auchenorrhyncha, Cicadellidae).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(11/12), 687-690.</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Murolo S &amp; Feliziani E (2013) Effects of an innovative strategy to contain grapevine Bois noir:  field treatment with resistance inducers.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785-791.</w:t>
      </w:r>
    </w:p>
    <w:p>
      <w:pPr>
        <w:widowControl w:val="on"/>
        <w:pBdr/>
        <w:spacing w:before="220" w:after="220" w:line="240" w:lineRule="auto"/>
        <w:ind w:left="0" w:right="0"/>
        <w:jc w:val="left"/>
      </w:pPr>
      <w:r>
        <w:rPr>
          <w:rFonts w:ascii="Calibri" w:hAnsi="Calibri" w:eastAsia="Calibri" w:cs="Calibri"/>
          <w:color w:val="000000"/>
          <w:sz w:val="22"/>
          <w:szCs w:val="22"/>
        </w:rPr>
        <w:t xml:space="preserve">Sémétey O, Gaudin J, Danet JL, Salar P, Theil S, Fontaine M, Krausz M, Chaisse E, Eveillard S, Verdin E &amp; Foissac X (2018) Lavender decline in France is associated with chronic infection by lavender-specific strains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(24), e01507-18.</w:t>
      </w:r>
    </w:p>
    <w:p>
      <w:pPr>
        <w:widowControl w:val="on"/>
        <w:pBdr/>
        <w:spacing w:before="220" w:after="220" w:line="240" w:lineRule="auto"/>
        <w:ind w:left="0" w:right="0"/>
        <w:jc w:val="left"/>
      </w:pPr>
      <w:r>
        <w:rPr>
          <w:rFonts w:ascii="Calibri" w:hAnsi="Calibri" w:eastAsia="Calibri" w:cs="Calibri"/>
          <w:color w:val="000000"/>
          <w:sz w:val="22"/>
          <w:szCs w:val="22"/>
        </w:rPr>
        <w:t xml:space="preserve">Waters H &amp; Hunt P (1980) The in vivo three-dimensional form of a plant mycoplasma-like organism by the analysis of serial ultrathin sections. </w:t>
      </w:r>
      <w:r>
        <w:rPr>
          <w:rFonts w:ascii="Calibri" w:hAnsi="Calibri" w:eastAsia="Calibri" w:cs="Calibri"/>
          <w:i/>
          <w:iCs/>
          <w:color w:val="000000"/>
          <w:sz w:val="22"/>
          <w:szCs w:val="22"/>
        </w:rPr>
        <w:t xml:space="preserve">Journal of General Microbiology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111–131.</w:t>
      </w:r>
    </w:p>
    <w:p>
      <w:pPr>
        <w:widowControl w:val="on"/>
        <w:pBdr/>
        <w:spacing w:before="220" w:after="220" w:line="240" w:lineRule="auto"/>
        <w:ind w:left="0" w:right="0"/>
        <w:jc w:val="left"/>
      </w:pPr>
      <w:r>
        <w:rPr>
          <w:rFonts w:ascii="Calibri" w:hAnsi="Calibri" w:eastAsia="Calibri" w:cs="Calibri"/>
          <w:color w:val="000000"/>
          <w:sz w:val="22"/>
          <w:szCs w:val="22"/>
        </w:rPr>
        <w:t xml:space="preserve">Wei W, Davis RE, Lee IM &amp; Zhao Y (2007) Computer simulated RFLP analysis of 16S rRNA genes: identification of ten new phytoplasma groups.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1855–1867.</w:t>
      </w:r>
    </w:p>
    <w:p>
      <w:pPr>
        <w:widowControl w:val="on"/>
        <w:pBdr/>
        <w:spacing w:before="220" w:after="220" w:line="240" w:lineRule="auto"/>
        <w:ind w:left="0" w:right="0"/>
        <w:jc w:val="left"/>
      </w:pPr>
      <w:r>
        <w:rPr>
          <w:rFonts w:ascii="Calibri" w:hAnsi="Calibri" w:eastAsia="Calibri" w:cs="Calibri"/>
          <w:color w:val="000000"/>
          <w:sz w:val="22"/>
          <w:szCs w:val="22"/>
        </w:rPr>
        <w:t xml:space="preserve">Weintraub PG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91-111.</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Wei W, Lee IM, Shao J, Suo X &amp; Davis RE (2009) Construction of an interactive online phytoplasma classification tool, iPhyClassifier, and its application in analysis of the peach X-disease phytoplasma group (16SrIII).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(10), 2582–2593.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solani’ (Stolbur phytoplasma) (</w:t>
      </w:r>
      <w:hyperlink r:id="rId18826627bca301f3b" w:history="1">
        <w:r>
          <w:rPr>
            <w:rFonts w:ascii="Calibri" w:hAnsi="Calibri" w:eastAsia="Calibri" w:cs="Calibri"/>
            <w:color w:val="0000CC"/>
            <w:sz w:val="22"/>
            <w:szCs w:val="22"/>
            <w:u w:val="single"/>
          </w:rPr>
          <w:t xml:space="preserve">https://www.cabi.org/isc/datasheet/108243</w:t>
        </w:r>
      </w:hyperlink>
      <w:r>
        <w:rPr>
          <w:rFonts w:ascii="Calibri" w:hAnsi="Calibri" w:eastAsia="Calibri" w:cs="Calibri"/>
          <w:color w:val="000000"/>
          <w:sz w:val="22"/>
          <w:szCs w:val="22"/>
        </w:rPr>
        <w:t xml:space="preserve">; date of the last modification: 10 December 2020; accessed on May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solani'</w:t>
      </w:r>
      <w:r>
        <w:rPr>
          <w:rFonts w:ascii="Calibri" w:hAnsi="Calibri" w:eastAsia="Calibri" w:cs="Calibri"/>
          <w:color w:val="000000"/>
          <w:sz w:val="22"/>
          <w:szCs w:val="22"/>
        </w:rPr>
        <w:t xml:space="preserve">. EPPO datasheets on pests recommended for regulation. Available online. </w:t>
      </w:r>
      <w:hyperlink r:id="rId53826627bca30201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100, stolbur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115-120. </w:t>
      </w:r>
      <w:hyperlink r:id="rId37406627bca3021b0" w:history="1">
        <w:r>
          <w:rPr>
            <w:rFonts w:ascii="Calibri" w:hAnsi="Calibri" w:eastAsia="Calibri" w:cs="Calibri"/>
            <w:color w:val="0000CC"/>
            <w:sz w:val="22"/>
            <w:szCs w:val="22"/>
            <w:u w:val="single"/>
          </w:rPr>
          <w:t xml:space="preserve">https://doi.org/10.1111/j.1365-2338.1978.tb02782.x</w:t>
        </w:r>
      </w:hyperlink>
      <w:r>
        <w:rPr>
          <w:rFonts w:ascii="Calibri" w:hAnsi="Calibri" w:eastAsia="Calibri" w:cs="Calibri"/>
          <w:color w:val="000000"/>
          <w:sz w:val="22"/>
          <w:szCs w:val="22"/>
        </w:rPr>
        <w:t xml:space="preserve"> </w:t>
      </w:r>
      <w:hyperlink r:id="rId52556627bca3021d4" w:history="1"/>
    </w:p>
    <w:p>
      <w:r>
        <w:drawing>
          <wp:inline distT="0" distB="0" distL="0" distR="0">
            <wp:extent cx="1800000" cy="604800"/>
            <wp:docPr id="85526170" name="name53776627bca30221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756627bca30221a"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70676">
    <w:multiLevelType w:val="hybridMultilevel"/>
    <w:lvl w:ilvl="0" w:tplc="57202661">
      <w:start w:val="1"/>
      <w:numFmt w:val="decimal"/>
      <w:lvlText w:val="%1."/>
      <w:lvlJc w:val="left"/>
      <w:pPr>
        <w:ind w:left="720" w:hanging="360"/>
      </w:pPr>
    </w:lvl>
    <w:lvl w:ilvl="1" w:tplc="57202661" w:tentative="1">
      <w:start w:val="1"/>
      <w:numFmt w:val="lowerLetter"/>
      <w:lvlText w:val="%2."/>
      <w:lvlJc w:val="left"/>
      <w:pPr>
        <w:ind w:left="1440" w:hanging="360"/>
      </w:pPr>
    </w:lvl>
    <w:lvl w:ilvl="2" w:tplc="57202661" w:tentative="1">
      <w:start w:val="1"/>
      <w:numFmt w:val="lowerRoman"/>
      <w:lvlText w:val="%3."/>
      <w:lvlJc w:val="right"/>
      <w:pPr>
        <w:ind w:left="2160" w:hanging="180"/>
      </w:pPr>
    </w:lvl>
    <w:lvl w:ilvl="3" w:tplc="57202661" w:tentative="1">
      <w:start w:val="1"/>
      <w:numFmt w:val="decimal"/>
      <w:lvlText w:val="%4."/>
      <w:lvlJc w:val="left"/>
      <w:pPr>
        <w:ind w:left="2880" w:hanging="360"/>
      </w:pPr>
    </w:lvl>
    <w:lvl w:ilvl="4" w:tplc="57202661" w:tentative="1">
      <w:start w:val="1"/>
      <w:numFmt w:val="lowerLetter"/>
      <w:lvlText w:val="%5."/>
      <w:lvlJc w:val="left"/>
      <w:pPr>
        <w:ind w:left="3600" w:hanging="360"/>
      </w:pPr>
    </w:lvl>
    <w:lvl w:ilvl="5" w:tplc="57202661" w:tentative="1">
      <w:start w:val="1"/>
      <w:numFmt w:val="lowerRoman"/>
      <w:lvlText w:val="%6."/>
      <w:lvlJc w:val="right"/>
      <w:pPr>
        <w:ind w:left="4320" w:hanging="180"/>
      </w:pPr>
    </w:lvl>
    <w:lvl w:ilvl="6" w:tplc="57202661" w:tentative="1">
      <w:start w:val="1"/>
      <w:numFmt w:val="decimal"/>
      <w:lvlText w:val="%7."/>
      <w:lvlJc w:val="left"/>
      <w:pPr>
        <w:ind w:left="5040" w:hanging="360"/>
      </w:pPr>
    </w:lvl>
    <w:lvl w:ilvl="7" w:tplc="57202661" w:tentative="1">
      <w:start w:val="1"/>
      <w:numFmt w:val="lowerLetter"/>
      <w:lvlText w:val="%8."/>
      <w:lvlJc w:val="left"/>
      <w:pPr>
        <w:ind w:left="5760" w:hanging="360"/>
      </w:pPr>
    </w:lvl>
    <w:lvl w:ilvl="8" w:tplc="57202661" w:tentative="1">
      <w:start w:val="1"/>
      <w:numFmt w:val="lowerRoman"/>
      <w:lvlText w:val="%9."/>
      <w:lvlJc w:val="right"/>
      <w:pPr>
        <w:ind w:left="6480" w:hanging="180"/>
      </w:pPr>
    </w:lvl>
  </w:abstractNum>
  <w:abstractNum w:abstractNumId="39670675">
    <w:multiLevelType w:val="hybridMultilevel"/>
    <w:lvl w:ilvl="0" w:tplc="93095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70675">
    <w:abstractNumId w:val="39670675"/>
  </w:num>
  <w:num w:numId="39670676">
    <w:abstractNumId w:val="396706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0798442" Type="http://schemas.microsoft.com/office/2011/relationships/commentsExtended" Target="commentsExtended.xml"/><Relationship Id="rId150424714" Type="http://schemas.microsoft.com/office/2011/relationships/people" Target="people.xml"/><Relationship Id="rId83506627bca2f0018" Type="http://schemas.openxmlformats.org/officeDocument/2006/relationships/hyperlink" Target="https://gd.eppo.int/taxon/PHYPSO/" TargetMode="External"/><Relationship Id="rId28736627bca2f008e" Type="http://schemas.openxmlformats.org/officeDocument/2006/relationships/hyperlink" Target="https://gd.eppo.int/taxon/PHYPSO/categorization" TargetMode="External"/><Relationship Id="rId72866627bca2f05c6" Type="http://schemas.openxmlformats.org/officeDocument/2006/relationships/hyperlink" Target="https://gd.eppo.int/taxon/PHYPSO/photos" TargetMode="External"/><Relationship Id="rId37906627bca2f37cf" Type="http://schemas.openxmlformats.org/officeDocument/2006/relationships/hyperlink" Target="https://www.cabi.org/isc/datasheet/108243#28334cdc-8482-49b0-b47c-56c3c3271fcc" TargetMode="External"/><Relationship Id="rId12806627bca3006db" Type="http://schemas.openxmlformats.org/officeDocument/2006/relationships/hyperlink" Target="https://dpo.org/10.1007/978-3-319-50648-7" TargetMode="External"/><Relationship Id="rId77686627bca3007df" Type="http://schemas.openxmlformats.org/officeDocument/2006/relationships/hyperlink" Target="https://doi.org/10.2903/j.efsa.2014.3924" TargetMode="External"/><Relationship Id="rId18826627bca301f3b" Type="http://schemas.openxmlformats.org/officeDocument/2006/relationships/hyperlink" Target="https://www.cabi.org/isc/datasheet/108243" TargetMode="External"/><Relationship Id="rId53826627bca30201c" Type="http://schemas.openxmlformats.org/officeDocument/2006/relationships/hyperlink" Target="https://gd.eppo.int" TargetMode="External"/><Relationship Id="rId37406627bca3021b0" Type="http://schemas.openxmlformats.org/officeDocument/2006/relationships/hyperlink" Target="https://doi.org/10.1111/j.1365-2338.1978.tb02782.x" TargetMode="External"/><Relationship Id="rId52556627bca3021d4" Type="http://schemas.openxmlformats.org/officeDocument/2006/relationships/hyperlink" Target="https://doi.org/10.1111/j.1365-2338.1983.tb01715.x" TargetMode="External"/><Relationship Id="rId72356627bca2f04c9" Type="http://schemas.openxmlformats.org/officeDocument/2006/relationships/image" Target="media/imgrId72356627bca2f04c9.jpg"/><Relationship Id="rId70126627bca2f2cc4" Type="http://schemas.openxmlformats.org/officeDocument/2006/relationships/image" Target="media/imgrId70126627bca2f2cc4.jpg"/><Relationship Id="rId37756627bca30221a" Type="http://schemas.openxmlformats.org/officeDocument/2006/relationships/image" Target="media/imgrId37756627bca30221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