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phoenicium'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phoenicium'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Verdin, Salar, Danet, Choueiri, Jreijiri, El Zammar, Gélie,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Almond witches' broom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phoenicium</w:t>
            </w:r>
            <w:r>
              <w:rPr>
                <w:rFonts w:ascii="Calibri" w:hAnsi="Calibri" w:eastAsia="Calibri" w:cs="Calibri"/>
                <w:color w:val="000000"/>
                <w:position w:val="-3"/>
                <w:sz w:val="22"/>
                <w:szCs w:val="22"/>
              </w:rPr>
              <w:t xml:space="preserve"> Verdin, Salar, Danet, Choueiri, Jreijiri, El Zammar, Gélie, Bové &amp; Garnier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AlmWB, Almond lethal witches' broom, witches' broom of almond</w:t>
            </w:r>
            <w:hyperlink r:id="rId40736ad85ec1c290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2946ad85ec1c298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03928" name="name68446ad85ec1c30ce" descr="12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80.jpg"/>
                          <pic:cNvPicPr/>
                        </pic:nvPicPr>
                        <pic:blipFill>
                          <a:blip r:embed="rId76716ad85ec1c30cc" cstate="print"/>
                          <a:stretch>
                            <a:fillRect/>
                          </a:stretch>
                        </pic:blipFill>
                        <pic:spPr>
                          <a:xfrm>
                            <a:off x="0" y="0"/>
                            <a:ext cx="2160000" cy="1281600"/>
                          </a:xfrm>
                          <a:prstGeom prst="rect">
                            <a:avLst/>
                          </a:prstGeom>
                          <a:ln w="0">
                            <a:noFill/>
                          </a:ln>
                        </pic:spPr>
                      </pic:pic>
                    </a:graphicData>
                  </a:graphic>
                </wp:inline>
              </w:drawing>
            </w:r>
            <w:hyperlink r:id="rId99436ad85ec1c31b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phoenicium' is accommodated in the phytoplasma taxonomic group 16SrIX (group Pigeon Pea Witches’ Broom) of the classification based on 16S rRNA sequences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It has been assigned to the subgroup 16SrIX-B, according to phylogenetic analysis of 16SrRNA confirmed by that of the protein-coding genetic loci rplV-rpsC and secY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Casati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reference strain is the Lebanese strain A4 associated with a lethal almond witches’-broom (AlmWB) also known as almond lethal proliferation: it is described by its 16SrRNA sequence (GenBank accession AF515636) and possesses the AlmF1 5’-CCTTTTTCGGAAGGTATG-3’ oligonucleotide sequence complementary to a unique region of 16S rRNA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addition to the phytoplasma reference strain A4 (LalmWB), two other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strains also associated with AlmWB have been described: namely AlmWB1 from Lebanon (GenBank accession AF390136) and NalmWB from Neyriz, Iran (AF515637)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All other phytoplasma strains possessing the AlmF1 sequence but sharing more than 97.5 % identity of 16SrRNA and less than 100% to the GenBank accession AF515636, can only be described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phoenicium’-related strains according to the rule collectively edited and adopted (IRPCM Phytoplasma/Spiroplasma Working Team, Phytoplasma taxonomy group, 2004).</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of the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genetic diversity among samples of diseased almond, peach and nectarine trees collected in diverse geographic regions of Lebanon highlighted the absence of genetic variations in their 16SrRNA, tufB and groEL while the hyper-variable gene </w:t>
      </w:r>
      <w:r>
        <w:rPr>
          <w:rFonts w:ascii="Calibri" w:hAnsi="Calibri" w:eastAsia="Calibri" w:cs="Calibri"/>
          <w:i/>
          <w:iCs/>
          <w:color w:val="000000"/>
          <w:sz w:val="22"/>
          <w:szCs w:val="22"/>
        </w:rPr>
        <w:t xml:space="preserve">inmp</w:t>
      </w:r>
      <w:r>
        <w:rPr>
          <w:rFonts w:ascii="Calibri" w:hAnsi="Calibri" w:eastAsia="Calibri" w:cs="Calibri"/>
          <w:color w:val="000000"/>
          <w:sz w:val="22"/>
          <w:szCs w:val="22"/>
        </w:rPr>
        <w:t xml:space="preserve"> allowed differentiation according to plant host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host range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mostly restricted to cultivated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and wild almond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also identified in association with a severe disease of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Prunus persica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nucipersica</w:t>
      </w:r>
      <w:r>
        <w:rPr>
          <w:rFonts w:ascii="Calibri" w:hAnsi="Calibri" w:eastAsia="Calibri" w:cs="Calibri"/>
          <w:color w:val="000000"/>
          <w:sz w:val="22"/>
          <w:szCs w:val="22"/>
        </w:rPr>
        <w:t xml:space="preserve">)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2004;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identified in the rootstock GF-677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in a wild almond species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2015). </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phoenicium’-related strains were found associated with the following host plants: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in Turkey (Canik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in Iran (Abbasi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pomegranates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L.) in Turkey (Çaglayan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juniper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in the USA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garlic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L.) and onion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L.) in India (Goel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chrysanthemum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in Iran (Bayat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Madagascar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in Brazil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aspera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1999, almond trees with symptoms of leaf yellowing, shoot proliferation, and dieback were observed in the Bekaa region, Lebanon, where a phytoplasma infection belonging to the pigeon pea witches' broom cluster (PPWB) was reported for the first time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also identified in association with a severe disease of peach and nectarine in southern Lebanon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2004;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disease was observed throughout the country, in 16 out of 24 Lebanese districts from coastal areas to high mountainous areas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w:t>
      </w:r>
    </w:p>
    <w:p>
      <w:pPr>
        <w:widowControl w:val="on"/>
        <w:pBdr/>
        <w:spacing w:before="220" w:after="220" w:line="240" w:lineRule="auto"/>
        <w:ind w:left="0" w:right="0"/>
        <w:jc w:val="both"/>
      </w:pPr>
      <w:r>
        <w:rPr>
          <w:rFonts w:ascii="Calibri" w:hAnsi="Calibri" w:eastAsia="Calibri" w:cs="Calibri"/>
          <w:color w:val="000000"/>
          <w:sz w:val="22"/>
          <w:szCs w:val="22"/>
        </w:rPr>
        <w:t xml:space="preserve">In Iran, the disease was first detected in almond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later on apricot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Ghayeb Zamharir &amp; Nazari, 2019).</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almond plants showing phytoplasma symptoms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were reported in Apulia region, Italy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5034435" name="name51006ad85ec1c4622" descr="PHYPP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H_distribution_map.jpg"/>
                    <pic:cNvPicPr/>
                  </pic:nvPicPr>
                  <pic:blipFill>
                    <a:blip r:embed="rId62166ad85ec1c46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Lebanon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phytoplasmas,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present in the phloem tissue of the stems and the roots of host plants throughout the year (Jawhari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phytoplasma cells are restricted to the sieve tubes and can be found in leaf petioles and midveins.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There are no data on the latency period under natural conditions, which seems to vary depending on varieties and conditions. However, symptoms appeared later on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(wild almond) than on cultivated almond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 Choueiri, unpublished data). The incubation period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stone fruits varies and may reach more than one year. In a survey in Lebanon in 2000-2002, all almond varieties were affected: some were highly susceptible and developed severe proliferation and witches’-broom leading to rapid death, whereas others were less affected (limited parts of the canopy, or only few trees in an orchard)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However, such differences may also be due to differences in latency in different cultivars. No specific up-to-date study on susceptibility has been carried out so far.</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phytoplasma could be experimentally transmitted by graft-inoculation of infected almond shoots onto seedlings of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GF305) and plum (</w:t>
      </w:r>
      <w:r>
        <w:rPr>
          <w:rFonts w:ascii="Calibri" w:hAnsi="Calibri" w:eastAsia="Calibri" w:cs="Calibri"/>
          <w:i/>
          <w:iCs/>
          <w:color w:val="000000"/>
          <w:sz w:val="22"/>
          <w:szCs w:val="22"/>
        </w:rPr>
        <w:t xml:space="preserve">Prunus mariana</w:t>
      </w:r>
      <w:r>
        <w:rPr>
          <w:rFonts w:ascii="Calibri" w:hAnsi="Calibri" w:eastAsia="Calibri" w:cs="Calibri"/>
          <w:color w:val="000000"/>
          <w:sz w:val="22"/>
          <w:szCs w:val="22"/>
        </w:rPr>
        <w:t xml:space="preserve"> GF8-1) and the symptoms were reproduced in 1 month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or 4-6 months according to other graft inoculation trials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When AlmWB-infected almond trees were grafted with apricot or plum scions, their growth was symptomless for over 2 years in the field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 Choueiri, unpublished data). In addition, shoots developing from Farclo apricot grafted on AlmWB-infected trees in the field showed severe symptoms 2 months after grafting but recovered 3 months later, and remained symptomless for about 2.5 years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rapid spread of almond witches’-broom (AlmWB) disease,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over large geographical areas suggests the prevalence of efficient insect vector(s). In insect transmission trials in Lebanon, </w:t>
      </w:r>
      <w:r>
        <w:rPr>
          <w:rFonts w:ascii="Calibri" w:hAnsi="Calibri" w:eastAsia="Calibri" w:cs="Calibri"/>
          <w:i/>
          <w:iCs/>
          <w:color w:val="000000"/>
          <w:sz w:val="22"/>
          <w:szCs w:val="22"/>
        </w:rPr>
        <w:t xml:space="preserve">Asymmetrasca decedens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Empoasca decedens</w:t>
      </w:r>
      <w:r>
        <w:rPr>
          <w:rFonts w:ascii="Calibri" w:hAnsi="Calibri" w:eastAsia="Calibri" w:cs="Calibri"/>
          <w:color w:val="000000"/>
          <w:sz w:val="22"/>
          <w:szCs w:val="22"/>
        </w:rPr>
        <w:t xml:space="preserve">) (leafhopper; Hemiptera: Cicadellidae: Typhlocibinae) was shown to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to almond and peach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Middle East,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is active throughout the year and has 4-5 generations per year. In field surveys in Lebanon in AlmWB-infected almond orchards,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was the most abundant Hemiptera and represented over 82% of leafhoppers trapped with the highest population levels in stone fruits in spring and summer (Dakhil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an infested orchard, it is therefore expected that there would be  a large number of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carrying the pathogen.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has not been confirmed as a vector in Iran but it is abundant in stone fruit orchards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Moreover, the results of molecular analyzes of the insect collection of cixiids carried out during surveys in Lebanon and the preliminary transmission trials gave interesting information on the potential role of different cixiid genera in the transmission of phytoplasmas in Lebanon. Leafhopper species of the genera</w:t>
      </w:r>
      <w:r>
        <w:rPr>
          <w:rFonts w:ascii="Calibri" w:hAnsi="Calibri" w:eastAsia="Calibri" w:cs="Calibri"/>
          <w:i/>
          <w:iCs/>
          <w:color w:val="000000"/>
          <w:sz w:val="22"/>
          <w:szCs w:val="22"/>
        </w:rPr>
        <w:t xml:space="preserve"> 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Eumecurus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Hyalesthes </w:t>
      </w:r>
      <w:r>
        <w:rPr>
          <w:rFonts w:ascii="Calibri" w:hAnsi="Calibri" w:eastAsia="Calibri" w:cs="Calibri"/>
          <w:color w:val="000000"/>
          <w:sz w:val="22"/>
          <w:szCs w:val="22"/>
        </w:rPr>
        <w:t xml:space="preserve">were found to be able to acquire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whereas the species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cf.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viperinus</w:t>
      </w:r>
      <w:r>
        <w:rPr>
          <w:rFonts w:ascii="Calibri" w:hAnsi="Calibri" w:eastAsia="Calibri" w:cs="Calibri"/>
          <w:color w:val="000000"/>
          <w:sz w:val="22"/>
          <w:szCs w:val="22"/>
        </w:rPr>
        <w:t xml:space="preserve"> were able to transmit AlmWB phytoplasma to healthy GF305 potted peach seedlings. Such results should be further verified, because the two specimens were part of batches which included individuals of different species with potential role in disease transmission in orchards. So far, it was proven that at least leafhopper species of the genus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cf.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 viperinus</w:t>
      </w:r>
      <w:r>
        <w:rPr>
          <w:rFonts w:ascii="Calibri" w:hAnsi="Calibri" w:eastAsia="Calibri" w:cs="Calibri"/>
          <w:color w:val="000000"/>
          <w:sz w:val="22"/>
          <w:szCs w:val="22"/>
        </w:rPr>
        <w:t xml:space="preserve"> carrying Phytoplasmas were also collected from weed hosts </w:t>
      </w:r>
      <w:r>
        <w:rPr>
          <w:rFonts w:ascii="Calibri" w:hAnsi="Calibri" w:eastAsia="Calibri" w:cs="Calibri"/>
          <w:i/>
          <w:iCs/>
          <w:color w:val="000000"/>
          <w:sz w:val="22"/>
          <w:szCs w:val="22"/>
        </w:rPr>
        <w:t xml:space="preserve">Smilax aspera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Anthemis</w:t>
      </w:r>
      <w:r>
        <w:rPr>
          <w:rFonts w:ascii="Calibri" w:hAnsi="Calibri" w:eastAsia="Calibri" w:cs="Calibri"/>
          <w:color w:val="000000"/>
          <w:sz w:val="22"/>
          <w:szCs w:val="22"/>
        </w:rPr>
        <w:t xml:space="preserve"> spp., both found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Mackesy &amp; Sullivan (2016) and Casati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suggested that weeds may act as a reservoir for the spread of AlmWB to stone fruit hosts, but this has not been demonstrated so far.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field inspections, it seems that symptoms on infected plants are expressed after a variable period of time after infection and depend on several factors (e.g. initial phytoplasma inoculum, incubation period, tree age, species/cultivar, phytosanitary status of the tree).</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on almond trees include proliferation of slender shoots at several points on the main trunk of affected trees, or from the roots, with an occasional appearance of witches’-broom. Proliferation symptoms are always observed, but witches’-broom symptoms may appear only on some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Proliferation and witches’ broom are also observed on branches. However, perpendicular development of many auxiliary buds on the branches was also encountered. Trees also suffer from leaf size reduction and yellowing (pale green), stunted growth with short internodes, off-season growth, leaf rosetting, early flowering, general decline of affected trees and die-back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symptoms appeared exacerbated when trees were heavily pruned, affected branches or trees produce few or no fruits and in dry weather, the leaves may appear brownish-red. In the first symptomatic year, only some branches show symptoms, whereas the entire canopy is affected starting in the second year. Trees decline rapidly and some die within 3-4 years following the appearance of the first symptoms, whereas others may survive longer. On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a wild almond species,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caused severe witches’-broom, yellowing and decline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peach and nectarine trees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the first symptom observed is the early flowering (15 to 20 days earlier than normal), followed by the early development of all the buds of the infected branches. In addition, some months after the normal flowering period, phyllody and serrate, slim, light green leaves develop on the plant branches and proliferation of shoots and witches’-brooms develop from the trunks and crowns of affected trees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Symptoms initially appear only on some branches, and all branches in subsequent years. The disease does not lead to dieback in peach as quickly as in almond. Field monitoring of affected peach and nectarine orchards showed that no mortality was observed after 3-4 years whereas mortality occurred within this time frame in almond groves (Choueiri, personal communication). On infected GF-677 trees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characteristic symptoms of the disease were internode shortening, chlorosis, reduced size of leaves especially in the broom, proliferation of slender upright shoots, witches' broom, stunting and dieback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On apricot, yellows symptoms including leaf yellowing, size reduction and inward leaf curl, scorch of leaf margins, shortened internodes, rosette at the tips of branches, die back and plant death were observed on apricot trees at MeshKan, Iran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Affected branches either bore no fruits or fruits were small and abnormal in shape and taste. In Lebanon, a recovery phenomenon (remission of symptoms) was observed in apricot grafted on infected almond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is a pleiomorphic cell wall-less bacterium. Cells are predominantly filamentous and branched, 0.1–0.2 mm in diameter and are surrounded by the triple-layered cytoplasmic membrane characteristic of the class </w:t>
      </w:r>
      <w:r>
        <w:rPr>
          <w:rFonts w:ascii="Calibri" w:hAnsi="Calibri" w:eastAsia="Calibri" w:cs="Calibri"/>
          <w:i/>
          <w:iCs/>
          <w:color w:val="000000"/>
          <w:sz w:val="22"/>
          <w:szCs w:val="22"/>
        </w:rPr>
        <w:t xml:space="preserve">Mollicutes</w:t>
      </w:r>
      <w:r>
        <w:rPr>
          <w:rFonts w:ascii="Calibri" w:hAnsi="Calibri" w:eastAsia="Calibri" w:cs="Calibri"/>
          <w:color w:val="000000"/>
          <w:sz w:val="22"/>
          <w:szCs w:val="22"/>
        </w:rPr>
        <w:t xml:space="preserve">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inspection and sampling</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and visual inspection is a routine method to support eradication in countries where the disease is present, as well as for its surveillance in countries or areas where it is not present. Generally,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symptomatic, but it may be present in the absence of symptoms because of its long incubation period. This should be taken into account for sampling. Proliferation of slender shoots and witches’-broom arising mainly from the main trunks with the appearance of small and yellowing leaves, followed by general decline of affected trees are considered the most typical symptoms and can be used in field surveys as part of an initial diagnosis. </w:t>
      </w:r>
    </w:p>
    <w:p>
      <w:pPr>
        <w:widowControl w:val="on"/>
        <w:pBdr/>
        <w:spacing w:before="220" w:after="220" w:line="240" w:lineRule="auto"/>
        <w:ind w:left="0" w:right="0"/>
        <w:jc w:val="both"/>
      </w:pPr>
      <w:r>
        <w:rPr>
          <w:rFonts w:ascii="Calibri" w:hAnsi="Calibri" w:eastAsia="Calibri" w:cs="Calibri"/>
          <w:color w:val="000000"/>
          <w:sz w:val="22"/>
          <w:szCs w:val="22"/>
        </w:rPr>
        <w:t xml:space="preserve">Sampling and extraction techniques are important as phytoplasmas may be distributed unevenly in the plant. On symptomatic trees, samples should be taken from symptomatic roots and/or stems excluding necrotic tissues. It is recommended to take representative samples (at least 10 cm long), from at least three different parts of the tree, with composite sampling. Testing of asymptomatic plants may not be reliable because they would not detect very low titres, which would result in false negatives. Thus, for plants showing suspicious symptoms or asymptomaticplants, it is recommended to collect samples from the four cardinal points in particular from the middle to high parts of the canopy (E. Choueiri, personal communication). The highest concentration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usually found in the phloem tissue of leaf midrib and stems (E. Choueiri, personal communication).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in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details regarding sampling, detection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plant material, see the EPPO Diagnostic Standard on this pest (EPPO Standard PM 7/150).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limited to the plant phloem, movement of infected host plant material (seedlings, pot plants, rooted or unrooted cuttings, tissue culture, scions, and rootstocks) is the main pathway for entry and spread over short and long distances (primary introduction). No transmission through pollen, seeds or fruits has been demonstrated yet (EPPO,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vectors which are thought to be leafhoppers or planthoppers such as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 viperinus</w:t>
      </w:r>
      <w:r>
        <w:rPr>
          <w:rFonts w:ascii="Calibri" w:hAnsi="Calibri" w:eastAsia="Calibri" w:cs="Calibri"/>
          <w:color w:val="000000"/>
          <w:sz w:val="22"/>
          <w:szCs w:val="22"/>
        </w:rPr>
        <w:t xml:space="preserv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seem to be able to transmit AlmWB phytoplasma and can be responsible for disease spread over short and long distances (secondary spread), because they can both spread the disease between plants and also travel with the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is an economically important and destructive phytoplasma in Lebanon where it caused the death of more than 100,000 almond trees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as well as in several provinces of Iran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2011; 2018).</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has had devastating effects on the production of almond, peach and nectarine in Lebanon and Iran with corresponding social and economic impacts (EPPO, 2017). In diseased orchards, fruit quality is affected, and yield reduction can reach 70 to 100 %, depending on the proportion of infected canopy and may render affected orchards unprofitable, thus leading to the death of the almond infected trees 3-4 years after the appearance of initial symptoms, which led to the loss of a large number of trees in these countries. In many districts and provinces, the economic impact has also been dramatic and difficulties in maintaining economically viable orchards have forced many growers out of business. In this regard, in North Lebanon, where almonds were grown on a large scale in rain-fed areas, farmers could not easily replace almond by another crop with profitable economic return, and consequently constituted a great economic burden on farmers. Thus, the rapid spread of this devastating disease is alarming not only for Iran and Lebanon but also for other stone fruit growing countries worldwide.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Large-scale surveys are of utmost importance to detect newly established foci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an area as early as possible. Once detected, a rapid elimination of phytoplasma reservoirs either from individual trees or entire planted areas is the most effective practice to avoid the inoculum dispersal and to delay epidemic spread. In fact, promising preliminary results on eradication were already obtained in the South of Lebanon, where farmers responded rapidly by eradicating and burning diseased trees and no symptoms of infection were observed later in the region where these actions had been applied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curative treatments. Effective control measures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can be taken such as (i) promoting large-scale production of healthy nursery plants; (ii) use of certified plants from tested mother plants and healthy buds; (iii) avoiding grafting scions from infected trees; (iv) vector management applying insecticide sprays at critical flushing periods and weed management. Unfortunately, information on natural vectors is still incomplete; (v) continuous monitoring and surveillance even in regions where infected trees were eradicated; (vi) replacement of infected trees with non-hosts. This measure was adopted in Lebanon. Currently, there are no known almond cultivars that are resistant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w:t>
      </w:r>
    </w:p>
    <w:p>
      <w:pPr>
        <w:widowControl w:val="on"/>
        <w:pBdr/>
        <w:spacing w:before="220" w:after="220" w:line="240" w:lineRule="auto"/>
        <w:ind w:left="0" w:right="0"/>
        <w:jc w:val="both"/>
      </w:pPr>
      <w:r>
        <w:rPr>
          <w:rFonts w:ascii="Calibri" w:hAnsi="Calibri" w:eastAsia="Calibri" w:cs="Calibri"/>
          <w:color w:val="000000"/>
          <w:sz w:val="22"/>
          <w:szCs w:val="22"/>
        </w:rPr>
        <w:t xml:space="preserve">Elimination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from infected trees using tissue culture techniques with or without thermotherapy has been used to produce healthy seedlings (Chalak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 phoenicium’ is a serious threat for the stone fruit trees growing countries in the EPPO region (EPPO, 2017). Its recent detection on almond in Southern Italy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raises questions on the potential movement of infested host plants from infested areas. Its impact on stone fruit and other hosts production can be destructive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Damage to stone fruits crops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expressed in the reduction and possibly complete loss of fruits and the subsequent death of trees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2011;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has a high likelihood of establishing, spreading and causing impacts especially where the known vectors occur.</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 most significant phytosanitary risks, is the difficulty or inability to secure costly eradication and nursery certification programs and vector control. Accordingly, quarantine restrictions for imports are essential. The exchange of plant propagation material of unknown sanitary status poses a high risk for the establishment and spread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 in particular in countries with a limited plant pest diagnostic capacity. Furthermore, there is a high uncertainty of information about the probable presence or distribution of phytoplasmas in several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 and in the absence of curative treatments against this pathogen, prophylactic measures are still the only effective way to avoid infection of hosts or dissemination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phoenicium’-free areas. EPPO (2017) has recommended that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 plants for planting (except seed) should either come from a pest-free area, or should be grown under complete physical isolation (in both case with measures to prevent infestation by vectors for plants with foliage) and that in-vitro plants should be tested to ensure absence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desirable to warn NPPOs about the severe impacts of this pest on almond, peach, nectarine and apricot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strategies for phytoplasma containment can be adopted by: (i) prohibiting imports of plant material from high risk countries, (ii) developing a coherent legislative framework in the field of production of certified propagation material, (iii) improving phytosanitary inspection of imports to meet quarantine regulations, (iv) improve nurseries certification system (formal and/or informal), and (v) strengthening human capacity in pathogens diagnosis and controlling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insect vectors (Choueiri,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Abbasi A, Hasanzadeh N, Ghayeb Zamharir M, Tohidfar M (2019) Identification of a group 16SrIX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phytoplasma associated with sweet orange exhibiting decline symptoms in Iran.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 </w:t>
      </w:r>
      <w:hyperlink r:id="rId44086ad85ec1c5a24" w:history="1">
        <w:r>
          <w:rPr>
            <w:rFonts w:ascii="Calibri" w:hAnsi="Calibri" w:eastAsia="Calibri" w:cs="Calibri"/>
            <w:color w:val="0000CC"/>
            <w:sz w:val="22"/>
            <w:szCs w:val="22"/>
            <w:u w:val="single"/>
          </w:rPr>
          <w:t xml:space="preserve">https://doi.org/10.1007/s13314-019-0342-9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Abou Jawdah Y, Choueiri E, Bianco PA, Molino-Lova M, Hajj-Hassan S, Al Achi R (2011) Almond witches’-broom phytoplasma: Situation in Lebanon.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99-100.</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Abdel Sater A, Jawhari M, Sobh H, Abdul Nour H, Bianco PA, Molino Lova M, Alma A (2014) </w:t>
      </w:r>
      <w:r>
        <w:rPr>
          <w:rFonts w:ascii="Calibri" w:hAnsi="Calibri" w:eastAsia="Calibri" w:cs="Calibri"/>
          <w:i/>
          <w:iCs/>
          <w:color w:val="000000"/>
          <w:sz w:val="22"/>
          <w:szCs w:val="22"/>
        </w:rPr>
        <w:t xml:space="preserve">Asymmetrasca decedens</w:t>
      </w:r>
      <w:r>
        <w:rPr>
          <w:rFonts w:ascii="Calibri" w:hAnsi="Calibri" w:eastAsia="Calibri" w:cs="Calibri"/>
          <w:color w:val="000000"/>
          <w:sz w:val="22"/>
          <w:szCs w:val="22"/>
        </w:rPr>
        <w:t xml:space="preserve"> (Cicadellidae, Typhlocybinae), a natural vector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395-403.</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Dakhil H, El-Mehtar S, Lee IM (2003) Almond witches’-broom phytoplasma, a potential threat to almond, peach and nectarine.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28–32.</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Karakashian A, Sobh H, Martini M, Lee IM (2002) An epidemic of almond witches’-broom in Lebanon: classification and phylogenetic relationship of the associated phytoplasma.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477–84.</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Sobh H, Akkary M (2009) First report of Almond witches’-broom phytoplasma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causing a severe disease on nectarine and peach trees in Lebanon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94–98.</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JC, Eckstein B, Bergamin Filho A, Bedendo IP, Kitajima EW (2012) Molecular characterization of a phytoplasma of group 16SrIX related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in periwinkle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130-135.</w:t>
      </w:r>
    </w:p>
    <w:p>
      <w:pPr>
        <w:widowControl w:val="on"/>
        <w:pBdr/>
        <w:spacing w:before="220" w:after="220" w:line="240" w:lineRule="auto"/>
        <w:ind w:left="0" w:right="0"/>
        <w:jc w:val="left"/>
      </w:pPr>
      <w:r>
        <w:rPr>
          <w:rFonts w:ascii="Calibri" w:hAnsi="Calibri" w:eastAsia="Calibri" w:cs="Calibri"/>
          <w:color w:val="000000"/>
          <w:sz w:val="22"/>
          <w:szCs w:val="22"/>
        </w:rPr>
        <w:t xml:space="preserve">Bayat H, Verhoeven JThJ, Botermans M, Peters D, Hassani-Mehraban A (2013) First report of a 16SrIX Group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phytoplasma associated with a Chrysanthemum disease.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1110.</w:t>
      </w:r>
    </w:p>
    <w:p>
      <w:pPr>
        <w:widowControl w:val="on"/>
        <w:pBdr/>
        <w:spacing w:before="220" w:after="220" w:line="240" w:lineRule="auto"/>
        <w:ind w:left="0" w:right="0"/>
        <w:jc w:val="left"/>
      </w:pPr>
      <w:r>
        <w:rPr>
          <w:rFonts w:ascii="Calibri" w:hAnsi="Calibri" w:eastAsia="Calibri" w:cs="Calibri"/>
          <w:color w:val="000000"/>
          <w:sz w:val="22"/>
          <w:szCs w:val="22"/>
        </w:rPr>
        <w:t xml:space="preserve">Çaglayan K, Gazel M, Acioglu M, Deniz Kocabag H, Sipahioglu HK (2019) Molecular identification of phytoplasmas in ornamental pomegranates in Turkey.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Canik D, Ertunc F, Paltrinieri S, Contaldo N, Bertaccini A (2011) Identification of different phytoplasmas infecting grapevine in Turkey.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S225-S226.</w:t>
      </w:r>
    </w:p>
    <w:p>
      <w:pPr>
        <w:widowControl w:val="on"/>
        <w:pBdr/>
        <w:spacing w:before="220" w:after="220" w:line="240" w:lineRule="auto"/>
        <w:ind w:left="0" w:right="0"/>
        <w:jc w:val="left"/>
      </w:pPr>
      <w:r>
        <w:rPr>
          <w:rFonts w:ascii="Calibri" w:hAnsi="Calibri" w:eastAsia="Calibri" w:cs="Calibri"/>
          <w:color w:val="000000"/>
          <w:sz w:val="22"/>
          <w:szCs w:val="22"/>
        </w:rPr>
        <w:t xml:space="preserve">Casati P, Quaglino F, Abou-Jawdah Y, Picciau L, Cominetti A, Tedeschi R, Jawhari M, Choueiri E, Sobh H, Molino Lova M, Beyrouthy M, Alma A, Bianco PA (2016) Wild plants could play a role in the spread of diseases associated with phytoplasmas of pigeon pea witches'-broom group (16SrIX).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71-81. </w:t>
      </w:r>
      <w:hyperlink r:id="rId20866ad85ec1c5e83" w:history="1">
        <w:r>
          <w:rPr>
            <w:rFonts w:ascii="Calibri" w:hAnsi="Calibri" w:eastAsia="Calibri" w:cs="Calibri"/>
            <w:color w:val="0000CC"/>
            <w:sz w:val="22"/>
            <w:szCs w:val="22"/>
            <w:u w:val="single"/>
          </w:rPr>
          <w:t xml:space="preserve">https://doi.org/10.4454/JPP.V98I1.026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Chalak L, Elbitar A, Rizk R, Choueiri E, Salar P, Bové JM (2005) Attempts to eliminate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from infected Lebanese almond varieties by tissue culture techniques combined or not with thermotherapy.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85-89.</w:t>
      </w:r>
    </w:p>
    <w:p>
      <w:pPr>
        <w:widowControl w:val="on"/>
        <w:pBdr/>
        <w:spacing w:before="220" w:after="220" w:line="240" w:lineRule="auto"/>
        <w:ind w:left="0" w:right="0"/>
        <w:jc w:val="left"/>
      </w:pPr>
      <w:r>
        <w:rPr>
          <w:rFonts w:ascii="Calibri" w:hAnsi="Calibri" w:eastAsia="Calibri" w:cs="Calibri"/>
          <w:color w:val="000000"/>
          <w:sz w:val="22"/>
          <w:szCs w:val="22"/>
        </w:rPr>
        <w:t xml:space="preserve">Choueiri E (2018) Emerging Phytoplasma diseases affecting fruit crops in the Arab region. </w:t>
      </w:r>
      <w:r>
        <w:rPr>
          <w:rFonts w:ascii="Calibri" w:hAnsi="Calibri" w:eastAsia="Calibri" w:cs="Calibri"/>
          <w:i/>
          <w:iCs/>
          <w:color w:val="000000"/>
          <w:sz w:val="22"/>
          <w:szCs w:val="22"/>
        </w:rPr>
        <w:t xml:space="preserve">Arab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261-262.</w:t>
      </w:r>
    </w:p>
    <w:p>
      <w:pPr>
        <w:widowControl w:val="on"/>
        <w:pBdr/>
        <w:spacing w:before="220" w:after="220" w:line="240" w:lineRule="auto"/>
        <w:ind w:left="0" w:right="0"/>
        <w:jc w:val="left"/>
      </w:pPr>
      <w:r>
        <w:rPr>
          <w:rFonts w:ascii="Calibri" w:hAnsi="Calibri" w:eastAsia="Calibri" w:cs="Calibri"/>
          <w:color w:val="000000"/>
          <w:sz w:val="22"/>
          <w:szCs w:val="22"/>
        </w:rPr>
        <w:t xml:space="preserve">Choueiri E, Jreijiri F, Issa S, Verdin E, Bové J, Garnier M (2001) First report of a phytoplasma disease of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in Lebanon.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802.</w:t>
      </w:r>
    </w:p>
    <w:p>
      <w:pPr>
        <w:widowControl w:val="on"/>
        <w:pBdr/>
        <w:spacing w:before="220" w:after="220" w:line="240" w:lineRule="auto"/>
        <w:ind w:left="0" w:right="0"/>
        <w:jc w:val="left"/>
      </w:pPr>
      <w:r>
        <w:rPr>
          <w:rFonts w:ascii="Calibri" w:hAnsi="Calibri" w:eastAsia="Calibri" w:cs="Calibri"/>
          <w:color w:val="000000"/>
          <w:sz w:val="22"/>
          <w:szCs w:val="22"/>
        </w:rPr>
        <w:t xml:space="preserve">Dakhil H, Hammad EA, El-Mohtar C, Abou-Jawdah Y (2011) Survey of leafhopper species in almond orchards infected with almond witches’-broom phytoplasma in Lebanon.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Dallya EL, Zhao Y, Lee IM, Jomantiene R, Detweiler AJ, Putnam ML (2010) First report of a new subgroup 16SrIX-E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phytoplasma associated with juniper witches’ broom disease in Oregon, USA.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1161.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for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EPPO, Paris. Available at </w:t>
      </w:r>
      <w:hyperlink r:id="rId65726ad85ec1c6109" w:history="1">
        <w:r>
          <w:rPr>
            <w:rFonts w:ascii="Calibri" w:hAnsi="Calibri" w:eastAsia="Calibri" w:cs="Calibri"/>
            <w:color w:val="0000CC"/>
            <w:sz w:val="22"/>
            <w:szCs w:val="22"/>
            <w:u w:val="single"/>
          </w:rPr>
          <w:t xml:space="preserve">https://gd.eppo.int/taxon/PHYPPH</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Diagnostic Protocol Standard PM 7/150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 </w:t>
      </w:r>
      <w:hyperlink r:id="rId10106ad85ec1c615b" w:history="1">
        <w:r>
          <w:rPr>
            <w:rFonts w:ascii="Calibri" w:hAnsi="Calibri" w:eastAsia="Calibri" w:cs="Calibri"/>
            <w:color w:val="0000CC"/>
            <w:sz w:val="22"/>
            <w:szCs w:val="22"/>
            <w:u w:val="single"/>
          </w:rPr>
          <w:t xml:space="preserve">https://doi.org/10.1111/epp.12799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Ghayeb Zamharir M, Nazari O (2019) Identification of 16SrIX-B phytoplasmas associated with apricot rosette in Iran. Identification of 16SrIX-B phytoplasmas associated with apricot rosette in Iran.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219-220.</w:t>
      </w:r>
    </w:p>
    <w:p>
      <w:pPr>
        <w:widowControl w:val="on"/>
        <w:pBdr/>
        <w:spacing w:before="220" w:after="220" w:line="240" w:lineRule="auto"/>
        <w:ind w:left="0" w:right="0"/>
        <w:jc w:val="left"/>
      </w:pPr>
      <w:r>
        <w:rPr>
          <w:rFonts w:ascii="Calibri" w:hAnsi="Calibri" w:eastAsia="Calibri" w:cs="Calibri"/>
          <w:color w:val="000000"/>
          <w:sz w:val="22"/>
          <w:szCs w:val="22"/>
        </w:rPr>
        <w:t xml:space="preserve">Goel S, Priya M, Thorat V, Yadav A, Rao GP (2017) Identification and characterization of 16SrIX and 16SrXI groups of phytoplasmas associated with leaf yellows and declining diseases of garlic and onion in India. Indian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368-372.</w:t>
      </w:r>
    </w:p>
    <w:p>
      <w:pPr>
        <w:widowControl w:val="on"/>
        <w:pBdr/>
        <w:spacing w:before="220" w:after="220" w:line="240" w:lineRule="auto"/>
        <w:ind w:left="0" w:right="0"/>
        <w:jc w:val="left"/>
      </w:pPr>
      <w:r>
        <w:rPr>
          <w:rFonts w:ascii="Calibri" w:hAnsi="Calibri" w:eastAsia="Calibri" w:cs="Calibri"/>
          <w:color w:val="000000"/>
          <w:sz w:val="22"/>
          <w:szCs w:val="22"/>
        </w:rPr>
        <w:t xml:space="preserve">Harrison N, Gundersen-Rindal D, Davis RE (2010). The Tenericutes (Mollicutes). In Bergey's Manual of Systematic Bacteriology, Volume 4, N.R. Krieg, W. Ludwig, W. Whitman, B.P. Hedlund, B.J. Paster, J.T. Staley, N. Ward, D. Brown and A. Parte, eds. (New-York: Springer-Verlag), pp. 696-719.</w:t>
      </w:r>
    </w:p>
    <w:p>
      <w:pPr>
        <w:widowControl w:val="on"/>
        <w:pBdr/>
        <w:spacing w:before="220" w:after="220" w:line="240" w:lineRule="auto"/>
        <w:ind w:left="0" w:right="0"/>
        <w:jc w:val="left"/>
      </w:pPr>
      <w:r>
        <w:rPr>
          <w:rFonts w:ascii="Calibri" w:hAnsi="Calibri" w:eastAsia="Calibri" w:cs="Calibri"/>
          <w:color w:val="000000"/>
          <w:sz w:val="22"/>
          <w:szCs w:val="22"/>
        </w:rPr>
        <w:t xml:space="preserve">IRPCM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 taxon for the wall-less, non-helical prokaryotes that colonize plant phloem and insects.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1243–1255.</w:t>
      </w:r>
    </w:p>
    <w:p>
      <w:pPr>
        <w:widowControl w:val="on"/>
        <w:pBdr/>
        <w:spacing w:before="220" w:after="220" w:line="240" w:lineRule="auto"/>
        <w:ind w:left="0" w:right="0"/>
        <w:jc w:val="left"/>
      </w:pPr>
      <w:r>
        <w:rPr>
          <w:rFonts w:ascii="Calibri" w:hAnsi="Calibri" w:eastAsia="Calibri" w:cs="Calibri"/>
          <w:color w:val="000000"/>
          <w:sz w:val="22"/>
          <w:szCs w:val="22"/>
        </w:rPr>
        <w:t xml:space="preserve">Jawhari M, Abrahamian P, Sater A, Sobh H, Tawidian P, Abou-Jawdah Y (2015) Specific PCR and real-time PCR assays for detection and quantitation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t>
      </w:r>
      <w:r>
        <w:rPr>
          <w:rFonts w:ascii="Calibri" w:hAnsi="Calibri" w:eastAsia="Calibri" w:cs="Calibri"/>
          <w:i/>
          <w:iCs/>
          <w:color w:val="000000"/>
          <w:sz w:val="22"/>
          <w:szCs w:val="22"/>
        </w:rPr>
        <w:t xml:space="preserve">Molecular and cellular probes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63-70.</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Bottner-Parker KD, Zhao Y, Bertaccini A, Davis RE (2012) Differentiation and classification of phytoplasmas in the pigeon pea witches’-broom group (16SrIX): an update based on multiple gene sequence analysis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2279–85.</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Davis RE, Gundersen-Rindal DE (2000) Phytoplasma: phytopathogenic mollicutes. </w:t>
      </w:r>
      <w:r>
        <w:rPr>
          <w:rFonts w:ascii="Calibri" w:hAnsi="Calibri" w:eastAsia="Calibri" w:cs="Calibri"/>
          <w:i/>
          <w:iCs/>
          <w:color w:val="000000"/>
          <w:sz w:val="22"/>
          <w:szCs w:val="22"/>
        </w:rPr>
        <w:t xml:space="preserve">Annual Review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54, </w:t>
      </w:r>
      <w:r>
        <w:rPr>
          <w:rFonts w:ascii="Calibri" w:hAnsi="Calibri" w:eastAsia="Calibri" w:cs="Calibri"/>
          <w:color w:val="000000"/>
          <w:sz w:val="22"/>
          <w:szCs w:val="22"/>
        </w:rPr>
        <w:t xml:space="preserve">221-255.</w:t>
      </w:r>
    </w:p>
    <w:p>
      <w:pPr>
        <w:widowControl w:val="on"/>
        <w:pBdr/>
        <w:spacing w:before="220" w:after="220" w:line="240" w:lineRule="auto"/>
        <w:ind w:left="0" w:right="0"/>
        <w:jc w:val="left"/>
      </w:pPr>
      <w:r>
        <w:rPr>
          <w:rFonts w:ascii="Calibri" w:hAnsi="Calibri" w:eastAsia="Calibri" w:cs="Calibri"/>
          <w:color w:val="000000"/>
          <w:sz w:val="22"/>
          <w:szCs w:val="22"/>
        </w:rPr>
        <w:t xml:space="preserve">Mackesy DZ, Sullivan M (2016) CPHST Pest Datasheet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USDA-APHISPPQ-CPHST. Updated 6/3/2016.</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Mahfoud C, Abou Jawdah Y, Choueiri E, Abdul-Nour H, Fakr R, Al Achi R, Alma A, Picciau L, Bianco PA (2011a) Results of last surveys for stone fruit phytoplasma disease management in Lebanon. Book of Abstracts, pages 17-18. COST Action FA0807 workshop: Emerging phytoplasma diseases of stone fruits and other crops and their possible impact on EU countries. Istanbul Turkey, December 1-2, 2011.</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Quaglino F, Abou-jawdah Y, Choueiri E, Sobh H, Casati P, Tedeschi R, Alma A, Bianco PA (2011b) Identification of new 16SrIX subgroups, -F and -G, among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strains infecting almond, peach and nectarine in Lebanon.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273-282.</w:t>
      </w:r>
    </w:p>
    <w:p>
      <w:pPr>
        <w:widowControl w:val="on"/>
        <w:pBdr/>
        <w:spacing w:before="220" w:after="220" w:line="240" w:lineRule="auto"/>
        <w:ind w:left="0" w:right="0"/>
        <w:jc w:val="left"/>
      </w:pPr>
      <w:r>
        <w:rPr>
          <w:rFonts w:ascii="Calibri" w:hAnsi="Calibri" w:eastAsia="Calibri" w:cs="Calibri"/>
          <w:color w:val="000000"/>
          <w:sz w:val="22"/>
          <w:szCs w:val="22"/>
        </w:rPr>
        <w:t xml:space="preserve">Nigro F, Sion V, Antelmi I, Choueiri E, Habib W, Bruno A, Boscia D (2020)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on almond in Southern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104, </w:t>
      </w:r>
      <w:r>
        <w:rPr>
          <w:rFonts w:ascii="Calibri" w:hAnsi="Calibri" w:eastAsia="Calibri" w:cs="Calibri"/>
          <w:color w:val="000000"/>
          <w:sz w:val="22"/>
          <w:szCs w:val="22"/>
        </w:rPr>
        <w:t xml:space="preserve">278. </w:t>
      </w:r>
      <w:hyperlink r:id="rId98766ad85ec1c6558" w:history="1">
        <w:r>
          <w:rPr>
            <w:rFonts w:ascii="Calibri" w:hAnsi="Calibri" w:eastAsia="Calibri" w:cs="Calibri"/>
            <w:color w:val="0000CC"/>
            <w:sz w:val="22"/>
            <w:szCs w:val="22"/>
            <w:u w:val="single"/>
          </w:rPr>
          <w:t xml:space="preserve">https://doi.org/10.1094/PDIS-01-19-0157-PDN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Quaglino F, Kube M, Jawhari M, Abou-Jawdah Y, Siewert C, Choueiri E, Sobh H, Casati P, Tedeschi R, Molino Lova M, Alma A, Bianco PA (2015)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associated with almond witches’-broom disease: from draft genome to genetic diversity among strain populations. </w:t>
      </w:r>
      <w:r>
        <w:rPr>
          <w:rFonts w:ascii="Calibri" w:hAnsi="Calibri" w:eastAsia="Calibri" w:cs="Calibri"/>
          <w:i/>
          <w:iCs/>
          <w:color w:val="000000"/>
          <w:sz w:val="22"/>
          <w:szCs w:val="22"/>
        </w:rPr>
        <w:t xml:space="preserve">BMC Microbiology </w:t>
      </w:r>
      <w:r>
        <w:rPr>
          <w:rFonts w:ascii="Calibri" w:hAnsi="Calibri" w:eastAsia="Calibri" w:cs="Calibri"/>
          <w:b/>
          <w:bCs/>
          <w:color w:val="000000"/>
          <w:sz w:val="22"/>
          <w:szCs w:val="22"/>
        </w:rPr>
        <w:t xml:space="preserve">15, </w:t>
      </w:r>
      <w:r>
        <w:rPr>
          <w:rFonts w:ascii="Calibri" w:hAnsi="Calibri" w:eastAsia="Calibri" w:cs="Calibri"/>
          <w:color w:val="000000"/>
          <w:sz w:val="22"/>
          <w:szCs w:val="22"/>
        </w:rPr>
        <w:t xml:space="preserve">148. </w:t>
      </w:r>
      <w:hyperlink r:id="rId51116ad85ec1c65df" w:history="1">
        <w:r>
          <w:rPr>
            <w:rFonts w:ascii="Calibri" w:hAnsi="Calibri" w:eastAsia="Calibri" w:cs="Calibri"/>
            <w:color w:val="0000CC"/>
            <w:sz w:val="22"/>
            <w:szCs w:val="22"/>
            <w:u w:val="single"/>
          </w:rPr>
          <w:t xml:space="preserve">https://doi.org/10.1186/s12866-015-0487-4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Salehi M, Haghshenas F, Khanchezar A, Esmailzadeh-Hosseini SA (2011) Association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with GF-677 witches’-broom in Iran.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S113–S114.</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Izadpanah K, Heydarnejad J (2006) Characterization of a new almond witches’ broom phytoplasma in Iran.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386−391.</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Abbasian M, Izadpanah K (2015) Wild almond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a potential source of almond witches’-broom phytoplasma in Iran.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377-381.</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Siampour M, Esmailzadeh-Hosseini SA, Quaglino F, Bianco PA (2019)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associated with apricot yellows and peach witches’ broom in Iran.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Siampour M, Quaglino F, Bianco PA (2018) Apricot yellows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in Iran.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269−283.</w:t>
      </w:r>
    </w:p>
    <w:p>
      <w:pPr>
        <w:widowControl w:val="on"/>
        <w:pBdr/>
        <w:spacing w:before="220" w:after="220" w:line="240" w:lineRule="auto"/>
        <w:ind w:left="0" w:right="0"/>
        <w:jc w:val="left"/>
      </w:pPr>
      <w:r>
        <w:rPr>
          <w:rFonts w:ascii="Calibri" w:hAnsi="Calibri" w:eastAsia="Calibri" w:cs="Calibri"/>
          <w:color w:val="000000"/>
          <w:sz w:val="22"/>
          <w:szCs w:val="22"/>
        </w:rPr>
        <w:t xml:space="preserve">Tawidian P, Jawhari M, Hana Sobh H, Bianco PA, Abou-Jawdah Y (2017) The potential of grafting with selected stone fruit varieties for management of almond witches’ broom.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458−469.</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Picciau L, Quaglino F, Abou-Jawdah Y, Molino Lova M, Jawhari M, Casati P, Cominetti 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Choueiri E, Abdul-Nour H, Bianco PA, Alma A (2015) A cixiid survey for natural potential vectors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in Lebanon and preliminary transmission trials.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166, </w:t>
      </w:r>
      <w:r>
        <w:rPr>
          <w:rFonts w:ascii="Calibri" w:hAnsi="Calibri" w:eastAsia="Calibri" w:cs="Calibri"/>
          <w:color w:val="000000"/>
          <w:sz w:val="22"/>
          <w:szCs w:val="22"/>
        </w:rPr>
        <w:t xml:space="preserve">372-388.</w:t>
      </w:r>
      <w:r>
        <w:rPr>
          <w:rFonts w:ascii="Calibri" w:hAnsi="Calibri" w:eastAsia="Calibri" w:cs="Calibri"/>
          <w:b/>
          <w:bCs/>
          <w:color w:val="000000"/>
          <w:sz w:val="22"/>
          <w:szCs w:val="22"/>
        </w:rPr>
        <w:t xml:space="preserve"> </w:t>
      </w:r>
      <w:hyperlink r:id="rId41266ad85ec1c6952" w:history="1">
        <w:r>
          <w:rPr>
            <w:rFonts w:ascii="Calibri" w:hAnsi="Calibri" w:eastAsia="Calibri" w:cs="Calibri"/>
            <w:color w:val="0000CC"/>
            <w:sz w:val="22"/>
            <w:szCs w:val="22"/>
            <w:u w:val="single"/>
          </w:rPr>
          <w:t xml:space="preserve">https://doi.org/10.1111/aab.12188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Verdin E, Salar P, Danet JL, Choueiri E, Jreijiri F, El Zammar S, Gélie B, J. Bové JM, Garnier M (2003)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sp. nov., a novel phytoplasma associated with an emerging lethal disease of almond trees in Lebanon and Iran.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53, </w:t>
      </w:r>
      <w:r>
        <w:rPr>
          <w:rFonts w:ascii="Calibri" w:hAnsi="Calibri" w:eastAsia="Calibri" w:cs="Calibri"/>
          <w:color w:val="000000"/>
          <w:sz w:val="22"/>
          <w:szCs w:val="22"/>
        </w:rPr>
        <w:t xml:space="preserve">833-838. </w:t>
      </w:r>
      <w:hyperlink r:id="rId88426ad85ec1c6a07" w:history="1">
        <w:r>
          <w:rPr>
            <w:rFonts w:ascii="Calibri" w:hAnsi="Calibri" w:eastAsia="Calibri" w:cs="Calibri"/>
            <w:color w:val="0000CC"/>
            <w:sz w:val="22"/>
            <w:szCs w:val="22"/>
            <w:u w:val="single"/>
          </w:rPr>
          <w:t xml:space="preserve">https://doi.org/10.1099/ijs.0.02453-0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Verdin E, Salar P, Danet JL, Choueiri E, Jreijiri F, El-Zammar S, Gélie B, Bové JM, Garnier M (2004) Phylogenetical characterization and PCR detection of a new phytoplasma in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and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in the Mediterranean area.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527-532.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Elia CHOUEIRI (Lebanese Agricultural Research Institute, Lebanon) and Xavier FOISSAC (National Research Institute for Agriculture, Food and Environment, INRAE, France).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phoenicium'</w:t>
      </w:r>
      <w:r>
        <w:rPr>
          <w:rFonts w:ascii="Calibri" w:hAnsi="Calibri" w:eastAsia="Calibri" w:cs="Calibri"/>
          <w:color w:val="000000"/>
          <w:sz w:val="22"/>
          <w:szCs w:val="22"/>
        </w:rPr>
        <w:t xml:space="preserve">. EPPO datasheets on pests recommended for regulation. Available online. </w:t>
      </w:r>
      <w:hyperlink r:id="rId45106ad85ec1c6b6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9535317" name="name94566ad85ec1c6bf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3046ad85ec1c6bf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95636">
    <w:multiLevelType w:val="hybridMultilevel"/>
    <w:lvl w:ilvl="0" w:tplc="34309731">
      <w:start w:val="1"/>
      <w:numFmt w:val="decimal"/>
      <w:lvlText w:val="%1."/>
      <w:lvlJc w:val="left"/>
      <w:pPr>
        <w:ind w:left="720" w:hanging="360"/>
      </w:pPr>
    </w:lvl>
    <w:lvl w:ilvl="1" w:tplc="34309731" w:tentative="1">
      <w:start w:val="1"/>
      <w:numFmt w:val="lowerLetter"/>
      <w:lvlText w:val="%2."/>
      <w:lvlJc w:val="left"/>
      <w:pPr>
        <w:ind w:left="1440" w:hanging="360"/>
      </w:pPr>
    </w:lvl>
    <w:lvl w:ilvl="2" w:tplc="34309731" w:tentative="1">
      <w:start w:val="1"/>
      <w:numFmt w:val="lowerRoman"/>
      <w:lvlText w:val="%3."/>
      <w:lvlJc w:val="right"/>
      <w:pPr>
        <w:ind w:left="2160" w:hanging="180"/>
      </w:pPr>
    </w:lvl>
    <w:lvl w:ilvl="3" w:tplc="34309731" w:tentative="1">
      <w:start w:val="1"/>
      <w:numFmt w:val="decimal"/>
      <w:lvlText w:val="%4."/>
      <w:lvlJc w:val="left"/>
      <w:pPr>
        <w:ind w:left="2880" w:hanging="360"/>
      </w:pPr>
    </w:lvl>
    <w:lvl w:ilvl="4" w:tplc="34309731" w:tentative="1">
      <w:start w:val="1"/>
      <w:numFmt w:val="lowerLetter"/>
      <w:lvlText w:val="%5."/>
      <w:lvlJc w:val="left"/>
      <w:pPr>
        <w:ind w:left="3600" w:hanging="360"/>
      </w:pPr>
    </w:lvl>
    <w:lvl w:ilvl="5" w:tplc="34309731" w:tentative="1">
      <w:start w:val="1"/>
      <w:numFmt w:val="lowerRoman"/>
      <w:lvlText w:val="%6."/>
      <w:lvlJc w:val="right"/>
      <w:pPr>
        <w:ind w:left="4320" w:hanging="180"/>
      </w:pPr>
    </w:lvl>
    <w:lvl w:ilvl="6" w:tplc="34309731" w:tentative="1">
      <w:start w:val="1"/>
      <w:numFmt w:val="decimal"/>
      <w:lvlText w:val="%7."/>
      <w:lvlJc w:val="left"/>
      <w:pPr>
        <w:ind w:left="5040" w:hanging="360"/>
      </w:pPr>
    </w:lvl>
    <w:lvl w:ilvl="7" w:tplc="34309731" w:tentative="1">
      <w:start w:val="1"/>
      <w:numFmt w:val="lowerLetter"/>
      <w:lvlText w:val="%8."/>
      <w:lvlJc w:val="left"/>
      <w:pPr>
        <w:ind w:left="5760" w:hanging="360"/>
      </w:pPr>
    </w:lvl>
    <w:lvl w:ilvl="8" w:tplc="34309731" w:tentative="1">
      <w:start w:val="1"/>
      <w:numFmt w:val="lowerRoman"/>
      <w:lvlText w:val="%9."/>
      <w:lvlJc w:val="right"/>
      <w:pPr>
        <w:ind w:left="6480" w:hanging="180"/>
      </w:pPr>
    </w:lvl>
  </w:abstractNum>
  <w:abstractNum w:abstractNumId="93195635">
    <w:multiLevelType w:val="hybridMultilevel"/>
    <w:lvl w:ilvl="0" w:tplc="72653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95635">
    <w:abstractNumId w:val="93195635"/>
  </w:num>
  <w:num w:numId="93195636">
    <w:abstractNumId w:val="9319563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4642352" Type="http://schemas.microsoft.com/office/2011/relationships/commentsExtended" Target="commentsExtended.xml"/><Relationship Id="rId197035457" Type="http://schemas.microsoft.com/office/2011/relationships/people" Target="people.xml"/><Relationship Id="rId40736ad85ec1c290e" Type="http://schemas.openxmlformats.org/officeDocument/2006/relationships/hyperlink" Target="https://gd.eppo.int/taxon/PHYPPH/" TargetMode="External"/><Relationship Id="rId12946ad85ec1c2981" Type="http://schemas.openxmlformats.org/officeDocument/2006/relationships/hyperlink" Target="https://gd.eppo.int/taxon/PHYPPH/categorization" TargetMode="External"/><Relationship Id="rId99436ad85ec1c31bb" Type="http://schemas.openxmlformats.org/officeDocument/2006/relationships/hyperlink" Target="https://gd.eppo.int/taxon/PHYPPH/photos" TargetMode="External"/><Relationship Id="rId44086ad85ec1c5a24" Type="http://schemas.openxmlformats.org/officeDocument/2006/relationships/hyperlink" Target="https://doi.org/10.1007/s13314-019-0342-9" TargetMode="External"/><Relationship Id="rId20866ad85ec1c5e83" Type="http://schemas.openxmlformats.org/officeDocument/2006/relationships/hyperlink" Target="https://doi.org/10.4454/JPP.V98I1.026" TargetMode="External"/><Relationship Id="rId65726ad85ec1c6109" Type="http://schemas.openxmlformats.org/officeDocument/2006/relationships/hyperlink" Target="https://gd.eppo.int/taxon/PHYPPH" TargetMode="External"/><Relationship Id="rId10106ad85ec1c615b" Type="http://schemas.openxmlformats.org/officeDocument/2006/relationships/hyperlink" Target="https://doi.org/10.1111/epp.12799" TargetMode="External"/><Relationship Id="rId98766ad85ec1c6558" Type="http://schemas.openxmlformats.org/officeDocument/2006/relationships/hyperlink" Target="https://doi.org/10.1094/PDIS-01-19-0157-PDN" TargetMode="External"/><Relationship Id="rId51116ad85ec1c65df" Type="http://schemas.openxmlformats.org/officeDocument/2006/relationships/hyperlink" Target="https://doi.org/10.1186/s12866-015-0487-4" TargetMode="External"/><Relationship Id="rId41266ad85ec1c6952" Type="http://schemas.openxmlformats.org/officeDocument/2006/relationships/hyperlink" Target="https://doi.org/10.1111/aab.12188" TargetMode="External"/><Relationship Id="rId88426ad85ec1c6a07" Type="http://schemas.openxmlformats.org/officeDocument/2006/relationships/hyperlink" Target="https://doi.org/10.1099/ijs.0.02453-0" TargetMode="External"/><Relationship Id="rId45106ad85ec1c6b62" Type="http://schemas.openxmlformats.org/officeDocument/2006/relationships/hyperlink" Target="https://gd.eppo.int" TargetMode="External"/><Relationship Id="rId76716ad85ec1c30cc" Type="http://schemas.openxmlformats.org/officeDocument/2006/relationships/image" Target="media/imgrId76716ad85ec1c30cc.jpg"/><Relationship Id="rId62166ad85ec1c461f" Type="http://schemas.openxmlformats.org/officeDocument/2006/relationships/image" Target="media/imgrId62166ad85ec1c461f.jpg"/><Relationship Id="rId33046ad85ec1c6bf5" Type="http://schemas.openxmlformats.org/officeDocument/2006/relationships/image" Target="media/imgrId33046ad85ec1c6bf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