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mali'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mali'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proliferation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mali</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 proliferation of apple, witches' broom of apple</w:t>
            </w:r>
            <w:hyperlink r:id="rId67506a44b2a53293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49336a44b2a5329a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049183" name="name66936a44b2a532a66" descr="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3.jpg"/>
                          <pic:cNvPicPr/>
                        </pic:nvPicPr>
                        <pic:blipFill>
                          <a:blip r:embed="rId17656a44b2a532a65" cstate="print"/>
                          <a:stretch>
                            <a:fillRect/>
                          </a:stretch>
                        </pic:blipFill>
                        <pic:spPr>
                          <a:xfrm>
                            <a:off x="0" y="0"/>
                            <a:ext cx="2160000" cy="1281600"/>
                          </a:xfrm>
                          <a:prstGeom prst="rect">
                            <a:avLst/>
                          </a:prstGeom>
                          <a:ln w="0">
                            <a:noFill/>
                          </a:ln>
                        </pic:spPr>
                      </pic:pic>
                    </a:graphicData>
                  </a:graphic>
                </wp:inline>
              </w:drawing>
            </w:r>
            <w:hyperlink r:id="rId48746a44b2a532ba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 trees are the main host. Cultivars vary in reaction but most, including seedlings, appear to be susceptible. The most sensitive cultivars include Belle de Boskoop, Gravenstein, Starking, Golden Delicious and Winter Banana. Some cultivars are mentioned as relatively tolerant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infection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tolerance evaluation of these cultivars is rather based on empirical field observations assessing symptom occurrence than on a screening through targeted infection trials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suspensa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halliana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hupehensis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kansuensis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adstringens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atrosanguinea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magdeburgensis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moerlandsii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scheideckeri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soulardii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zumi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x vanhouttei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has been reported from the EPPO region, Africa (Tunisia), Asia (Syria) and North America (Canada - Nova Scotia).</w:t>
      </w:r>
    </w:p>
    <w:p>
      <w:r>
        <w:drawing>
          <wp:inline distT="0" distB="0" distL="0" distR="0">
            <wp:extent cx="6120000" cy="3067200"/>
            <wp:docPr id="52822927" name="name67216a44b2a533aee" descr="PHYP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MA_distribution_map.jpg"/>
                    <pic:cNvPicPr/>
                  </pic:nvPicPr>
                  <pic:blipFill>
                    <a:blip r:embed="rId86066a44b2a533ae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Czechia, Finland, France (mainland), Germany, Greece (mainland), Hungary, Italy (mainland), Lithuania, Luxembourg, Moldova, Republic of, Netherlands, Norway, Poland, Romania, Russian Federation (Southern Russia), Serbia, Slovakia, Slovenia, Spain (mainland),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is a plant pathogen that resides in the phloem and its distribution in the tree is not constant over the year. It appears to be localized mainly in suckers and terminal shoots, where it has been observed in the phloem of leaf petioles, midribs and stipules (Fránová, 2005). In winter the content of phytoplasmas declines due to sieve tube degeneration. They also concentrate more in the roots in winter but, during April to May, the pathogen reinvades the stem from the roots and reach a peak level of infection in late summer or early autumn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 distribution pattern of the phytoplasmas in the tree is also dependent on temperature. In France, phytoplasmas could be found throughout the trees at temperatures of 21-24°C, causing symptoms; at 29-32°C symptoms were inhibited and phytoplasmas were found only in the roots, but reinvaded the stems when plantlets were stored at 21-24°C (Ducrocquet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When a tree is inoculated with an infected bud the first symptoms appear the following year, mostly on the inoculated branches. When carried in the rootstock, the causal agent produces symptoms on the first growth of the scion.</w:t>
      </w:r>
    </w:p>
    <w:p>
      <w:pPr>
        <w:widowControl w:val="on"/>
        <w:pBdr/>
        <w:spacing w:before="220" w:after="220" w:line="240" w:lineRule="auto"/>
        <w:ind w:left="0" w:right="0"/>
        <w:jc w:val="both"/>
      </w:pPr>
      <w:r>
        <w:rPr>
          <w:rFonts w:ascii="Calibri" w:hAnsi="Calibri" w:eastAsia="Calibri" w:cs="Calibri"/>
          <w:color w:val="000000"/>
          <w:sz w:val="22"/>
          <w:szCs w:val="22"/>
        </w:rPr>
        <w:t xml:space="preserve">Psyllids </w:t>
      </w:r>
      <w:r>
        <w:rPr>
          <w:rFonts w:ascii="Calibri" w:hAnsi="Calibri" w:eastAsia="Calibri" w:cs="Calibri"/>
          <w:i/>
          <w:iCs/>
          <w:color w:val="000000"/>
          <w:sz w:val="22"/>
          <w:szCs w:val="22"/>
        </w:rPr>
        <w:t xml:space="preserve">Cacopsylla picta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 costalis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Cacopsylla melanoneura</w:t>
      </w:r>
      <w:r>
        <w:rPr>
          <w:rFonts w:ascii="Calibri" w:hAnsi="Calibri" w:eastAsia="Calibri" w:cs="Calibri"/>
          <w:color w:val="000000"/>
          <w:sz w:val="22"/>
          <w:szCs w:val="22"/>
        </w:rPr>
        <w:t xml:space="preserve"> (Hemiptera: Sternorryncha: Psyllidae), and the leafhopper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(Hemiptera: Auchenorrhyncha: Cicadellidae) have been shown to be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vectors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 a persistent-propagative manner, which means that the pathogen can multiply in insects and that the insect remains inoculative for life (Weintraub &amp; Beanland, 2006). Mittelberger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showed that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vertically transmits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from infected mothers to their offspring (transovarial transmission).</w:t>
      </w:r>
    </w:p>
    <w:p>
      <w:pPr>
        <w:widowControl w:val="on"/>
        <w:pBdr/>
        <w:spacing w:before="0" w:after="0" w:line="240" w:lineRule="auto"/>
        <w:ind w:left="0" w:right="0"/>
        <w:jc w:val="both"/>
      </w:pPr>
      <w:r>
        <w:rPr>
          <w:rFonts w:ascii="Calibri" w:hAnsi="Calibri" w:eastAsia="Calibri" w:cs="Calibri"/>
          <w:color w:val="000000"/>
          <w:sz w:val="22"/>
          <w:szCs w:val="22"/>
        </w:rPr>
        <w:t xml:space="preserve">Although the spatial distribution, infection rate and transmission capacity of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vary among geographical areas, these psyllids are more efficient vectors than the leafhopper, </w:t>
      </w:r>
      <w:r>
        <w:rPr>
          <w:rFonts w:ascii="Calibri" w:hAnsi="Calibri" w:eastAsia="Calibri" w:cs="Calibri"/>
          <w:i/>
          <w:iCs/>
          <w:color w:val="000000"/>
          <w:sz w:val="22"/>
          <w:szCs w:val="22"/>
        </w:rPr>
        <w:t xml:space="preserve">F. florii</w:t>
      </w:r>
      <w:r>
        <w:rPr>
          <w:rFonts w:ascii="Calibri" w:hAnsi="Calibri" w:eastAsia="Calibri" w:cs="Calibri"/>
          <w:color w:val="000000"/>
          <w:sz w:val="22"/>
          <w:szCs w:val="22"/>
        </w:rPr>
        <w:t xml:space="preserve">. Studies have shown that </w:t>
      </w:r>
      <w:r>
        <w:rPr>
          <w:rFonts w:ascii="Calibri" w:hAnsi="Calibri" w:eastAsia="Calibri" w:cs="Calibri"/>
          <w:i/>
          <w:iCs/>
          <w:color w:val="000000"/>
          <w:sz w:val="22"/>
          <w:szCs w:val="22"/>
        </w:rPr>
        <w:t xml:space="preserve">F. florii</w:t>
      </w:r>
      <w:r>
        <w:rPr>
          <w:rFonts w:ascii="Calibri" w:hAnsi="Calibri" w:eastAsia="Calibri" w:cs="Calibri"/>
          <w:color w:val="000000"/>
          <w:sz w:val="22"/>
          <w:szCs w:val="22"/>
        </w:rPr>
        <w:t xml:space="preserve"> is relatively inefficient, due to its low transmission rate and low incidence in apple orchards (Tedeschi &amp; Alma, 2006). Both adults and nymphs of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is oligophagous, mainly feeding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occasionally on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whereas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is monophagous, feeding only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is distributed across Europe and Asia Minor whereas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is widespread across the Palearctic region. In Northeastern Italy, Germany and East European countries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occur together, but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plays a major role as a vector (Oppedisano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species have one generation per year and overwinter as adults (Lauterer, 1999;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on shelter plants, mainly conifers (Čermák &amp; Lauterer, 2008). At the end of winter, adults (remigrants) return to their rosaceous hosts for mating and oviposition. In Italy,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migrates from overwintering sites to orchards from the end of January to mid-March, whereas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migrates later, from the end of March to April. Nymphal development then takes four to five weeks, and the newly hatched adults (emigrants) remain in the orchards for about two weeks before progressively migrating to their overwintering sites - until June for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and July for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(Mattedi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adults are already highly infective when migrating from shelter plants to apple trees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they remain infective throughout the entire period spent in apple orchards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trees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trees lack vigour, shoots are thin and the bark, which is sometimes fluted lengthwise, has a reddish-brown colour. Necrotic areas appear on the bark and some branches may wither. Diseased trees may die but, in mild infections, they may recover after the shock symptoms of the first 2-3 years and, subsequently, produce normal fruits again, especially if adequately fertilized.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buds</w:t>
      </w:r>
    </w:p>
    <w:p>
      <w:pPr>
        <w:widowControl w:val="on"/>
        <w:pBdr/>
        <w:spacing w:before="220" w:after="220" w:line="240" w:lineRule="auto"/>
        <w:ind w:left="0" w:right="0"/>
        <w:jc w:val="both"/>
      </w:pPr>
      <w:r>
        <w:rPr>
          <w:rFonts w:ascii="Calibri" w:hAnsi="Calibri" w:eastAsia="Calibri" w:cs="Calibri"/>
          <w:color w:val="000000"/>
          <w:sz w:val="22"/>
          <w:szCs w:val="22"/>
        </w:rPr>
        <w:t xml:space="preserve">Late growth of terminal buds in the autumn is usually the first noticeable symptom. A rosette of terminal leaves, which often becomes infected with powdery mildew, sometimes develops late in the season in place of the normal dormant bud. However, a more reliable symptom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infection is the premature development of axillary buds, during the first 2 or 3 years following infection, which gives rise to secondary shoots forming witches' brooms near the apex of the main shoot. In healthy trees, on the other hand, lateral shoots arise near the base of the shoots. The angle between the secondary shoots and the main shoot is markedly narrower on infected trees. Witches' brooms generally appear successively on various parts of the tree, or all at once over the whole tree, rather than repeatedly on the same branch.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trees, leaves appear earlier than normal and are finely and irregularly serrated and smaller. In many cases, especially with trees on calcareous soils, there is a chlorosis and reddening of the leaves. Early defoliation often occurs. It should be noted that chlorosis and reddening of leaves may be caused by agents other than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diagnosis should not, therefore, be based on this symptom alone.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stipules</w:t>
      </w:r>
    </w:p>
    <w:p>
      <w:pPr>
        <w:widowControl w:val="on"/>
        <w:pBdr/>
        <w:spacing w:before="220" w:after="220" w:line="240" w:lineRule="auto"/>
        <w:ind w:left="0" w:right="0"/>
        <w:jc w:val="both"/>
      </w:pPr>
      <w:r>
        <w:rPr>
          <w:rFonts w:ascii="Calibri" w:hAnsi="Calibri" w:eastAsia="Calibri" w:cs="Calibri"/>
          <w:color w:val="000000"/>
          <w:sz w:val="22"/>
          <w:szCs w:val="22"/>
        </w:rPr>
        <w:t xml:space="preserve">Stipules are abnormally long, and there may be up to four per leaf. Petioles are rather short.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Flowering is delayed, sometimes until late summer or autumn, but most of the blossoms of infected trees are normal. A few phylloid flowers have been observed on cv. Cox's Orange; the stamens were converted to petals, some of the petals to leaves and the calyx lobes were enlarged and dentated.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fruit</w:t>
      </w:r>
    </w:p>
    <w:p>
      <w:pPr>
        <w:widowControl w:val="on"/>
        <w:pBdr/>
        <w:spacing w:before="220" w:after="220" w:line="240" w:lineRule="auto"/>
        <w:ind w:left="0" w:right="0"/>
        <w:jc w:val="both"/>
      </w:pPr>
      <w:r>
        <w:rPr>
          <w:rFonts w:ascii="Calibri" w:hAnsi="Calibri" w:eastAsia="Calibri" w:cs="Calibri"/>
          <w:color w:val="000000"/>
          <w:sz w:val="22"/>
          <w:szCs w:val="22"/>
        </w:rPr>
        <w:t xml:space="preserve">Depending on soil quality, fruit are markedly reduced in size, sometimes being only 25% of the weight of healthy fruit. In addition, the flavour is poor, with both sugar and acidity being reduced. The peduncles are longer and thinner and both the calyx end and peduncular cavities are shallower and broader, thus giving the fruit a flattened appearance. Seeds and seed cavities are smaller.</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(2020),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molecular methods based on the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specific DNA are available. The tests recommended for diagnostics are a conventional PCR test with primers fU5/rU3 (Lorenz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 LAMP test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two real-time PCR tests developed by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Diagnostic tests based on biological assays in which suspicious infected material is grafted to woody indicator plants, microscopic examination (DAPI), serological assays using specific antibodies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e.g. enzyme-linked immunosorbent assays (ELISA) or immunofluorescence detection were developed and used in past decades. However, these techniques are often work-intense, time consuming, have a low sensitivity or are prone to generate false-negative results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on the inspection, detection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can be found in EPPO Standards (1999, 2020,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movement of insect vectors plays a significant role in spreading the phytoplasma over short distances, from tree to tree, within the same orchard or between adjacent orchards. Transmission by root fusion may occur. There is no seed or pollen transmission (Seidl &amp; Komarkova, 1974). By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sp.) or by grafting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can be transmitted from apple to apple, to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and to other experimental hosts. So far, there is no evidence of an involvement of wild plants other than hawthorn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 as reservoirs for the pathogen in the epidemic cycle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Over longer distances,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is mainly disseminated by movements of infected trees, scions and rootstock material of apple. Infected symptomless trees may yield a high proportion of apparently healthy but infected buds.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is one of the most important phytoplasma diseases of apple, affecting almost all cultivars, reducing size (by about 50%), weight (by 63-74%) and quality of fruit, as well as reducing tree vigour and increasing susceptibility to powdery mildew (</w:t>
      </w:r>
      <w:r>
        <w:rPr>
          <w:rFonts w:ascii="Calibri" w:hAnsi="Calibri" w:eastAsia="Calibri" w:cs="Calibri"/>
          <w:i/>
          <w:iCs/>
          <w:color w:val="000000"/>
          <w:sz w:val="22"/>
          <w:szCs w:val="22"/>
        </w:rPr>
        <w:t xml:space="preserve">Podosphaera leucotricha</w:t>
      </w:r>
      <w:r>
        <w:rPr>
          <w:rFonts w:ascii="Calibri" w:hAnsi="Calibri" w:eastAsia="Calibri" w:cs="Calibri"/>
          <w:color w:val="000000"/>
          <w:sz w:val="22"/>
          <w:szCs w:val="22"/>
        </w:rPr>
        <w:t xml:space="preserve">). Yield reduction caused by apple proliferation disease in Italy has led to an economic loss of about 100 million Euros in 2001 (Strauss,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there are no curative treatments for the disease, a combination of different preventive strategies, such as vector control by means of multiple insecticide treatments, eradication of infected trees and use of certified non-infected planting material, are currently the only measures to prevent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methods of vector monitoring, such as visual inspection, beating tray, sticky traps (Jarausch &amp; Torres, 2014) or sweep-net can be used by apple growers to detect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outbreaks and ensure their effective control by application of insecticides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Processed kaolin was shown to be an alternative to broad-spectrum insecticides against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in organic farming. It acts by creating a film that hinders insects from feeding or moving onto the plants, and also prevents the transmission of plant pathogens by insect vectors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Late winter spray with kaolin reduced the number of laid eggs and consequently of nymphs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resistant rootstocks would be the most sustainable solution. Extensive studies done by Seemüller and co-workers since 1992 led to the development of promising resistant </w:t>
      </w:r>
      <w:r>
        <w:rPr>
          <w:rFonts w:ascii="Calibri" w:hAnsi="Calibri" w:eastAsia="Calibri" w:cs="Calibri"/>
          <w:i/>
          <w:iCs/>
          <w:color w:val="000000"/>
          <w:sz w:val="22"/>
          <w:szCs w:val="22"/>
        </w:rPr>
        <w:t xml:space="preserve">Malus sieboldii</w:t>
      </w:r>
      <w:r>
        <w:rPr>
          <w:rFonts w:ascii="Calibri" w:hAnsi="Calibri" w:eastAsia="Calibri" w:cs="Calibri"/>
          <w:color w:val="000000"/>
          <w:sz w:val="22"/>
          <w:szCs w:val="22"/>
        </w:rPr>
        <w:t xml:space="preserve"> rootstocks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despite all efforts no apple variety was found that confers full resistance (i.e. that it cannot be infected)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Apple trees are among the most economically important fruit crops in the EPPO region. Further spread of the disease could lead to considerable yield losses throughout the European and Mediterranean apple cultivation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should come from a place of production found to be free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during the previous growing season. Guidance on how to inspect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varieties and rootstocks at places which are producing plants for planting is given in the EPPO Standard PM 3/76 (EPPO, 2021). From countries where the disease occurs, the plants must additionally be no further than the second generation from the mother plant and must be tested by an EPPO-approved method (EPPO, 2020). The EPPO certification scheme for </w:t>
      </w:r>
      <w:r>
        <w:rPr>
          <w:rFonts w:ascii="Calibri" w:hAnsi="Calibri" w:eastAsia="Calibri" w:cs="Calibri"/>
          <w:i/>
          <w:iCs/>
          <w:color w:val="000000"/>
          <w:sz w:val="22"/>
          <w:szCs w:val="22"/>
        </w:rPr>
        <w:t xml:space="preserve">Malus, 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(EPPO, 1999) covers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and should give a high security for phytoplasma-free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Ferrini F, Ermacora P &amp; Loi N (2008) Infectivity of </w:t>
      </w:r>
      <w:r>
        <w:rPr>
          <w:rFonts w:ascii="Calibri" w:hAnsi="Calibri" w:eastAsia="Calibri" w:cs="Calibri"/>
          <w:i/>
          <w:iCs/>
          <w:color w:val="000000"/>
          <w:sz w:val="22"/>
          <w:szCs w:val="22"/>
        </w:rPr>
        <w:t xml:space="preserve">Cacopsylla picta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Cacopsylla costalis</w:t>
      </w:r>
      <w:r>
        <w:rPr>
          <w:rFonts w:ascii="Calibri" w:hAnsi="Calibri" w:eastAsia="Calibri" w:cs="Calibri"/>
          <w:color w:val="000000"/>
          <w:sz w:val="22"/>
          <w:szCs w:val="22"/>
        </w:rPr>
        <w:t xml:space="preserve">),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in North East Italy.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781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403-408.</w:t>
      </w:r>
    </w:p>
    <w:p>
      <w:pPr>
        <w:widowControl w:val="on"/>
        <w:pBdr/>
        <w:spacing w:before="220" w:after="220" w:line="240" w:lineRule="auto"/>
        <w:ind w:left="0" w:right="0"/>
        <w:jc w:val="left"/>
      </w:pPr>
      <w:r>
        <w:rPr>
          <w:rFonts w:ascii="Calibri" w:hAnsi="Calibri" w:eastAsia="Calibri" w:cs="Calibri"/>
          <w:color w:val="000000"/>
          <w:sz w:val="22"/>
          <w:szCs w:val="22"/>
        </w:rPr>
        <w:t xml:space="preserve">Čermák V &amp; Lauterer P (2008) Overwintering of psyllids in South Moravia (Czech Republic) with respect to the vectors of the apple proliferation cluster phytoplasmas.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147-148.</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 </w:t>
      </w:r>
      <w:r>
        <w:rPr>
          <w:rFonts w:ascii="Calibri" w:hAnsi="Calibri" w:eastAsia="Calibri" w:cs="Calibri"/>
          <w:i/>
          <w:iCs/>
          <w:color w:val="000000"/>
          <w:sz w:val="22"/>
          <w:szCs w:val="22"/>
        </w:rPr>
        <w:t xml:space="preserve">Molecular Plant-Microbe Interactions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De Roo I &amp; Maes I (2017) Fast and sensitive on-site isothermal assay (LAMP) for diagnosis and detection of three fruit tree phytoplasmas.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749-759.</w:t>
      </w:r>
    </w:p>
    <w:p>
      <w:pPr>
        <w:widowControl w:val="on"/>
        <w:pBdr/>
        <w:spacing w:before="220" w:after="220" w:line="240" w:lineRule="auto"/>
        <w:ind w:left="0" w:right="0"/>
        <w:jc w:val="left"/>
      </w:pPr>
      <w:r>
        <w:rPr>
          <w:rFonts w:ascii="Calibri" w:hAnsi="Calibri" w:eastAsia="Calibri" w:cs="Calibri"/>
          <w:color w:val="000000"/>
          <w:sz w:val="22"/>
          <w:szCs w:val="22"/>
        </w:rPr>
        <w:t xml:space="preserve">Ducrocquet JP, Dosba F, Lansac M &amp; Mazy K (1986) Effect of temperature on symptom expression of apple proliferation.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897-903.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Pathogen-tested material of </w:t>
      </w:r>
      <w:r>
        <w:rPr>
          <w:rFonts w:ascii="Calibri" w:hAnsi="Calibri" w:eastAsia="Calibri" w:cs="Calibri"/>
          <w:i/>
          <w:iCs/>
          <w:color w:val="000000"/>
          <w:sz w:val="22"/>
          <w:szCs w:val="22"/>
        </w:rPr>
        <w:t xml:space="preserve">Malu</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 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Diagnostics PM 7/62 (3)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prunorum’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69–85. </w:t>
      </w:r>
      <w:hyperlink r:id="rId20736a44b2a5350f8" w:history="1">
        <w:r>
          <w:rPr>
            <w:rFonts w:ascii="Calibri" w:hAnsi="Calibri" w:eastAsia="Calibri" w:cs="Calibri"/>
            <w:color w:val="0000CC"/>
            <w:sz w:val="22"/>
            <w:szCs w:val="22"/>
            <w:u w:val="single"/>
          </w:rPr>
          <w:t xml:space="preserve">https://doi.org/10.1111/epp.12612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Standard-phytosanitary procedures. PM 3/76 (2) Trees of </w:t>
      </w:r>
      <w:r>
        <w:rPr>
          <w:rFonts w:ascii="Calibri" w:hAnsi="Calibri" w:eastAsia="Calibri" w:cs="Calibri"/>
          <w:i/>
          <w:iCs/>
          <w:color w:val="000000"/>
          <w:sz w:val="22"/>
          <w:szCs w:val="22"/>
        </w:rPr>
        <w:t xml:space="preserve">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354–386. </w:t>
      </w:r>
      <w:hyperlink r:id="rId59246a44b2a5351b2"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Fránová J (2005) The occurrence of phytoplasmas in apple trees showing branch twisting.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384–388. </w:t>
      </w:r>
      <w:hyperlink r:id="rId86656a44b2a535226" w:history="1">
        <w:r>
          <w:rPr>
            <w:rFonts w:ascii="Calibri" w:hAnsi="Calibri" w:eastAsia="Calibri" w:cs="Calibri"/>
            <w:color w:val="0000CC"/>
            <w:sz w:val="22"/>
            <w:szCs w:val="22"/>
            <w:u w:val="single"/>
          </w:rPr>
          <w:t xml:space="preserve">https://doi.org/10.1111/j.1439-0434.2005.00988.x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Hodgetts J, Boonham N, Mumford R &amp; Dickinson M (2009) Panel of 23S rRNA gene-based real-time PCR assays for improved universal and group-specific detection of phytoplasmas.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2945–2950.</w:t>
      </w:r>
    </w:p>
    <w:p>
      <w:pPr>
        <w:widowControl w:val="on"/>
        <w:pBdr/>
        <w:spacing w:before="220" w:after="220" w:line="240" w:lineRule="auto"/>
        <w:ind w:left="0" w:right="0"/>
        <w:jc w:val="left"/>
      </w:pPr>
      <w:r>
        <w:rPr>
          <w:rFonts w:ascii="Calibri" w:hAnsi="Calibri" w:eastAsia="Calibri" w:cs="Calibri"/>
          <w:color w:val="000000"/>
          <w:sz w:val="22"/>
          <w:szCs w:val="22"/>
        </w:rPr>
        <w:t xml:space="preserve">Janik K, Barthel D, Oppedisano T &amp; G Anfora G (2020) Apple proliferation. A joint review. Fondazione Edmund Mach, Laimburg 94 pp.</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Schwind N, Fuchs A &amp; Jarausch W (2011) Characteristics of the spread of apple proliferation by its vector </w:t>
      </w:r>
      <w:r>
        <w:rPr>
          <w:rFonts w:ascii="Calibri" w:hAnsi="Calibri" w:eastAsia="Calibri" w:cs="Calibri"/>
          <w:i/>
          <w:iCs/>
          <w:color w:val="000000"/>
          <w:sz w:val="22"/>
          <w:szCs w:val="22"/>
        </w:rPr>
        <w:t xml:space="preserve">Cacopsylla picta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1471-1480.</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W &amp; Torres E (2014) Management of phytoplasma-associated diseases. In: Bertaccini A (Ed.) Phytoplasmas and phytoplasma disease management: how to reduce their economic impact. Bologna: IPWG-International Phytoplasmologist Working Group, 199-208.</w:t>
      </w:r>
    </w:p>
    <w:p>
      <w:pPr>
        <w:widowControl w:val="on"/>
        <w:pBdr/>
        <w:spacing w:before="220" w:after="220" w:line="240" w:lineRule="auto"/>
        <w:ind w:left="0" w:right="0"/>
        <w:jc w:val="left"/>
      </w:pPr>
      <w:r>
        <w:rPr>
          <w:rFonts w:ascii="Calibri" w:hAnsi="Calibri" w:eastAsia="Calibri" w:cs="Calibri"/>
          <w:color w:val="000000"/>
          <w:sz w:val="22"/>
          <w:szCs w:val="22"/>
        </w:rPr>
        <w:t xml:space="preserve">Lauterer P (1999) Results of the investigations on Hemiptera in Moravia, made by the Moravian museum (Psylloidea). </w:t>
      </w:r>
      <w:r>
        <w:rPr>
          <w:rFonts w:ascii="Calibri" w:hAnsi="Calibri" w:eastAsia="Calibri" w:cs="Calibri"/>
          <w:i/>
          <w:iCs/>
          <w:color w:val="000000"/>
          <w:sz w:val="22"/>
          <w:szCs w:val="22"/>
        </w:rPr>
        <w:t xml:space="preserve">Acta Musei Moraviae, Scientiae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71-151.</w:t>
      </w:r>
    </w:p>
    <w:p>
      <w:pPr>
        <w:widowControl w:val="on"/>
        <w:pBdr/>
        <w:spacing w:before="220" w:after="220" w:line="240" w:lineRule="auto"/>
        <w:ind w:left="0" w:right="0"/>
        <w:jc w:val="left"/>
      </w:pPr>
      <w:r>
        <w:rPr>
          <w:rFonts w:ascii="Calibri" w:hAnsi="Calibri" w:eastAsia="Calibri" w:cs="Calibri"/>
          <w:color w:val="000000"/>
          <w:sz w:val="22"/>
          <w:szCs w:val="22"/>
        </w:rPr>
        <w:t xml:space="preserve">Lorenz KH, Schneider B, Ahrens U &amp; Seemüller E (1995) Detection of the apple proliferation and pear decline phytoplasmas by PCR amplification of ribosomal and nonribosomal DNA.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771-776.</w:t>
      </w:r>
    </w:p>
    <w:p>
      <w:pPr>
        <w:widowControl w:val="on"/>
        <w:pBdr/>
        <w:spacing w:before="220" w:after="220" w:line="240" w:lineRule="auto"/>
        <w:ind w:left="0" w:right="0"/>
        <w:jc w:val="left"/>
      </w:pPr>
      <w:r>
        <w:rPr>
          <w:rFonts w:ascii="Calibri" w:hAnsi="Calibri" w:eastAsia="Calibri" w:cs="Calibri"/>
          <w:color w:val="000000"/>
          <w:sz w:val="22"/>
          <w:szCs w:val="22"/>
        </w:rPr>
        <w:t xml:space="preserve">Mattedi L, Forno F, Cainelli C, Grando MS &amp; Jarausch W (2008) Research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transmission by insect vectors in Trentino.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781</w:t>
      </w:r>
      <w:r>
        <w:rPr>
          <w:rFonts w:ascii="Calibri" w:hAnsi="Calibri" w:eastAsia="Calibri" w:cs="Calibri"/>
          <w:color w:val="000000"/>
          <w:sz w:val="22"/>
          <w:szCs w:val="22"/>
        </w:rPr>
        <w:t xml:space="preserve">, 369-374.</w:t>
      </w:r>
    </w:p>
    <w:p>
      <w:pPr>
        <w:widowControl w:val="on"/>
        <w:pBdr/>
        <w:spacing w:before="220" w:after="220" w:line="240" w:lineRule="auto"/>
        <w:ind w:left="0" w:right="0"/>
        <w:jc w:val="left"/>
      </w:pPr>
      <w:r>
        <w:rPr>
          <w:rFonts w:ascii="Calibri" w:hAnsi="Calibri" w:eastAsia="Calibri" w:cs="Calibri"/>
          <w:color w:val="000000"/>
          <w:sz w:val="22"/>
          <w:szCs w:val="22"/>
        </w:rPr>
        <w:t xml:space="preserve">Mittelberger C, Obkircher L, Oettl S, Oppedisano T, Pedrazzoli F, Panassiti B, Kerschbamer C, Anfora G &amp; Janik K (2017) The insect vector </w:t>
      </w:r>
      <w:r>
        <w:rPr>
          <w:rFonts w:ascii="Calibri" w:hAnsi="Calibri" w:eastAsia="Calibri" w:cs="Calibri"/>
          <w:i/>
          <w:iCs/>
          <w:color w:val="000000"/>
          <w:sz w:val="22"/>
          <w:szCs w:val="22"/>
        </w:rPr>
        <w:t xml:space="preserve">Cacopsylla picta </w:t>
      </w:r>
      <w:r>
        <w:rPr>
          <w:rFonts w:ascii="Calibri" w:hAnsi="Calibri" w:eastAsia="Calibri" w:cs="Calibri"/>
          <w:color w:val="000000"/>
          <w:sz w:val="22"/>
          <w:szCs w:val="22"/>
        </w:rPr>
        <w:t xml:space="preserve">vertically transmits the bacterium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to its progeny.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1015-1021.</w:t>
      </w:r>
    </w:p>
    <w:p>
      <w:pPr>
        <w:widowControl w:val="on"/>
        <w:pBdr/>
        <w:spacing w:before="220" w:after="220" w:line="240" w:lineRule="auto"/>
        <w:ind w:left="0" w:right="0"/>
        <w:jc w:val="left"/>
      </w:pPr>
      <w:r>
        <w:rPr>
          <w:rFonts w:ascii="Calibri" w:hAnsi="Calibri" w:eastAsia="Calibri" w:cs="Calibri"/>
          <w:color w:val="000000"/>
          <w:sz w:val="22"/>
          <w:szCs w:val="22"/>
        </w:rPr>
        <w:t xml:space="preserve">Oppedisano T, Panassiti B, Pedrazzoli F, Mittelberger C, Bianchedi PL, Angeli G, De Cristofaro A, Janik K, Anfora G &amp; Ioriatti C (2019) Importance of psyllids’ life stage in the epidemiology of apple proliferation phytoplasma.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49-61.</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Zimbelmann F (1984) Seasonal variation in the colonization patterns of mycoplasma-like organisms associated with apple proliferation and pear decline.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&amp; Schneider B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the causal agents of apple proliferation, pear decline and European stone fruit yellows, respectively.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1217-1226. </w:t>
      </w:r>
      <w:hyperlink r:id="rId63876a44b2a535677" w:history="1">
        <w:r>
          <w:rPr>
            <w:rFonts w:ascii="Calibri" w:hAnsi="Calibri" w:eastAsia="Calibri" w:cs="Calibri"/>
            <w:color w:val="0000CC"/>
            <w:sz w:val="22"/>
            <w:szCs w:val="22"/>
            <w:u w:val="single"/>
          </w:rPr>
          <w:t xml:space="preserve">https://doi.org/10.1099/ijs.0.02823-0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Carraro L, Jarausch W. &amp; Schneider B (2011) Apple proliferation phytoplasma. In: Hadidi A. Barba M. Candresse T. Jelkmann W. (Eds): Virus and Virus-like Diseases of Pome and Stone Fruits: The American Phytopathological Society, 67-73.</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Gallinger J, Jelkmann W &amp; Jarausch W (2018) Inheritance of apple proliferation resistance by parental lines of apomictic </w:t>
      </w:r>
      <w:r>
        <w:rPr>
          <w:rFonts w:ascii="Calibri" w:hAnsi="Calibri" w:eastAsia="Calibri" w:cs="Calibri"/>
          <w:i/>
          <w:iCs/>
          <w:color w:val="000000"/>
          <w:sz w:val="22"/>
          <w:szCs w:val="22"/>
        </w:rPr>
        <w:t xml:space="preserve">Malus sieboldii</w:t>
      </w:r>
      <w:r>
        <w:rPr>
          <w:rFonts w:ascii="Calibri" w:hAnsi="Calibri" w:eastAsia="Calibri" w:cs="Calibri"/>
          <w:color w:val="000000"/>
          <w:sz w:val="22"/>
          <w:szCs w:val="22"/>
        </w:rPr>
        <w:t xml:space="preserve"> as donor of resistance in rootstock breeding.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767-779.</w:t>
      </w:r>
    </w:p>
    <w:p>
      <w:pPr>
        <w:widowControl w:val="on"/>
        <w:pBdr/>
        <w:spacing w:before="220" w:after="220" w:line="240" w:lineRule="auto"/>
        <w:ind w:left="0" w:right="0"/>
        <w:jc w:val="left"/>
      </w:pPr>
      <w:r>
        <w:rPr>
          <w:rFonts w:ascii="Calibri" w:hAnsi="Calibri" w:eastAsia="Calibri" w:cs="Calibri"/>
          <w:color w:val="000000"/>
          <w:sz w:val="22"/>
          <w:szCs w:val="22"/>
        </w:rPr>
        <w:t xml:space="preserve">Seidl V &amp; Komarkova V (1974) Studies on natural spread of proliferation disease of apple.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301-313.</w:t>
      </w:r>
    </w:p>
    <w:p>
      <w:pPr>
        <w:widowControl w:val="on"/>
        <w:pBdr/>
        <w:spacing w:before="220" w:after="220" w:line="240" w:lineRule="auto"/>
        <w:ind w:left="0" w:right="0"/>
        <w:jc w:val="left"/>
      </w:pPr>
      <w:r>
        <w:rPr>
          <w:rFonts w:ascii="Calibri" w:hAnsi="Calibri" w:eastAsia="Calibri" w:cs="Calibri"/>
          <w:color w:val="000000"/>
          <w:sz w:val="22"/>
          <w:szCs w:val="22"/>
        </w:rPr>
        <w:t xml:space="preserve">Strauss E (2009) Microbiology. Phytoplasma research begins to bloom.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325</w:t>
      </w:r>
      <w:r>
        <w:rPr>
          <w:rFonts w:ascii="Calibri" w:hAnsi="Calibri" w:eastAsia="Calibri" w:cs="Calibri"/>
          <w:color w:val="000000"/>
          <w:sz w:val="22"/>
          <w:szCs w:val="22"/>
        </w:rPr>
        <w:t xml:space="preserve">, 388-390.</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&amp; Alma A (2006) </w:t>
      </w:r>
      <w:r>
        <w:rPr>
          <w:rFonts w:ascii="Calibri" w:hAnsi="Calibri" w:eastAsia="Calibri" w:cs="Calibri"/>
          <w:i/>
          <w:iCs/>
          <w:color w:val="000000"/>
          <w:sz w:val="22"/>
          <w:szCs w:val="22"/>
        </w:rPr>
        <w:t xml:space="preserve">Fieberiella florii </w:t>
      </w:r>
      <w:r>
        <w:rPr>
          <w:rFonts w:ascii="Calibri" w:hAnsi="Calibri" w:eastAsia="Calibri" w:cs="Calibri"/>
          <w:color w:val="000000"/>
          <w:sz w:val="22"/>
          <w:szCs w:val="22"/>
        </w:rPr>
        <w:t xml:space="preserve">(Homoptera: Auchenorrhyncha) as a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284-290.</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&amp; Alma A (2007)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the current situation of insect vectors in northwestern Italy.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187-188.</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Baldessari M, Mazzoni V, Trona F &amp; Angeli G (2012) Population dynamics of </w:t>
      </w:r>
      <w:r>
        <w:rPr>
          <w:rFonts w:ascii="Calibri" w:hAnsi="Calibri" w:eastAsia="Calibri" w:cs="Calibri"/>
          <w:i/>
          <w:iCs/>
          <w:color w:val="000000"/>
          <w:sz w:val="22"/>
          <w:szCs w:val="22"/>
        </w:rPr>
        <w:t xml:space="preserve">Cacopsylla melanoneura</w:t>
      </w:r>
      <w:r>
        <w:rPr>
          <w:rFonts w:ascii="Calibri" w:hAnsi="Calibri" w:eastAsia="Calibri" w:cs="Calibri"/>
          <w:color w:val="000000"/>
          <w:sz w:val="22"/>
          <w:szCs w:val="22"/>
        </w:rPr>
        <w:t xml:space="preserve"> (Hemiptera: Psyllidae) in northeast Italy and its role in the apple proliferation epidemiology in apple orchards.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Phytoplasma mali (apple proliferation) 2021 </w:t>
      </w:r>
      <w:hyperlink r:id="rId47046a44b2a535a01" w:history="1">
        <w:r>
          <w:rPr>
            <w:rFonts w:ascii="Calibri" w:hAnsi="Calibri" w:eastAsia="Calibri" w:cs="Calibri"/>
            <w:color w:val="0000CC"/>
            <w:sz w:val="22"/>
            <w:szCs w:val="22"/>
            <w:u w:val="single"/>
          </w:rPr>
          <w:t xml:space="preserve">https://doi.org/10.1079/cabicompendium.6502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Suffert M (2019) Evaluation of the Regulated non-quarantine pest (RNQP) status for </w:t>
      </w:r>
      <w:r>
        <w:rPr>
          <w:rFonts w:ascii="Calibri" w:hAnsi="Calibri" w:eastAsia="Calibri" w:cs="Calibri"/>
          <w:i/>
          <w:iCs/>
          <w:color w:val="000000"/>
          <w:sz w:val="22"/>
          <w:szCs w:val="22"/>
        </w:rPr>
        <w:t xml:space="preserve">Phytoplasma mali</w:t>
      </w:r>
      <w:r>
        <w:rPr>
          <w:rFonts w:ascii="Calibri" w:hAnsi="Calibri" w:eastAsia="Calibri" w:cs="Calibri"/>
          <w:color w:val="000000"/>
          <w:sz w:val="22"/>
          <w:szCs w:val="22"/>
        </w:rPr>
        <w:t xml:space="preserve"> </w:t>
      </w:r>
      <w:hyperlink r:id="rId38726a44b2a535a54" w:history="1">
        <w:r>
          <w:rPr>
            <w:rFonts w:ascii="Calibri" w:hAnsi="Calibri" w:eastAsia="Calibri" w:cs="Calibri"/>
            <w:color w:val="0000CC"/>
            <w:sz w:val="22"/>
            <w:szCs w:val="22"/>
            <w:u w:val="single"/>
          </w:rPr>
          <w:t xml:space="preserve">https://pra.eppo.int/pra/ef9c311c-7449-4a40-a9d5-d980e324ffb6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Josef Špak, Biology Centre of the Czech Academy of Sciences, supported by the program Strategy AV 21.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mali'</w:t>
      </w:r>
      <w:r>
        <w:rPr>
          <w:rFonts w:ascii="Calibri" w:hAnsi="Calibri" w:eastAsia="Calibri" w:cs="Calibri"/>
          <w:color w:val="000000"/>
          <w:sz w:val="22"/>
          <w:szCs w:val="22"/>
        </w:rPr>
        <w:t xml:space="preserve">. EPPO datasheets on pests recommended for regulation. Available online. </w:t>
      </w:r>
      <w:hyperlink r:id="rId16286a44b2a535b2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87, Apple proliferation MLO.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76-81. </w:t>
      </w:r>
      <w:hyperlink r:id="rId22096a44b2a535c11" w:history="1">
        <w:r>
          <w:rPr>
            <w:rFonts w:ascii="Calibri" w:hAnsi="Calibri" w:eastAsia="Calibri" w:cs="Calibri"/>
            <w:color w:val="0000CC"/>
            <w:sz w:val="22"/>
            <w:szCs w:val="22"/>
            <w:u w:val="single"/>
          </w:rPr>
          <w:t xml:space="preserve">https://onlinelibrary.wiley.com/doi/epdf/10.1111/j.1365-2338.1978.tb02775.x</w:t>
        </w:r>
      </w:hyperlink>
    </w:p>
    <w:p>
      <w:r>
        <w:drawing>
          <wp:inline distT="0" distB="0" distL="0" distR="0">
            <wp:extent cx="1800000" cy="604800"/>
            <wp:docPr id="26997927" name="name29266a44b2a535c7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056a44b2a535c7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512380">
    <w:multiLevelType w:val="hybridMultilevel"/>
    <w:lvl w:ilvl="0" w:tplc="97552922">
      <w:start w:val="1"/>
      <w:numFmt w:val="decimal"/>
      <w:lvlText w:val="%1."/>
      <w:lvlJc w:val="left"/>
      <w:pPr>
        <w:ind w:left="720" w:hanging="360"/>
      </w:pPr>
    </w:lvl>
    <w:lvl w:ilvl="1" w:tplc="97552922" w:tentative="1">
      <w:start w:val="1"/>
      <w:numFmt w:val="lowerLetter"/>
      <w:lvlText w:val="%2."/>
      <w:lvlJc w:val="left"/>
      <w:pPr>
        <w:ind w:left="1440" w:hanging="360"/>
      </w:pPr>
    </w:lvl>
    <w:lvl w:ilvl="2" w:tplc="97552922" w:tentative="1">
      <w:start w:val="1"/>
      <w:numFmt w:val="lowerRoman"/>
      <w:lvlText w:val="%3."/>
      <w:lvlJc w:val="right"/>
      <w:pPr>
        <w:ind w:left="2160" w:hanging="180"/>
      </w:pPr>
    </w:lvl>
    <w:lvl w:ilvl="3" w:tplc="97552922" w:tentative="1">
      <w:start w:val="1"/>
      <w:numFmt w:val="decimal"/>
      <w:lvlText w:val="%4."/>
      <w:lvlJc w:val="left"/>
      <w:pPr>
        <w:ind w:left="2880" w:hanging="360"/>
      </w:pPr>
    </w:lvl>
    <w:lvl w:ilvl="4" w:tplc="97552922" w:tentative="1">
      <w:start w:val="1"/>
      <w:numFmt w:val="lowerLetter"/>
      <w:lvlText w:val="%5."/>
      <w:lvlJc w:val="left"/>
      <w:pPr>
        <w:ind w:left="3600" w:hanging="360"/>
      </w:pPr>
    </w:lvl>
    <w:lvl w:ilvl="5" w:tplc="97552922" w:tentative="1">
      <w:start w:val="1"/>
      <w:numFmt w:val="lowerRoman"/>
      <w:lvlText w:val="%6."/>
      <w:lvlJc w:val="right"/>
      <w:pPr>
        <w:ind w:left="4320" w:hanging="180"/>
      </w:pPr>
    </w:lvl>
    <w:lvl w:ilvl="6" w:tplc="97552922" w:tentative="1">
      <w:start w:val="1"/>
      <w:numFmt w:val="decimal"/>
      <w:lvlText w:val="%7."/>
      <w:lvlJc w:val="left"/>
      <w:pPr>
        <w:ind w:left="5040" w:hanging="360"/>
      </w:pPr>
    </w:lvl>
    <w:lvl w:ilvl="7" w:tplc="97552922" w:tentative="1">
      <w:start w:val="1"/>
      <w:numFmt w:val="lowerLetter"/>
      <w:lvlText w:val="%8."/>
      <w:lvlJc w:val="left"/>
      <w:pPr>
        <w:ind w:left="5760" w:hanging="360"/>
      </w:pPr>
    </w:lvl>
    <w:lvl w:ilvl="8" w:tplc="97552922" w:tentative="1">
      <w:start w:val="1"/>
      <w:numFmt w:val="lowerRoman"/>
      <w:lvlText w:val="%9."/>
      <w:lvlJc w:val="right"/>
      <w:pPr>
        <w:ind w:left="6480" w:hanging="180"/>
      </w:pPr>
    </w:lvl>
  </w:abstractNum>
  <w:abstractNum w:abstractNumId="19512379">
    <w:multiLevelType w:val="hybridMultilevel"/>
    <w:lvl w:ilvl="0" w:tplc="811192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512379">
    <w:abstractNumId w:val="19512379"/>
  </w:num>
  <w:num w:numId="19512380">
    <w:abstractNumId w:val="195123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9309163" Type="http://schemas.microsoft.com/office/2011/relationships/commentsExtended" Target="commentsExtended.xml"/><Relationship Id="rId590072834" Type="http://schemas.microsoft.com/office/2011/relationships/people" Target="people.xml"/><Relationship Id="rId67506a44b2a532936" Type="http://schemas.openxmlformats.org/officeDocument/2006/relationships/hyperlink" Target="https://gd.eppo.int/taxon/PHYPMA/" TargetMode="External"/><Relationship Id="rId49336a44b2a5329a8" Type="http://schemas.openxmlformats.org/officeDocument/2006/relationships/hyperlink" Target="https://gd.eppo.int/taxon/PHYPMA/categorization" TargetMode="External"/><Relationship Id="rId48746a44b2a532ba1" Type="http://schemas.openxmlformats.org/officeDocument/2006/relationships/hyperlink" Target="https://gd.eppo.int/taxon/PHYPMA/photos" TargetMode="External"/><Relationship Id="rId20736a44b2a5350f8" Type="http://schemas.openxmlformats.org/officeDocument/2006/relationships/hyperlink" Target="https://doi.org/10.1111/epp.12612" TargetMode="External"/><Relationship Id="rId59246a44b2a5351b2" Type="http://schemas.openxmlformats.org/officeDocument/2006/relationships/hyperlink" Target="https://doi.org/10.1111/epp.12771" TargetMode="External"/><Relationship Id="rId86656a44b2a535226" Type="http://schemas.openxmlformats.org/officeDocument/2006/relationships/hyperlink" Target="https://doi.org/10.1111/j.1439-0434.2005.00988.x" TargetMode="External"/><Relationship Id="rId63876a44b2a535677" Type="http://schemas.openxmlformats.org/officeDocument/2006/relationships/hyperlink" Target="https://doi.org/10.1099/ijs.0.02823-0" TargetMode="External"/><Relationship Id="rId47046a44b2a535a01" Type="http://schemas.openxmlformats.org/officeDocument/2006/relationships/hyperlink" Target="https://doi.org/10.1079/cabicompendium.6502" TargetMode="External"/><Relationship Id="rId38726a44b2a535a54" Type="http://schemas.openxmlformats.org/officeDocument/2006/relationships/hyperlink" Target="https://pra.eppo.int/pra/ef9c311c-7449-4a40-a9d5-d980e324ffb6" TargetMode="External"/><Relationship Id="rId16286a44b2a535b2c" Type="http://schemas.openxmlformats.org/officeDocument/2006/relationships/hyperlink" Target="https://gd.eppo.int" TargetMode="External"/><Relationship Id="rId22096a44b2a535c11" Type="http://schemas.openxmlformats.org/officeDocument/2006/relationships/hyperlink" Target="https://onlinelibrary.wiley.com/doi/epdf/10.1111/j.1365-2338.1978.tb02775.x" TargetMode="External"/><Relationship Id="rId17656a44b2a532a65" Type="http://schemas.openxmlformats.org/officeDocument/2006/relationships/image" Target="media/imgrId17656a44b2a532a65.jpg"/><Relationship Id="rId86066a44b2a533aeb" Type="http://schemas.openxmlformats.org/officeDocument/2006/relationships/image" Target="media/imgrId86066a44b2a533aeb.jpg"/><Relationship Id="rId42056a44b2a535c71" Type="http://schemas.openxmlformats.org/officeDocument/2006/relationships/image" Target="media/imgrId42056a44b2a535c7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