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Phytoplasma mali'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2024-06-12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Phytoplasma mali'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Seemüller &amp; Schneider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Apple proliferation phytoplasma</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Apple witches' broom phytoplasma</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Phytoplasma mali</w:t>
            </w:r>
            <w:r>
              <w:rPr>
                <w:rFonts w:ascii="Calibri" w:hAnsi="Calibri" w:eastAsia="Calibri" w:cs="Calibri"/>
                <w:color w:val="000000"/>
                <w:position w:val="-3"/>
                <w:sz w:val="22"/>
                <w:szCs w:val="22"/>
              </w:rPr>
              <w:t xml:space="preserve"> Seemüller &amp; Schneider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AP, proliferation of apple, witches' broom of apple</w:t>
            </w:r>
            <w:hyperlink r:id="rId54906ab0a9b9b487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19486ab0a9b9b48e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PHYPMA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6004983" name="name97836ab0a9b9b50ce" descr="1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3.jpg"/>
                          <pic:cNvPicPr/>
                        </pic:nvPicPr>
                        <pic:blipFill>
                          <a:blip r:embed="rId32756ab0a9b9b50cc" cstate="print"/>
                          <a:stretch>
                            <a:fillRect/>
                          </a:stretch>
                        </pic:blipFill>
                        <pic:spPr>
                          <a:xfrm>
                            <a:off x="0" y="0"/>
                            <a:ext cx="2160000" cy="1281600"/>
                          </a:xfrm>
                          <a:prstGeom prst="rect">
                            <a:avLst/>
                          </a:prstGeom>
                          <a:ln w="0">
                            <a:noFill/>
                          </a:ln>
                        </pic:spPr>
                      </pic:pic>
                    </a:graphicData>
                  </a:graphic>
                </wp:inline>
              </w:drawing>
            </w:r>
            <w:hyperlink r:id="rId79646ab0a9b9b51d7"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Apple trees are the main host. Cultivars vary in reaction but most, including seedlings, appear to be susceptible. The most sensitive cultivars include Belle de Boskoop, Gravenstein, Starking, Golden Delicious and Winter Banana. Some cultivars are mentioned as relatively tolerant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infection (Seemüller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However, tolerance evaluation of these cultivars is rather based on empirical field observations assessing symptom occurrence than on a screening through targeted infection trials (Janik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betulus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monogyna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Forsythia suspensa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Lilium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fusca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halliana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hupehensis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kansuensis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prunifolia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sargentii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toringoides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adstringens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atrosanguinea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magdeburgensis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micromalus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moerlandsii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scheideckeri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soulardii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zumi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Spiraea x vanhouttei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lantana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has been reported from the EPPO region, Africa (Tunisia), Asia (Syria) and North America (Canada - Nova Scotia).</w:t>
      </w:r>
    </w:p>
    <w:p>
      <w:r>
        <w:drawing>
          <wp:inline distT="0" distB="0" distL="0" distR="0">
            <wp:extent cx="6120000" cy="3067200"/>
            <wp:docPr id="45284844" name="name51456ab0a9b9b6681" descr="PHYPM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MA_distribution_map.jpg"/>
                    <pic:cNvPicPr/>
                  </pic:nvPicPr>
                  <pic:blipFill>
                    <a:blip r:embed="rId88946ab0a9b9b667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Austria, Belarus, Belgium, Bosnia and Herzegovina, Bulgaria, Croatia, Czechia, Finland, France (mainland), Germany, Greece (mainland), Hungary, Italy (mainland), Lithuania, Luxembourg, Moldova, Republic of, Netherlands, Norway, Poland, Romania, Russian Federation (Southern Russia), Serbia, Slovakia, Slovenia, Spain (mainland), Switzerland, Tunisia, Türkiye, Ukraine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(Nova Scotia)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is a plant pathogen that resides in the phloem and its distribution in the tree is not constant over the year. It appears to be localized mainly in suckers and terminal shoots, where it has been observed in the phloem of leaf petioles, midribs and stipules (Fránová, 2005). In winter the content of phytoplasmas declines due to sieve tube degeneration. They also concentrate more in the roots in winter but, during April to May, the pathogen reinvades the stem from the roots and reach a peak level of infection in late summer or early autumn (Seemüller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The distribution pattern of the phytoplasmas in the tree is also dependent on temperature. In France, phytoplasmas could be found throughout the trees at temperatures of 21-24°C, causing symptoms; at 29-32°C symptoms were inhibited and phytoplasmas were found only in the roots, but reinvaded the stems when plantlets were stored at 21-24°C (Ducrocquet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w:t>
      </w:r>
    </w:p>
    <w:p>
      <w:pPr>
        <w:widowControl w:val="on"/>
        <w:pBdr/>
        <w:spacing w:before="220" w:after="220" w:line="240" w:lineRule="auto"/>
        <w:ind w:left="0" w:right="0"/>
        <w:jc w:val="both"/>
      </w:pPr>
      <w:r>
        <w:rPr>
          <w:rFonts w:ascii="Calibri" w:hAnsi="Calibri" w:eastAsia="Calibri" w:cs="Calibri"/>
          <w:color w:val="000000"/>
          <w:sz w:val="22"/>
          <w:szCs w:val="22"/>
        </w:rPr>
        <w:t xml:space="preserve">When a tree is inoculated with an infected bud the first symptoms appear the following year, mostly on the inoculated branches. When carried in the rootstock, the causal agent produces symptoms on the first growth of the scion.</w:t>
      </w:r>
    </w:p>
    <w:p>
      <w:pPr>
        <w:widowControl w:val="on"/>
        <w:pBdr/>
        <w:spacing w:before="220" w:after="220" w:line="240" w:lineRule="auto"/>
        <w:ind w:left="0" w:right="0"/>
        <w:jc w:val="both"/>
      </w:pPr>
      <w:r>
        <w:rPr>
          <w:rFonts w:ascii="Calibri" w:hAnsi="Calibri" w:eastAsia="Calibri" w:cs="Calibri"/>
          <w:color w:val="000000"/>
          <w:sz w:val="22"/>
          <w:szCs w:val="22"/>
        </w:rPr>
        <w:t xml:space="preserve">Psyllids </w:t>
      </w:r>
      <w:r>
        <w:rPr>
          <w:rFonts w:ascii="Calibri" w:hAnsi="Calibri" w:eastAsia="Calibri" w:cs="Calibri"/>
          <w:i/>
          <w:iCs/>
          <w:color w:val="000000"/>
          <w:sz w:val="22"/>
          <w:szCs w:val="22"/>
        </w:rPr>
        <w:t xml:space="preserve">Cacopsylla picta</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C. costalis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Cacopsylla melanoneura</w:t>
      </w:r>
      <w:r>
        <w:rPr>
          <w:rFonts w:ascii="Calibri" w:hAnsi="Calibri" w:eastAsia="Calibri" w:cs="Calibri"/>
          <w:color w:val="000000"/>
          <w:sz w:val="22"/>
          <w:szCs w:val="22"/>
        </w:rPr>
        <w:t xml:space="preserve"> (Hemiptera: Sternorryncha: Psyllidae), and the leafhopper </w:t>
      </w:r>
      <w:r>
        <w:rPr>
          <w:rFonts w:ascii="Calibri" w:hAnsi="Calibri" w:eastAsia="Calibri" w:cs="Calibri"/>
          <w:i/>
          <w:iCs/>
          <w:color w:val="000000"/>
          <w:sz w:val="22"/>
          <w:szCs w:val="22"/>
        </w:rPr>
        <w:t xml:space="preserve">Fieberiella florii</w:t>
      </w:r>
      <w:r>
        <w:rPr>
          <w:rFonts w:ascii="Calibri" w:hAnsi="Calibri" w:eastAsia="Calibri" w:cs="Calibri"/>
          <w:color w:val="000000"/>
          <w:sz w:val="22"/>
          <w:szCs w:val="22"/>
        </w:rPr>
        <w:t xml:space="preserve"> (Hemiptera: Auchenorrhyncha: Cicadellidae) have been shown to be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vectors (Janik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They transmit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in a persistent-propagative manner, which means that the pathogen can multiply in insects and that the insect remains inoculative for life (Weintraub &amp; Beanland, 2006). Mittelberger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showed that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vertically transmits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from infected mothers to their offspring (transovarial transmission).</w:t>
      </w:r>
    </w:p>
    <w:p>
      <w:pPr>
        <w:widowControl w:val="on"/>
        <w:pBdr/>
        <w:spacing w:before="0" w:after="0" w:line="240" w:lineRule="auto"/>
        <w:ind w:left="0" w:right="0"/>
        <w:jc w:val="both"/>
      </w:pPr>
      <w:r>
        <w:rPr>
          <w:rFonts w:ascii="Calibri" w:hAnsi="Calibri" w:eastAsia="Calibri" w:cs="Calibri"/>
          <w:color w:val="000000"/>
          <w:sz w:val="22"/>
          <w:szCs w:val="22"/>
        </w:rPr>
        <w:t xml:space="preserve">Although the spatial distribution, infection rate and transmission capacity of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vary among geographical areas, these psyllids are more efficient vectors than the leafhopper, </w:t>
      </w:r>
      <w:r>
        <w:rPr>
          <w:rFonts w:ascii="Calibri" w:hAnsi="Calibri" w:eastAsia="Calibri" w:cs="Calibri"/>
          <w:i/>
          <w:iCs/>
          <w:color w:val="000000"/>
          <w:sz w:val="22"/>
          <w:szCs w:val="22"/>
        </w:rPr>
        <w:t xml:space="preserve">F. florii</w:t>
      </w:r>
      <w:r>
        <w:rPr>
          <w:rFonts w:ascii="Calibri" w:hAnsi="Calibri" w:eastAsia="Calibri" w:cs="Calibri"/>
          <w:color w:val="000000"/>
          <w:sz w:val="22"/>
          <w:szCs w:val="22"/>
        </w:rPr>
        <w:t xml:space="preserve">. Studies have shown that </w:t>
      </w:r>
      <w:r>
        <w:rPr>
          <w:rFonts w:ascii="Calibri" w:hAnsi="Calibri" w:eastAsia="Calibri" w:cs="Calibri"/>
          <w:i/>
          <w:iCs/>
          <w:color w:val="000000"/>
          <w:sz w:val="22"/>
          <w:szCs w:val="22"/>
        </w:rPr>
        <w:t xml:space="preserve">F. florii</w:t>
      </w:r>
      <w:r>
        <w:rPr>
          <w:rFonts w:ascii="Calibri" w:hAnsi="Calibri" w:eastAsia="Calibri" w:cs="Calibri"/>
          <w:color w:val="000000"/>
          <w:sz w:val="22"/>
          <w:szCs w:val="22"/>
        </w:rPr>
        <w:t xml:space="preserve"> is relatively inefficient, due to its low transmission rate and low incidence in apple orchards (Tedeschi &amp; Alma, 2006). Both adults and nymphs of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transmit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is oligophagous, mainly feeding on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spp., and occasionally on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spp.; whereas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is monophagous, feeding only on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is distributed across Europe and Asia Minor whereas </w:t>
      </w: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is widespread across the Palearctic region. In Northeastern Italy, Germany and East European countries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occur together, but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plays a major role as a vector (Oppedisano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Both </w:t>
      </w:r>
      <w:r>
        <w:rPr>
          <w:rFonts w:ascii="Calibri" w:hAnsi="Calibri" w:eastAsia="Calibri" w:cs="Calibri"/>
          <w:i/>
          <w:iCs/>
          <w:color w:val="000000"/>
          <w:sz w:val="22"/>
          <w:szCs w:val="22"/>
        </w:rPr>
        <w:t xml:space="preserve">Cacopsylla</w:t>
      </w:r>
      <w:r>
        <w:rPr>
          <w:rFonts w:ascii="Calibri" w:hAnsi="Calibri" w:eastAsia="Calibri" w:cs="Calibri"/>
          <w:color w:val="000000"/>
          <w:sz w:val="22"/>
          <w:szCs w:val="22"/>
        </w:rPr>
        <w:t xml:space="preserve"> species have one generation per year and overwinter as adults (Lauterer, 1999; Jarausch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Tedeschi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on shelter plants, mainly conifers (Čermák &amp; Lauterer, 2008). At the end of winter, adults (remigrants) return to their rosaceous hosts for mating and oviposition. In Italy, </w:t>
      </w: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migrates from overwintering sites to orchards from the end of January to mid-March, whereas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migrates later, from the end of March to April. Nymphal development then takes four to five weeks, and the newly hatched adults (emigrants) remain in the orchards for about two weeks before progressively migrating to their overwintering sites - until June for </w:t>
      </w: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and July for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(Mattedi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adults are already highly infective when migrating from shelter plants to apple trees (Carraro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and they remain infective throughout the entire period spent in apple orchards (Jarausch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On trees</w:t>
      </w:r>
    </w:p>
    <w:p>
      <w:pPr>
        <w:widowControl w:val="on"/>
        <w:pBdr/>
        <w:spacing w:before="220" w:after="220" w:line="240" w:lineRule="auto"/>
        <w:ind w:left="0" w:right="0"/>
        <w:jc w:val="both"/>
      </w:pPr>
      <w:r>
        <w:rPr>
          <w:rFonts w:ascii="Calibri" w:hAnsi="Calibri" w:eastAsia="Calibri" w:cs="Calibri"/>
          <w:color w:val="000000"/>
          <w:sz w:val="22"/>
          <w:szCs w:val="22"/>
        </w:rPr>
        <w:t xml:space="preserve">Affected trees lack vigour, shoots are thin and the bark, which is sometimes fluted lengthwise, has a reddish-brown colour. Necrotic areas appear on the bark and some branches may wither. Diseased trees may die but, in mild infections, they may recover after the shock symptoms of the first 2-3 years and, subsequently, produce normal fruits again, especially if adequately fertilized.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buds</w:t>
      </w:r>
    </w:p>
    <w:p>
      <w:pPr>
        <w:widowControl w:val="on"/>
        <w:pBdr/>
        <w:spacing w:before="220" w:after="220" w:line="240" w:lineRule="auto"/>
        <w:ind w:left="0" w:right="0"/>
        <w:jc w:val="both"/>
      </w:pPr>
      <w:r>
        <w:rPr>
          <w:rFonts w:ascii="Calibri" w:hAnsi="Calibri" w:eastAsia="Calibri" w:cs="Calibri"/>
          <w:color w:val="000000"/>
          <w:sz w:val="22"/>
          <w:szCs w:val="22"/>
        </w:rPr>
        <w:t xml:space="preserve">Late growth of terminal buds in the autumn is usually the first noticeable symptom. A rosette of terminal leaves, which often becomes infected with powdery mildew, sometimes develops late in the season in place of the normal dormant bud. However, a more reliable symptom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infection is the premature development of axillary buds, during the first 2 or 3 years following infection, which gives rise to secondary shoots forming witches' brooms near the apex of the main shoot. In healthy trees, on the other hand, lateral shoots arise near the base of the shoots. The angle between the secondary shoots and the main shoot is markedly narrower on infected trees. Witches' brooms generally appear successively on various parts of the tree, or all at once over the whole tree, rather than repeatedly on the same branch.</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leaves</w:t>
      </w:r>
    </w:p>
    <w:p>
      <w:pPr>
        <w:widowControl w:val="on"/>
        <w:pBdr/>
        <w:spacing w:before="220" w:after="220" w:line="240" w:lineRule="auto"/>
        <w:ind w:left="0" w:right="0"/>
        <w:jc w:val="both"/>
      </w:pPr>
      <w:r>
        <w:rPr>
          <w:rFonts w:ascii="Calibri" w:hAnsi="Calibri" w:eastAsia="Calibri" w:cs="Calibri"/>
          <w:color w:val="000000"/>
          <w:sz w:val="22"/>
          <w:szCs w:val="22"/>
        </w:rPr>
        <w:t xml:space="preserve">On infected trees, leaves appear earlier than normal and are finely and irregularly serrated and smaller. In many cases, especially with trees on calcareous soils, there is a chlorosis and reddening of the leaves. Early defoliation often occurs. It should be noted that chlorosis and reddening of leaves may be caused by agents other than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diagnosis should not, therefore, be based on this symptom alone.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stipules</w:t>
      </w:r>
    </w:p>
    <w:p>
      <w:pPr>
        <w:widowControl w:val="on"/>
        <w:pBdr/>
        <w:spacing w:before="220" w:after="220" w:line="240" w:lineRule="auto"/>
        <w:ind w:left="0" w:right="0"/>
        <w:jc w:val="both"/>
      </w:pPr>
      <w:r>
        <w:rPr>
          <w:rFonts w:ascii="Calibri" w:hAnsi="Calibri" w:eastAsia="Calibri" w:cs="Calibri"/>
          <w:color w:val="000000"/>
          <w:sz w:val="22"/>
          <w:szCs w:val="22"/>
        </w:rPr>
        <w:t xml:space="preserve">Stipules are abnormally long, and there may be up to four per leaf. Petioles are rather short.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flowers</w:t>
      </w:r>
    </w:p>
    <w:p>
      <w:pPr>
        <w:widowControl w:val="on"/>
        <w:pBdr/>
        <w:spacing w:before="220" w:after="220" w:line="240" w:lineRule="auto"/>
        <w:ind w:left="0" w:right="0"/>
        <w:jc w:val="both"/>
      </w:pPr>
      <w:r>
        <w:rPr>
          <w:rFonts w:ascii="Calibri" w:hAnsi="Calibri" w:eastAsia="Calibri" w:cs="Calibri"/>
          <w:color w:val="000000"/>
          <w:sz w:val="22"/>
          <w:szCs w:val="22"/>
        </w:rPr>
        <w:t xml:space="preserve">Flowering is delayed, sometimes until late summer or autumn, but most of the blossoms of infected trees are normal. A few phylloid flowers have been observed on cv. Cox's Orange; the stamens were converted to petals, some of the petals to leaves and the calyx lobes were enlarged and dentated.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fruit</w:t>
      </w:r>
    </w:p>
    <w:p>
      <w:pPr>
        <w:widowControl w:val="on"/>
        <w:pBdr/>
        <w:spacing w:before="220" w:after="220" w:line="240" w:lineRule="auto"/>
        <w:ind w:left="0" w:right="0"/>
        <w:jc w:val="both"/>
      </w:pPr>
      <w:r>
        <w:rPr>
          <w:rFonts w:ascii="Calibri" w:hAnsi="Calibri" w:eastAsia="Calibri" w:cs="Calibri"/>
          <w:color w:val="000000"/>
          <w:sz w:val="22"/>
          <w:szCs w:val="22"/>
        </w:rPr>
        <w:t xml:space="preserve">Depending on soil quality, fruit are markedly reduced in size, sometimes being only 25% of the weight of healthy fruit. In addition, the flavour is poor, with both sugar and acidity being reduced. The peduncles are longer and thinner and both the calyx end and peduncular cavities are shallower and broader, thus giving the fruit a flattened appearance. Seeds and seed cavities are smaller.</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EPPO (2020), Janik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molecular methods based on the detection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specific DNA are available. The tests recommended for diagnostics are a conventional PCR test with primers fU5/rU3 (Lorenz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a LAMP test (De Jonghe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two real-time PCR tests developed by Christensen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Hodgetts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Diagnostic tests based on biological assays in which suspicious infected material is grafted to woody indicator plants, microscopic examination (DAPI), serological assays using specific antibodies against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e.g. enzyme-linked immunosorbent assays (ELISA) or immunofluorescence detection were developed and used in past decades. However, these techniques are often work-intense, time consuming, have a low sensitivity or are prone to generate false-negative results (Janik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More details on the inspection, detection and identification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can be found in EPPO Standards (1999, 2020,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movement of insect vectors plays a significant role in spreading the phytoplasma over short distances, from tree to tree, within the same orchard or between adjacent orchards. Transmission by root fusion may occur. There is no seed or pollen transmission (Seidl &amp; Komarkova, 1974). By dodder (</w:t>
      </w:r>
      <w:r>
        <w:rPr>
          <w:rFonts w:ascii="Calibri" w:hAnsi="Calibri" w:eastAsia="Calibri" w:cs="Calibri"/>
          <w:i/>
          <w:iCs/>
          <w:color w:val="000000"/>
          <w:sz w:val="22"/>
          <w:szCs w:val="22"/>
        </w:rPr>
        <w:t xml:space="preserve">Cuscuta</w:t>
      </w:r>
      <w:r>
        <w:rPr>
          <w:rFonts w:ascii="Calibri" w:hAnsi="Calibri" w:eastAsia="Calibri" w:cs="Calibri"/>
          <w:color w:val="000000"/>
          <w:sz w:val="22"/>
          <w:szCs w:val="22"/>
        </w:rPr>
        <w:t xml:space="preserve"> sp.) or by grafting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can be transmitted from apple to apple, to periwinkle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and to other experimental hosts. So far, there is no evidence of an involvement of wild plants other than hawthorn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sp.) as reservoirs for the pathogen in the epidemic cycle (Janik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Over longer distances,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is mainly disseminated by movements of infected trees, scions and rootstock material of apple. Infected symptomless trees may yield a high proportion of apparently healthy but infected buds.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This is one of the most important phytoplasma diseases of apple, affecting almost all cultivars, reducing size (by about 50%), weight (by 63-74%) and quality of fruit, as well as reducing tree vigour and increasing susceptibility to powdery mildew (</w:t>
      </w:r>
      <w:r>
        <w:rPr>
          <w:rFonts w:ascii="Calibri" w:hAnsi="Calibri" w:eastAsia="Calibri" w:cs="Calibri"/>
          <w:i/>
          <w:iCs/>
          <w:color w:val="000000"/>
          <w:sz w:val="22"/>
          <w:szCs w:val="22"/>
        </w:rPr>
        <w:t xml:space="preserve">Podosphaera leucotricha</w:t>
      </w:r>
      <w:r>
        <w:rPr>
          <w:rFonts w:ascii="Calibri" w:hAnsi="Calibri" w:eastAsia="Calibri" w:cs="Calibri"/>
          <w:color w:val="000000"/>
          <w:sz w:val="22"/>
          <w:szCs w:val="22"/>
        </w:rPr>
        <w:t xml:space="preserve">). Yield reduction caused by apple proliferation disease in Italy has led to an economic loss of about 100 million Euros in 2001 (Strauss, 2009).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As there are no curative treatments for the disease, a combination of different preventive strategies, such as vector control by means of multiple insecticide treatments, eradication of infected trees and use of certified non-infected planting material, are currently the only measures to prevent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Various methods of vector monitoring, such as visual inspection, beating tray, sticky traps (Jarausch &amp; Torres, 2014) or sweep-net can be used by apple growers to detect </w:t>
      </w:r>
      <w:r>
        <w:rPr>
          <w:rFonts w:ascii="Calibri" w:hAnsi="Calibri" w:eastAsia="Calibri" w:cs="Calibri"/>
          <w:i/>
          <w:iCs/>
          <w:color w:val="000000"/>
          <w:sz w:val="22"/>
          <w:szCs w:val="22"/>
        </w:rPr>
        <w:t xml:space="preserve">C. picta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outbreaks and ensure their effective control by application of insecticides (Janik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Processed kaolin was shown to be an alternative to broad-spectrum insecticides against </w:t>
      </w:r>
      <w:r>
        <w:rPr>
          <w:rFonts w:ascii="Calibri" w:hAnsi="Calibri" w:eastAsia="Calibri" w:cs="Calibri"/>
          <w:i/>
          <w:iCs/>
          <w:color w:val="000000"/>
          <w:sz w:val="22"/>
          <w:szCs w:val="22"/>
        </w:rPr>
        <w:t xml:space="preserve">C. melanoneura</w:t>
      </w:r>
      <w:r>
        <w:rPr>
          <w:rFonts w:ascii="Calibri" w:hAnsi="Calibri" w:eastAsia="Calibri" w:cs="Calibri"/>
          <w:color w:val="000000"/>
          <w:sz w:val="22"/>
          <w:szCs w:val="22"/>
        </w:rPr>
        <w:t xml:space="preserve"> in organic farming. It acts by creating a film that hinders insects from feeding or moving onto the plants, and also prevents the transmission of plant pathogens by insect vectors (Tedeschi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Late winter spray with kaolin reduced the number of laid eggs and consequently of nymphs (Janik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resistant rootstocks would be the most sustainable solution. Extensive studies done by Seemüller and co-workers since 1992 led to the development of promising resistant </w:t>
      </w:r>
      <w:r>
        <w:rPr>
          <w:rFonts w:ascii="Calibri" w:hAnsi="Calibri" w:eastAsia="Calibri" w:cs="Calibri"/>
          <w:i/>
          <w:iCs/>
          <w:color w:val="000000"/>
          <w:sz w:val="22"/>
          <w:szCs w:val="22"/>
        </w:rPr>
        <w:t xml:space="preserve">Malus sieboldii</w:t>
      </w:r>
      <w:r>
        <w:rPr>
          <w:rFonts w:ascii="Calibri" w:hAnsi="Calibri" w:eastAsia="Calibri" w:cs="Calibri"/>
          <w:color w:val="000000"/>
          <w:sz w:val="22"/>
          <w:szCs w:val="22"/>
        </w:rPr>
        <w:t xml:space="preserve"> rootstocks (Seemüller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However, despite all efforts no apple variety was found that confers full resistance (i.e. that it cannot be infected) against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(Janik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Apple trees are among the most economically important fruit crops in the EPPO region. Further spread of the disease could lead to considerable yield losses throughout the European and Mediterranean apple cultivation areas.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should come from a place of production found to be free from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during the previous growing season. Guidance on how to inspect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varieties and rootstocks at places which are producing plants for planting is given in the EPPO Standard PM 3/76 (EPPO, 2021). From countries where the disease occurs, the plants must additionally be no further than the second generation from the mother plant and must be tested by an EPPO-approved method (EPPO, 2020). The EPPO certification scheme for </w:t>
      </w:r>
      <w:r>
        <w:rPr>
          <w:rFonts w:ascii="Calibri" w:hAnsi="Calibri" w:eastAsia="Calibri" w:cs="Calibri"/>
          <w:i/>
          <w:iCs/>
          <w:color w:val="000000"/>
          <w:sz w:val="22"/>
          <w:szCs w:val="22"/>
        </w:rPr>
        <w:t xml:space="preserve">Malus, Pyrus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(EPPO, 1999) covers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mali' and should give a high security for phytoplasma-free planting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Carraro L, Ferrini F, Ermacora P &amp; Loi N (2008) Infectivity of </w:t>
      </w:r>
      <w:r>
        <w:rPr>
          <w:rFonts w:ascii="Calibri" w:hAnsi="Calibri" w:eastAsia="Calibri" w:cs="Calibri"/>
          <w:i/>
          <w:iCs/>
          <w:color w:val="000000"/>
          <w:sz w:val="22"/>
          <w:szCs w:val="22"/>
        </w:rPr>
        <w:t xml:space="preserve">Cacopsylla picta </w:t>
      </w:r>
      <w:r>
        <w:rPr>
          <w:rFonts w:ascii="Calibri" w:hAnsi="Calibri" w:eastAsia="Calibri" w:cs="Calibri"/>
          <w:color w:val="000000"/>
          <w:sz w:val="22"/>
          <w:szCs w:val="22"/>
        </w:rPr>
        <w:t xml:space="preserve">(Syn. </w:t>
      </w:r>
      <w:r>
        <w:rPr>
          <w:rFonts w:ascii="Calibri" w:hAnsi="Calibri" w:eastAsia="Calibri" w:cs="Calibri"/>
          <w:i/>
          <w:iCs/>
          <w:color w:val="000000"/>
          <w:sz w:val="22"/>
          <w:szCs w:val="22"/>
        </w:rPr>
        <w:t xml:space="preserve">Cacopsylla costalis</w:t>
      </w:r>
      <w:r>
        <w:rPr>
          <w:rFonts w:ascii="Calibri" w:hAnsi="Calibri" w:eastAsia="Calibri" w:cs="Calibri"/>
          <w:color w:val="000000"/>
          <w:sz w:val="22"/>
          <w:szCs w:val="22"/>
        </w:rPr>
        <w:t xml:space="preserve">), vector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mali' in North East Italy.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781</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403-408.</w:t>
      </w:r>
    </w:p>
    <w:p>
      <w:pPr>
        <w:widowControl w:val="on"/>
        <w:pBdr/>
        <w:spacing w:before="220" w:after="220" w:line="240" w:lineRule="auto"/>
        <w:ind w:left="0" w:right="0"/>
        <w:jc w:val="left"/>
      </w:pPr>
      <w:r>
        <w:rPr>
          <w:rFonts w:ascii="Calibri" w:hAnsi="Calibri" w:eastAsia="Calibri" w:cs="Calibri"/>
          <w:color w:val="000000"/>
          <w:sz w:val="22"/>
          <w:szCs w:val="22"/>
        </w:rPr>
        <w:t xml:space="preserve">Čermák V &amp; Lauterer P (2008) Overwintering of psyllids in South Moravia (Czech Republic) with respect to the vectors of the apple proliferation cluster phytoplasmas. </w:t>
      </w:r>
      <w:r>
        <w:rPr>
          <w:rFonts w:ascii="Calibri" w:hAnsi="Calibri" w:eastAsia="Calibri" w:cs="Calibri"/>
          <w:i/>
          <w:iCs/>
          <w:color w:val="000000"/>
          <w:sz w:val="22"/>
          <w:szCs w:val="22"/>
        </w:rPr>
        <w:t xml:space="preserve">Bulletin of Insectology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147-148.</w:t>
      </w:r>
    </w:p>
    <w:p>
      <w:pPr>
        <w:widowControl w:val="on"/>
        <w:pBdr/>
        <w:spacing w:before="220" w:after="220" w:line="240" w:lineRule="auto"/>
        <w:ind w:left="0" w:right="0"/>
        <w:jc w:val="left"/>
      </w:pPr>
      <w:r>
        <w:rPr>
          <w:rFonts w:ascii="Calibri" w:hAnsi="Calibri" w:eastAsia="Calibri" w:cs="Calibri"/>
          <w:color w:val="000000"/>
          <w:sz w:val="22"/>
          <w:szCs w:val="22"/>
        </w:rPr>
        <w:t xml:space="preserve">Christensen NM, Nicolaisen M, Hansen M &amp; Schulz A (2004) Distribution of phytoplasmas in infected plants as revealed by realtime PCR and bioimaging. </w:t>
      </w:r>
      <w:r>
        <w:rPr>
          <w:rFonts w:ascii="Calibri" w:hAnsi="Calibri" w:eastAsia="Calibri" w:cs="Calibri"/>
          <w:i/>
          <w:iCs/>
          <w:color w:val="000000"/>
          <w:sz w:val="22"/>
          <w:szCs w:val="22"/>
        </w:rPr>
        <w:t xml:space="preserve">Molecular Plant-Microbe Interactions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1175–1184.</w:t>
      </w:r>
    </w:p>
    <w:p>
      <w:pPr>
        <w:widowControl w:val="on"/>
        <w:pBdr/>
        <w:spacing w:before="220" w:after="220" w:line="240" w:lineRule="auto"/>
        <w:ind w:left="0" w:right="0"/>
        <w:jc w:val="left"/>
      </w:pPr>
      <w:r>
        <w:rPr>
          <w:rFonts w:ascii="Calibri" w:hAnsi="Calibri" w:eastAsia="Calibri" w:cs="Calibri"/>
          <w:color w:val="000000"/>
          <w:sz w:val="22"/>
          <w:szCs w:val="22"/>
        </w:rPr>
        <w:t xml:space="preserve">De Jonghe K, De Roo I &amp; Maes I (2017) Fast and sensitive on-site isothermal assay (LAMP) for diagnosis and detection of three fruit tree phytoplasmas.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 749-759.</w:t>
      </w:r>
    </w:p>
    <w:p>
      <w:pPr>
        <w:widowControl w:val="on"/>
        <w:pBdr/>
        <w:spacing w:before="220" w:after="220" w:line="240" w:lineRule="auto"/>
        <w:ind w:left="0" w:right="0"/>
        <w:jc w:val="left"/>
      </w:pPr>
      <w:r>
        <w:rPr>
          <w:rFonts w:ascii="Calibri" w:hAnsi="Calibri" w:eastAsia="Calibri" w:cs="Calibri"/>
          <w:color w:val="000000"/>
          <w:sz w:val="22"/>
          <w:szCs w:val="22"/>
        </w:rPr>
        <w:t xml:space="preserve">Ducrocquet JP, Dosba F, Lansac M &amp; Mazy K (1986) Effect of temperature on symptom expression of apple proliferation. </w:t>
      </w:r>
      <w:r>
        <w:rPr>
          <w:rFonts w:ascii="Calibri" w:hAnsi="Calibri" w:eastAsia="Calibri" w:cs="Calibri"/>
          <w:i/>
          <w:iCs/>
          <w:color w:val="000000"/>
          <w:sz w:val="22"/>
          <w:szCs w:val="22"/>
        </w:rPr>
        <w:t xml:space="preserve">Agronomie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897-903.</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Certification schemes. Pathogen-tested material of </w:t>
      </w:r>
      <w:r>
        <w:rPr>
          <w:rFonts w:ascii="Calibri" w:hAnsi="Calibri" w:eastAsia="Calibri" w:cs="Calibri"/>
          <w:i/>
          <w:iCs/>
          <w:color w:val="000000"/>
          <w:sz w:val="22"/>
          <w:szCs w:val="22"/>
        </w:rPr>
        <w:t xml:space="preserve">Malu</w:t>
      </w:r>
      <w:r>
        <w:rPr>
          <w:rFonts w:ascii="Calibri" w:hAnsi="Calibri" w:eastAsia="Calibri" w:cs="Calibri"/>
          <w:color w:val="000000"/>
          <w:sz w:val="22"/>
          <w:szCs w:val="22"/>
        </w:rPr>
        <w:t xml:space="preserve">s,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Cydonia. EPPO Bulletin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239-252.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Diagnostics PM 7/62 (3)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mali’,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pyri’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prunorum’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69–85. </w:t>
      </w:r>
      <w:hyperlink r:id="rId87086ab0a9b9b7ec0" w:history="1">
        <w:r>
          <w:rPr>
            <w:rFonts w:ascii="Calibri" w:hAnsi="Calibri" w:eastAsia="Calibri" w:cs="Calibri"/>
            <w:color w:val="0000CC"/>
            <w:sz w:val="22"/>
            <w:szCs w:val="22"/>
            <w:u w:val="single"/>
          </w:rPr>
          <w:t xml:space="preserve">https://doi.org/10.1111/epp.12612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Standard-phytosanitary procedures. PM 3/76 (2) Trees of </w:t>
      </w:r>
      <w:r>
        <w:rPr>
          <w:rFonts w:ascii="Calibri" w:hAnsi="Calibri" w:eastAsia="Calibri" w:cs="Calibri"/>
          <w:i/>
          <w:iCs/>
          <w:color w:val="000000"/>
          <w:sz w:val="22"/>
          <w:szCs w:val="22"/>
        </w:rPr>
        <w:t xml:space="preserve">Malus, Pyrus, Cydonia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Prunus</w:t>
      </w:r>
      <w:r>
        <w:rPr>
          <w:rFonts w:ascii="Calibri" w:hAnsi="Calibri" w:eastAsia="Calibri" w:cs="Calibri"/>
          <w:color w:val="000000"/>
          <w:sz w:val="22"/>
          <w:szCs w:val="22"/>
        </w:rPr>
        <w:t xml:space="preserve"> spp.: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354–386. </w:t>
      </w:r>
      <w:hyperlink r:id="rId83756ab0a9b9b7f88" w:history="1">
        <w:r>
          <w:rPr>
            <w:rFonts w:ascii="Calibri" w:hAnsi="Calibri" w:eastAsia="Calibri" w:cs="Calibri"/>
            <w:color w:val="0000CC"/>
            <w:sz w:val="22"/>
            <w:szCs w:val="22"/>
            <w:u w:val="single"/>
          </w:rPr>
          <w:t xml:space="preserve">https://doi.org/10.1111/epp.12771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Fránová J (2005) The occurrence of phytoplasmas in apple trees showing branch twisting.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384–388. </w:t>
      </w:r>
      <w:hyperlink r:id="rId58316ab0a9b9b7ffd" w:history="1">
        <w:r>
          <w:rPr>
            <w:rFonts w:ascii="Calibri" w:hAnsi="Calibri" w:eastAsia="Calibri" w:cs="Calibri"/>
            <w:color w:val="0000CC"/>
            <w:sz w:val="22"/>
            <w:szCs w:val="22"/>
            <w:u w:val="single"/>
          </w:rPr>
          <w:t xml:space="preserve">https://doi.org/10.1111/j.1439-0434.2005.00988.x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Hodgetts J, Boonham N, Mumford R &amp; Dickinson M (2009) Panel of 23S rRNA gene-based real-time PCR assays for improved universal and group-specific detection of phytoplasmas. </w:t>
      </w:r>
      <w:r>
        <w:rPr>
          <w:rFonts w:ascii="Calibri" w:hAnsi="Calibri" w:eastAsia="Calibri" w:cs="Calibri"/>
          <w:i/>
          <w:iCs/>
          <w:color w:val="000000"/>
          <w:sz w:val="22"/>
          <w:szCs w:val="22"/>
        </w:rPr>
        <w:t xml:space="preserve">Applied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2945–2950.</w:t>
      </w:r>
    </w:p>
    <w:p>
      <w:pPr>
        <w:widowControl w:val="on"/>
        <w:pBdr/>
        <w:spacing w:before="220" w:after="220" w:line="240" w:lineRule="auto"/>
        <w:ind w:left="0" w:right="0"/>
        <w:jc w:val="left"/>
      </w:pPr>
      <w:r>
        <w:rPr>
          <w:rFonts w:ascii="Calibri" w:hAnsi="Calibri" w:eastAsia="Calibri" w:cs="Calibri"/>
          <w:color w:val="000000"/>
          <w:sz w:val="22"/>
          <w:szCs w:val="22"/>
        </w:rPr>
        <w:t xml:space="preserve">Janik K, Barthel D, Oppedisano T &amp; G Anfora G (2020) Apple proliferation. A joint review. Fondazione Edmund Mach, Laimburg 94 pp.</w:t>
      </w:r>
    </w:p>
    <w:p>
      <w:pPr>
        <w:widowControl w:val="on"/>
        <w:pBdr/>
        <w:spacing w:before="220" w:after="220" w:line="240" w:lineRule="auto"/>
        <w:ind w:left="0" w:right="0"/>
        <w:jc w:val="left"/>
      </w:pPr>
      <w:r>
        <w:rPr>
          <w:rFonts w:ascii="Calibri" w:hAnsi="Calibri" w:eastAsia="Calibri" w:cs="Calibri"/>
          <w:color w:val="000000"/>
          <w:sz w:val="22"/>
          <w:szCs w:val="22"/>
        </w:rPr>
        <w:t xml:space="preserve">Jarausch B, Schwind N, Fuchs A &amp; Jarausch W (2011) Characteristics of the spread of apple proliferation by its vector </w:t>
      </w:r>
      <w:r>
        <w:rPr>
          <w:rFonts w:ascii="Calibri" w:hAnsi="Calibri" w:eastAsia="Calibri" w:cs="Calibri"/>
          <w:i/>
          <w:iCs/>
          <w:color w:val="000000"/>
          <w:sz w:val="22"/>
          <w:szCs w:val="22"/>
        </w:rPr>
        <w:t xml:space="preserve">Cacopsylla picta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1471-1480.</w:t>
      </w:r>
    </w:p>
    <w:p>
      <w:pPr>
        <w:widowControl w:val="on"/>
        <w:pBdr/>
        <w:spacing w:before="220" w:after="220" w:line="240" w:lineRule="auto"/>
        <w:ind w:left="0" w:right="0"/>
        <w:jc w:val="left"/>
      </w:pPr>
      <w:r>
        <w:rPr>
          <w:rFonts w:ascii="Calibri" w:hAnsi="Calibri" w:eastAsia="Calibri" w:cs="Calibri"/>
          <w:color w:val="000000"/>
          <w:sz w:val="22"/>
          <w:szCs w:val="22"/>
        </w:rPr>
        <w:t xml:space="preserve">Jarausch W &amp; Torres E (2014) Management of phytoplasma-associated diseases. In: Bertaccini A (Ed.) Phytoplasmas and phytoplasma disease management: how to reduce their economic impact. Bologna: IPWG-International Phytoplasmologist Working Group, 199-208.</w:t>
      </w:r>
    </w:p>
    <w:p>
      <w:pPr>
        <w:widowControl w:val="on"/>
        <w:pBdr/>
        <w:spacing w:before="220" w:after="220" w:line="240" w:lineRule="auto"/>
        <w:ind w:left="0" w:right="0"/>
        <w:jc w:val="left"/>
      </w:pPr>
      <w:r>
        <w:rPr>
          <w:rFonts w:ascii="Calibri" w:hAnsi="Calibri" w:eastAsia="Calibri" w:cs="Calibri"/>
          <w:color w:val="000000"/>
          <w:sz w:val="22"/>
          <w:szCs w:val="22"/>
        </w:rPr>
        <w:t xml:space="preserve">Lauterer P (1999) Results of the investigations on Hemiptera in Moravia, made by the Moravian museum (Psylloidea). </w:t>
      </w:r>
      <w:r>
        <w:rPr>
          <w:rFonts w:ascii="Calibri" w:hAnsi="Calibri" w:eastAsia="Calibri" w:cs="Calibri"/>
          <w:i/>
          <w:iCs/>
          <w:color w:val="000000"/>
          <w:sz w:val="22"/>
          <w:szCs w:val="22"/>
        </w:rPr>
        <w:t xml:space="preserve">Acta Musei Moraviae, Scientiae biologicae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71-151.</w:t>
      </w:r>
    </w:p>
    <w:p>
      <w:pPr>
        <w:widowControl w:val="on"/>
        <w:pBdr/>
        <w:spacing w:before="220" w:after="220" w:line="240" w:lineRule="auto"/>
        <w:ind w:left="0" w:right="0"/>
        <w:jc w:val="left"/>
      </w:pPr>
      <w:r>
        <w:rPr>
          <w:rFonts w:ascii="Calibri" w:hAnsi="Calibri" w:eastAsia="Calibri" w:cs="Calibri"/>
          <w:color w:val="000000"/>
          <w:sz w:val="22"/>
          <w:szCs w:val="22"/>
        </w:rPr>
        <w:t xml:space="preserve">Lorenz KH, Schneider B, Ahrens U &amp; Seemüller E (1995) Detection of the apple proliferation and pear decline phytoplasmas by PCR amplification of ribosomal and nonribosomal DNA.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771-776.</w:t>
      </w:r>
    </w:p>
    <w:p>
      <w:pPr>
        <w:widowControl w:val="on"/>
        <w:pBdr/>
        <w:spacing w:before="220" w:after="220" w:line="240" w:lineRule="auto"/>
        <w:ind w:left="0" w:right="0"/>
        <w:jc w:val="left"/>
      </w:pPr>
      <w:r>
        <w:rPr>
          <w:rFonts w:ascii="Calibri" w:hAnsi="Calibri" w:eastAsia="Calibri" w:cs="Calibri"/>
          <w:color w:val="000000"/>
          <w:sz w:val="22"/>
          <w:szCs w:val="22"/>
        </w:rPr>
        <w:t xml:space="preserve">Mattedi L, Forno F, Cainelli C, Grando MS &amp; Jarausch W (2008) Research on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mali' transmission by insect vectors in Trentino.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781</w:t>
      </w:r>
      <w:r>
        <w:rPr>
          <w:rFonts w:ascii="Calibri" w:hAnsi="Calibri" w:eastAsia="Calibri" w:cs="Calibri"/>
          <w:color w:val="000000"/>
          <w:sz w:val="22"/>
          <w:szCs w:val="22"/>
        </w:rPr>
        <w:t xml:space="preserve">, 369-374.</w:t>
      </w:r>
    </w:p>
    <w:p>
      <w:pPr>
        <w:widowControl w:val="on"/>
        <w:pBdr/>
        <w:spacing w:before="220" w:after="220" w:line="240" w:lineRule="auto"/>
        <w:ind w:left="0" w:right="0"/>
        <w:jc w:val="left"/>
      </w:pPr>
      <w:r>
        <w:rPr>
          <w:rFonts w:ascii="Calibri" w:hAnsi="Calibri" w:eastAsia="Calibri" w:cs="Calibri"/>
          <w:color w:val="000000"/>
          <w:sz w:val="22"/>
          <w:szCs w:val="22"/>
        </w:rPr>
        <w:t xml:space="preserve">Mittelberger C, Obkircher L, Oettl S, Oppedisano T, Pedrazzoli F, Panassiti B, Kerschbamer C, Anfora G &amp; Janik K (2017) The insect vector </w:t>
      </w:r>
      <w:r>
        <w:rPr>
          <w:rFonts w:ascii="Calibri" w:hAnsi="Calibri" w:eastAsia="Calibri" w:cs="Calibri"/>
          <w:i/>
          <w:iCs/>
          <w:color w:val="000000"/>
          <w:sz w:val="22"/>
          <w:szCs w:val="22"/>
        </w:rPr>
        <w:t xml:space="preserve">Cacopsylla picta </w:t>
      </w:r>
      <w:r>
        <w:rPr>
          <w:rFonts w:ascii="Calibri" w:hAnsi="Calibri" w:eastAsia="Calibri" w:cs="Calibri"/>
          <w:color w:val="000000"/>
          <w:sz w:val="22"/>
          <w:szCs w:val="22"/>
        </w:rPr>
        <w:t xml:space="preserve">vertically transmits the bacterium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mali' to its progeny.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1015-1021.</w:t>
      </w:r>
    </w:p>
    <w:p>
      <w:pPr>
        <w:widowControl w:val="on"/>
        <w:pBdr/>
        <w:spacing w:before="220" w:after="220" w:line="240" w:lineRule="auto"/>
        <w:ind w:left="0" w:right="0"/>
        <w:jc w:val="left"/>
      </w:pPr>
      <w:r>
        <w:rPr>
          <w:rFonts w:ascii="Calibri" w:hAnsi="Calibri" w:eastAsia="Calibri" w:cs="Calibri"/>
          <w:color w:val="000000"/>
          <w:sz w:val="22"/>
          <w:szCs w:val="22"/>
        </w:rPr>
        <w:t xml:space="preserve">Oppedisano T, Panassiti B, Pedrazzoli F, Mittelberger C, Bianchedi PL, Angeli G, De Cristofaro A, Janik K, Anfora G &amp; Ioriatti C (2019) Importance of psyllids’ life stage in the epidemiology of apple proliferation phytoplasma.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49-61.</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Schaper U &amp; Zimbelmann F (1984) Seasonal variation in the colonization patterns of mycoplasma-like organisms associated with apple proliferation and pear decline. </w:t>
      </w:r>
      <w:r>
        <w:rPr>
          <w:rFonts w:ascii="Calibri" w:hAnsi="Calibri" w:eastAsia="Calibri" w:cs="Calibri"/>
          <w:i/>
          <w:iCs/>
          <w:color w:val="000000"/>
          <w:sz w:val="22"/>
          <w:szCs w:val="22"/>
        </w:rPr>
        <w:t xml:space="preserve">Zeitschrift für Pflanzenkrankheiten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371-382.</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&amp; Schneider B (2004)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mali',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pyri'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prunorum', the causal agents of apple proliferation, pear decline and European stone fruit yellows, respectively.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1217-1226. </w:t>
      </w:r>
      <w:hyperlink r:id="rId34956ab0a9b9b8475" w:history="1">
        <w:r>
          <w:rPr>
            <w:rFonts w:ascii="Calibri" w:hAnsi="Calibri" w:eastAsia="Calibri" w:cs="Calibri"/>
            <w:color w:val="0000CC"/>
            <w:sz w:val="22"/>
            <w:szCs w:val="22"/>
            <w:u w:val="single"/>
          </w:rPr>
          <w:t xml:space="preserve">https://doi.org/10.1099/ijs.0.02823-0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Carraro L, Jarausch W. &amp; Schneider B (2011) Apple proliferation phytoplasma. In: Hadidi A. Barba M. Candresse T. Jelkmann W. (Eds): Virus and Virus-like Diseases of Pome and Stone Fruits: The American Phytopathological Society, 67-73.</w:t>
      </w:r>
    </w:p>
    <w:p>
      <w:pPr>
        <w:widowControl w:val="on"/>
        <w:pBdr/>
        <w:spacing w:before="220" w:after="220" w:line="240" w:lineRule="auto"/>
        <w:ind w:left="0" w:right="0"/>
        <w:jc w:val="left"/>
      </w:pPr>
      <w:r>
        <w:rPr>
          <w:rFonts w:ascii="Calibri" w:hAnsi="Calibri" w:eastAsia="Calibri" w:cs="Calibri"/>
          <w:color w:val="000000"/>
          <w:sz w:val="22"/>
          <w:szCs w:val="22"/>
        </w:rPr>
        <w:t xml:space="preserve">Seemüller E, Gallinger J, Jelkmann W &amp; Jarausch W (2018) Inheritance of apple proliferation resistance by parental lines of apomictic </w:t>
      </w:r>
      <w:r>
        <w:rPr>
          <w:rFonts w:ascii="Calibri" w:hAnsi="Calibri" w:eastAsia="Calibri" w:cs="Calibri"/>
          <w:i/>
          <w:iCs/>
          <w:color w:val="000000"/>
          <w:sz w:val="22"/>
          <w:szCs w:val="22"/>
        </w:rPr>
        <w:t xml:space="preserve">Malus sieboldii</w:t>
      </w:r>
      <w:r>
        <w:rPr>
          <w:rFonts w:ascii="Calibri" w:hAnsi="Calibri" w:eastAsia="Calibri" w:cs="Calibri"/>
          <w:color w:val="000000"/>
          <w:sz w:val="22"/>
          <w:szCs w:val="22"/>
        </w:rPr>
        <w:t xml:space="preserve"> as donor of resistance in rootstock breeding.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767-779.</w:t>
      </w:r>
    </w:p>
    <w:p>
      <w:pPr>
        <w:widowControl w:val="on"/>
        <w:pBdr/>
        <w:spacing w:before="220" w:after="220" w:line="240" w:lineRule="auto"/>
        <w:ind w:left="0" w:right="0"/>
        <w:jc w:val="left"/>
      </w:pPr>
      <w:r>
        <w:rPr>
          <w:rFonts w:ascii="Calibri" w:hAnsi="Calibri" w:eastAsia="Calibri" w:cs="Calibri"/>
          <w:color w:val="000000"/>
          <w:sz w:val="22"/>
          <w:szCs w:val="22"/>
        </w:rPr>
        <w:t xml:space="preserve">Seidl V &amp; Komarkova V (1974) Studies on natural spread of proliferation disease of apple. </w:t>
      </w:r>
      <w:r>
        <w:rPr>
          <w:rFonts w:ascii="Calibri" w:hAnsi="Calibri" w:eastAsia="Calibri" w:cs="Calibri"/>
          <w:i/>
          <w:iCs/>
          <w:color w:val="000000"/>
          <w:sz w:val="22"/>
          <w:szCs w:val="22"/>
        </w:rPr>
        <w:t xml:space="preserve">Phytopathologische Zeitschrift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301-313.</w:t>
      </w:r>
    </w:p>
    <w:p>
      <w:pPr>
        <w:widowControl w:val="on"/>
        <w:pBdr/>
        <w:spacing w:before="220" w:after="220" w:line="240" w:lineRule="auto"/>
        <w:ind w:left="0" w:right="0"/>
        <w:jc w:val="left"/>
      </w:pPr>
      <w:r>
        <w:rPr>
          <w:rFonts w:ascii="Calibri" w:hAnsi="Calibri" w:eastAsia="Calibri" w:cs="Calibri"/>
          <w:color w:val="000000"/>
          <w:sz w:val="22"/>
          <w:szCs w:val="22"/>
        </w:rPr>
        <w:t xml:space="preserve">Strauss E (2009) Microbiology. Phytoplasma research begins to bloom. </w:t>
      </w:r>
      <w:r>
        <w:rPr>
          <w:rFonts w:ascii="Calibri" w:hAnsi="Calibri" w:eastAsia="Calibri" w:cs="Calibri"/>
          <w:i/>
          <w:iCs/>
          <w:color w:val="000000"/>
          <w:sz w:val="22"/>
          <w:szCs w:val="22"/>
        </w:rPr>
        <w:t xml:space="preserve">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325</w:t>
      </w:r>
      <w:r>
        <w:rPr>
          <w:rFonts w:ascii="Calibri" w:hAnsi="Calibri" w:eastAsia="Calibri" w:cs="Calibri"/>
          <w:color w:val="000000"/>
          <w:sz w:val="22"/>
          <w:szCs w:val="22"/>
        </w:rPr>
        <w:t xml:space="preserve">, 388-390.</w:t>
      </w:r>
    </w:p>
    <w:p>
      <w:pPr>
        <w:widowControl w:val="on"/>
        <w:pBdr/>
        <w:spacing w:before="220" w:after="220" w:line="240" w:lineRule="auto"/>
        <w:ind w:left="0" w:right="0"/>
        <w:jc w:val="left"/>
      </w:pPr>
      <w:r>
        <w:rPr>
          <w:rFonts w:ascii="Calibri" w:hAnsi="Calibri" w:eastAsia="Calibri" w:cs="Calibri"/>
          <w:color w:val="000000"/>
          <w:sz w:val="22"/>
          <w:szCs w:val="22"/>
        </w:rPr>
        <w:t xml:space="preserve">Tedeschi R &amp; Alma A (2006) </w:t>
      </w:r>
      <w:r>
        <w:rPr>
          <w:rFonts w:ascii="Calibri" w:hAnsi="Calibri" w:eastAsia="Calibri" w:cs="Calibri"/>
          <w:i/>
          <w:iCs/>
          <w:color w:val="000000"/>
          <w:sz w:val="22"/>
          <w:szCs w:val="22"/>
        </w:rPr>
        <w:t xml:space="preserve">Fieberiella florii </w:t>
      </w:r>
      <w:r>
        <w:rPr>
          <w:rFonts w:ascii="Calibri" w:hAnsi="Calibri" w:eastAsia="Calibri" w:cs="Calibri"/>
          <w:color w:val="000000"/>
          <w:sz w:val="22"/>
          <w:szCs w:val="22"/>
        </w:rPr>
        <w:t xml:space="preserve">(Homoptera: Auchenorrhyncha) as a vector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mali'.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284-290.</w:t>
      </w:r>
    </w:p>
    <w:p>
      <w:pPr>
        <w:widowControl w:val="on"/>
        <w:pBdr/>
        <w:spacing w:before="220" w:after="220" w:line="240" w:lineRule="auto"/>
        <w:ind w:left="0" w:right="0"/>
        <w:jc w:val="left"/>
      </w:pPr>
      <w:r>
        <w:rPr>
          <w:rFonts w:ascii="Calibri" w:hAnsi="Calibri" w:eastAsia="Calibri" w:cs="Calibri"/>
          <w:color w:val="000000"/>
          <w:sz w:val="22"/>
          <w:szCs w:val="22"/>
        </w:rPr>
        <w:t xml:space="preserve">Tedeschi R &amp; Alma A (2007)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mali': the current situation of insect vectors in northwestern Italy. </w:t>
      </w:r>
      <w:r>
        <w:rPr>
          <w:rFonts w:ascii="Calibri" w:hAnsi="Calibri" w:eastAsia="Calibri" w:cs="Calibri"/>
          <w:i/>
          <w:iCs/>
          <w:color w:val="000000"/>
          <w:sz w:val="22"/>
          <w:szCs w:val="22"/>
        </w:rPr>
        <w:t xml:space="preserve">Bulletin of Insectology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187-188.</w:t>
      </w:r>
    </w:p>
    <w:p>
      <w:pPr>
        <w:widowControl w:val="on"/>
        <w:pBdr/>
        <w:spacing w:before="220" w:after="220" w:line="240" w:lineRule="auto"/>
        <w:ind w:left="0" w:right="0"/>
        <w:jc w:val="left"/>
      </w:pPr>
      <w:r>
        <w:rPr>
          <w:rFonts w:ascii="Calibri" w:hAnsi="Calibri" w:eastAsia="Calibri" w:cs="Calibri"/>
          <w:color w:val="000000"/>
          <w:sz w:val="22"/>
          <w:szCs w:val="22"/>
        </w:rPr>
        <w:t xml:space="preserve">Tedeschi R, Baldessari M, Mazzoni V, Trona F &amp; Angeli G (2012) Population dynamics of </w:t>
      </w:r>
      <w:r>
        <w:rPr>
          <w:rFonts w:ascii="Calibri" w:hAnsi="Calibri" w:eastAsia="Calibri" w:cs="Calibri"/>
          <w:i/>
          <w:iCs/>
          <w:color w:val="000000"/>
          <w:sz w:val="22"/>
          <w:szCs w:val="22"/>
        </w:rPr>
        <w:t xml:space="preserve">Cacopsylla melanoneura</w:t>
      </w:r>
      <w:r>
        <w:rPr>
          <w:rFonts w:ascii="Calibri" w:hAnsi="Calibri" w:eastAsia="Calibri" w:cs="Calibri"/>
          <w:color w:val="000000"/>
          <w:sz w:val="22"/>
          <w:szCs w:val="22"/>
        </w:rPr>
        <w:t xml:space="preserve"> (Hemiptera: Psyllidae) in northeast Italy and its role in the apple proliferation epidemiology in apple orchards.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322-328.</w:t>
      </w:r>
    </w:p>
    <w:p>
      <w:pPr>
        <w:widowControl w:val="on"/>
        <w:pBdr/>
        <w:spacing w:before="220" w:after="220" w:line="240" w:lineRule="auto"/>
        <w:ind w:left="0" w:right="0"/>
        <w:jc w:val="left"/>
      </w:pPr>
      <w:r>
        <w:rPr>
          <w:rFonts w:ascii="Calibri" w:hAnsi="Calibri" w:eastAsia="Calibri" w:cs="Calibri"/>
          <w:color w:val="000000"/>
          <w:sz w:val="22"/>
          <w:szCs w:val="22"/>
        </w:rPr>
        <w:t xml:space="preserve">Weintraub PG &amp; Beanland L (2006) Insect vectors of phytoplasmas.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91-111.</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Compendium on Phytoplasma mali (apple proliferation) 2021 </w:t>
      </w:r>
      <w:hyperlink r:id="rId82936ab0a9b9b8847" w:history="1">
        <w:r>
          <w:rPr>
            <w:rFonts w:ascii="Calibri" w:hAnsi="Calibri" w:eastAsia="Calibri" w:cs="Calibri"/>
            <w:color w:val="0000CC"/>
            <w:sz w:val="22"/>
            <w:szCs w:val="22"/>
            <w:u w:val="single"/>
          </w:rPr>
          <w:t xml:space="preserve">https://doi.org/10.1079/cabicompendium.6502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Suffert M (2019) Evaluation of the Regulated non-quarantine pest (RNQP) status for </w:t>
      </w:r>
      <w:r>
        <w:rPr>
          <w:rFonts w:ascii="Calibri" w:hAnsi="Calibri" w:eastAsia="Calibri" w:cs="Calibri"/>
          <w:i/>
          <w:iCs/>
          <w:color w:val="000000"/>
          <w:sz w:val="22"/>
          <w:szCs w:val="22"/>
        </w:rPr>
        <w:t xml:space="preserve">Phytoplasma mali</w:t>
      </w:r>
      <w:r>
        <w:rPr>
          <w:rFonts w:ascii="Calibri" w:hAnsi="Calibri" w:eastAsia="Calibri" w:cs="Calibri"/>
          <w:color w:val="000000"/>
          <w:sz w:val="22"/>
          <w:szCs w:val="22"/>
        </w:rPr>
        <w:t xml:space="preserve"> </w:t>
      </w:r>
      <w:hyperlink r:id="rId61236ab0a9b9b88b3" w:history="1">
        <w:r>
          <w:rPr>
            <w:rFonts w:ascii="Calibri" w:hAnsi="Calibri" w:eastAsia="Calibri" w:cs="Calibri"/>
            <w:color w:val="0000CC"/>
            <w:sz w:val="22"/>
            <w:szCs w:val="22"/>
            <w:u w:val="single"/>
          </w:rPr>
          <w:t xml:space="preserve">https://pra.eppo.int/pra/ef9c311c-7449-4a40-a9d5-d980e324ffb6</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2024 by Josef Špak, Biology Centre of the Czech Academy of Sciences, supported by the program Strategy AV 21.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Phytoplasma mali'</w:t>
      </w:r>
      <w:r>
        <w:rPr>
          <w:rFonts w:ascii="Calibri" w:hAnsi="Calibri" w:eastAsia="Calibri" w:cs="Calibri"/>
          <w:color w:val="000000"/>
          <w:sz w:val="22"/>
          <w:szCs w:val="22"/>
        </w:rPr>
        <w:t xml:space="preserve">. EPPO datasheets on pests recommended for regulation. Available online. </w:t>
      </w:r>
      <w:hyperlink r:id="rId38486ab0a9b9b899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Data sheets on quarantine organisms No. 87, Apple proliferation MLO.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76-81. </w:t>
      </w:r>
      <w:hyperlink r:id="rId88886ab0a9b9b8a6b" w:history="1">
        <w:r>
          <w:rPr>
            <w:rFonts w:ascii="Calibri" w:hAnsi="Calibri" w:eastAsia="Calibri" w:cs="Calibri"/>
            <w:color w:val="0000CC"/>
            <w:sz w:val="22"/>
            <w:szCs w:val="22"/>
            <w:u w:val="single"/>
          </w:rPr>
          <w:t xml:space="preserve">https://onlinelibrary.wiley.com/doi/epdf/10.1111/j.1365-2338.1978.tb02775.x</w:t>
        </w:r>
      </w:hyperlink>
    </w:p>
    <w:p>
      <w:r>
        <w:drawing>
          <wp:inline distT="0" distB="0" distL="0" distR="0">
            <wp:extent cx="1800000" cy="604800"/>
            <wp:docPr id="61178432" name="name82946ab0a9b9b8af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1136ab0a9b9b8af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03523">
    <w:multiLevelType w:val="hybridMultilevel"/>
    <w:lvl w:ilvl="0" w:tplc="39670558">
      <w:start w:val="1"/>
      <w:numFmt w:val="decimal"/>
      <w:lvlText w:val="%1."/>
      <w:lvlJc w:val="left"/>
      <w:pPr>
        <w:ind w:left="720" w:hanging="360"/>
      </w:pPr>
    </w:lvl>
    <w:lvl w:ilvl="1" w:tplc="39670558" w:tentative="1">
      <w:start w:val="1"/>
      <w:numFmt w:val="lowerLetter"/>
      <w:lvlText w:val="%2."/>
      <w:lvlJc w:val="left"/>
      <w:pPr>
        <w:ind w:left="1440" w:hanging="360"/>
      </w:pPr>
    </w:lvl>
    <w:lvl w:ilvl="2" w:tplc="39670558" w:tentative="1">
      <w:start w:val="1"/>
      <w:numFmt w:val="lowerRoman"/>
      <w:lvlText w:val="%3."/>
      <w:lvlJc w:val="right"/>
      <w:pPr>
        <w:ind w:left="2160" w:hanging="180"/>
      </w:pPr>
    </w:lvl>
    <w:lvl w:ilvl="3" w:tplc="39670558" w:tentative="1">
      <w:start w:val="1"/>
      <w:numFmt w:val="decimal"/>
      <w:lvlText w:val="%4."/>
      <w:lvlJc w:val="left"/>
      <w:pPr>
        <w:ind w:left="2880" w:hanging="360"/>
      </w:pPr>
    </w:lvl>
    <w:lvl w:ilvl="4" w:tplc="39670558" w:tentative="1">
      <w:start w:val="1"/>
      <w:numFmt w:val="lowerLetter"/>
      <w:lvlText w:val="%5."/>
      <w:lvlJc w:val="left"/>
      <w:pPr>
        <w:ind w:left="3600" w:hanging="360"/>
      </w:pPr>
    </w:lvl>
    <w:lvl w:ilvl="5" w:tplc="39670558" w:tentative="1">
      <w:start w:val="1"/>
      <w:numFmt w:val="lowerRoman"/>
      <w:lvlText w:val="%6."/>
      <w:lvlJc w:val="right"/>
      <w:pPr>
        <w:ind w:left="4320" w:hanging="180"/>
      </w:pPr>
    </w:lvl>
    <w:lvl w:ilvl="6" w:tplc="39670558" w:tentative="1">
      <w:start w:val="1"/>
      <w:numFmt w:val="decimal"/>
      <w:lvlText w:val="%7."/>
      <w:lvlJc w:val="left"/>
      <w:pPr>
        <w:ind w:left="5040" w:hanging="360"/>
      </w:pPr>
    </w:lvl>
    <w:lvl w:ilvl="7" w:tplc="39670558" w:tentative="1">
      <w:start w:val="1"/>
      <w:numFmt w:val="lowerLetter"/>
      <w:lvlText w:val="%8."/>
      <w:lvlJc w:val="left"/>
      <w:pPr>
        <w:ind w:left="5760" w:hanging="360"/>
      </w:pPr>
    </w:lvl>
    <w:lvl w:ilvl="8" w:tplc="39670558" w:tentative="1">
      <w:start w:val="1"/>
      <w:numFmt w:val="lowerRoman"/>
      <w:lvlText w:val="%9."/>
      <w:lvlJc w:val="right"/>
      <w:pPr>
        <w:ind w:left="6480" w:hanging="180"/>
      </w:pPr>
    </w:lvl>
  </w:abstractNum>
  <w:abstractNum w:abstractNumId="69303522">
    <w:multiLevelType w:val="hybridMultilevel"/>
    <w:lvl w:ilvl="0" w:tplc="29886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03522">
    <w:abstractNumId w:val="69303522"/>
  </w:num>
  <w:num w:numId="69303523">
    <w:abstractNumId w:val="6930352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9048424" Type="http://schemas.microsoft.com/office/2011/relationships/commentsExtended" Target="commentsExtended.xml"/><Relationship Id="rId261355207" Type="http://schemas.microsoft.com/office/2011/relationships/people" Target="people.xml"/><Relationship Id="rId54906ab0a9b9b487a" Type="http://schemas.openxmlformats.org/officeDocument/2006/relationships/hyperlink" Target="https://gd.eppo.int/taxon/PHYPMA/" TargetMode="External"/><Relationship Id="rId19486ab0a9b9b48e3" Type="http://schemas.openxmlformats.org/officeDocument/2006/relationships/hyperlink" Target="https://gd.eppo.int/taxon/PHYPMA/categorization" TargetMode="External"/><Relationship Id="rId79646ab0a9b9b51d7" Type="http://schemas.openxmlformats.org/officeDocument/2006/relationships/hyperlink" Target="https://gd.eppo.int/taxon/PHYPMA/photos" TargetMode="External"/><Relationship Id="rId87086ab0a9b9b7ec0" Type="http://schemas.openxmlformats.org/officeDocument/2006/relationships/hyperlink" Target="https://doi.org/10.1111/epp.12612" TargetMode="External"/><Relationship Id="rId83756ab0a9b9b7f88" Type="http://schemas.openxmlformats.org/officeDocument/2006/relationships/hyperlink" Target="https://doi.org/10.1111/epp.12771" TargetMode="External"/><Relationship Id="rId58316ab0a9b9b7ffd" Type="http://schemas.openxmlformats.org/officeDocument/2006/relationships/hyperlink" Target="https://doi.org/10.1111/j.1439-0434.2005.00988.x" TargetMode="External"/><Relationship Id="rId34956ab0a9b9b8475" Type="http://schemas.openxmlformats.org/officeDocument/2006/relationships/hyperlink" Target="https://doi.org/10.1099/ijs.0.02823-0" TargetMode="External"/><Relationship Id="rId82936ab0a9b9b8847" Type="http://schemas.openxmlformats.org/officeDocument/2006/relationships/hyperlink" Target="https://doi.org/10.1079/cabicompendium.6502" TargetMode="External"/><Relationship Id="rId61236ab0a9b9b88b3" Type="http://schemas.openxmlformats.org/officeDocument/2006/relationships/hyperlink" Target="https://pra.eppo.int/pra/ef9c311c-7449-4a40-a9d5-d980e324ffb6" TargetMode="External"/><Relationship Id="rId38486ab0a9b9b8995" Type="http://schemas.openxmlformats.org/officeDocument/2006/relationships/hyperlink" Target="https://gd.eppo.int" TargetMode="External"/><Relationship Id="rId88886ab0a9b9b8a6b" Type="http://schemas.openxmlformats.org/officeDocument/2006/relationships/hyperlink" Target="https://onlinelibrary.wiley.com/doi/epdf/10.1111/j.1365-2338.1978.tb02775.x" TargetMode="External"/><Relationship Id="rId32756ab0a9b9b50cc" Type="http://schemas.openxmlformats.org/officeDocument/2006/relationships/image" Target="media/imgrId32756ab0a9b9b50cc.jpg"/><Relationship Id="rId88946ab0a9b9b667f" Type="http://schemas.openxmlformats.org/officeDocument/2006/relationships/image" Target="media/imgrId88946ab0a9b9b667f.jpg"/><Relationship Id="rId51136ab0a9b9b8afa" Type="http://schemas.openxmlformats.org/officeDocument/2006/relationships/image" Target="media/imgrId51136ab0a9b9b8af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