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Grapevine flavescence dorée phytoplasma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2022-12-09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Grapevine flavescence dorée phytoplasma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Tenericutes: Mollicutes: Acholeplasmatales: Acholeplasmataceae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'Candidatus Phytoplasma vitis'</w:t>
            </w:r>
            <w:r>
              <w:rPr>
                <w:rFonts w:ascii="Calibri" w:hAnsi="Calibri" w:eastAsia="Calibri" w:cs="Calibri"/>
                <w:color w:val="000000"/>
                <w:position w:val="-3"/>
                <w:sz w:val="22"/>
                <w:szCs w:val="22"/>
              </w:rPr>
              <w:t xml:space="preserve"> Firrao et al., </w:t>
            </w:r>
            <w:r>
              <w:rPr>
                <w:rFonts w:ascii="Calibri" w:hAnsi="Calibri" w:eastAsia="Calibri" w:cs="Calibri"/>
                <w:i/>
                <w:iCs/>
                <w:color w:val="000000"/>
                <w:position w:val="-3"/>
                <w:sz w:val="22"/>
                <w:szCs w:val="22"/>
              </w:rPr>
              <w:t xml:space="preserve">Phytoplasma vitis</w:t>
            </w:r>
            <w:r>
              <w:rPr>
                <w:rFonts w:ascii="Calibri" w:hAnsi="Calibri" w:eastAsia="Calibri" w:cs="Calibri"/>
                <w:color w:val="000000"/>
                <w:position w:val="-3"/>
                <w:sz w:val="22"/>
                <w:szCs w:val="22"/>
              </w:rPr>
              <w:t xml:space="preserve"> Firrao et al.</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bacco 22A disease, flavescence dorée of grapevine, flavescence dorée phytoplasma</w:t>
            </w:r>
            <w:hyperlink r:id="rId57516ab4eac5371b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B)</w:t>
            </w:r>
            <w:hyperlink r:id="rId68766ab4eac53722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PHYP64</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7479352" name="name88346ab4eac537337" descr="1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94.jpg"/>
                          <pic:cNvPicPr/>
                        </pic:nvPicPr>
                        <pic:blipFill>
                          <a:blip r:embed="rId92256ab4eac537336" cstate="print"/>
                          <a:stretch>
                            <a:fillRect/>
                          </a:stretch>
                        </pic:blipFill>
                        <pic:spPr>
                          <a:xfrm>
                            <a:off x="0" y="0"/>
                            <a:ext cx="2160000" cy="1281600"/>
                          </a:xfrm>
                          <a:prstGeom prst="rect">
                            <a:avLst/>
                          </a:prstGeom>
                          <a:ln w="0">
                            <a:noFill/>
                          </a:ln>
                        </pic:spPr>
                      </pic:pic>
                    </a:graphicData>
                  </a:graphic>
                </wp:inline>
              </w:drawing>
            </w:r>
            <w:hyperlink r:id="rId73016ab4eac537472"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Grapevine flavescence dorée phytoplasma </w:t>
      </w:r>
      <w:r>
        <w:rPr>
          <w:rFonts w:ascii="Calibri" w:hAnsi="Calibri" w:eastAsia="Calibri" w:cs="Calibri"/>
          <w:color w:val="000000"/>
          <w:sz w:val="22"/>
          <w:szCs w:val="22"/>
        </w:rPr>
        <w:t xml:space="preserve">is a member of the genus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a group of pleiomorphic, non-culturable bacteria, lacking cell wall known to be phloem limited and transmitted by insect vectors (IRPCM phytoplasma/Spiroplasma, 2004).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sensu stricto refers to the phytoplasma strains of subgroups 16SrV-C and 16SrV-D that can be transmitted from vine to vine by the Delcocephalinae leafhopper </w:t>
      </w:r>
      <w:r>
        <w:rPr>
          <w:rFonts w:ascii="Calibri" w:hAnsi="Calibri" w:eastAsia="Calibri" w:cs="Calibri"/>
          <w:i/>
          <w:iCs/>
          <w:color w:val="000000"/>
          <w:sz w:val="22"/>
          <w:szCs w:val="22"/>
        </w:rPr>
        <w:t xml:space="preserve">Scaphoideus titanus</w:t>
      </w:r>
      <w:r>
        <w:rPr>
          <w:rFonts w:ascii="Calibri" w:hAnsi="Calibri" w:eastAsia="Calibri" w:cs="Calibri"/>
          <w:color w:val="000000"/>
          <w:sz w:val="22"/>
          <w:szCs w:val="22"/>
        </w:rPr>
        <w:t xml:space="preserve"> Ball (Caudwell, 1990, Martini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constitute three genetic groups according to the sequence of their gene map (Arnaud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w:t>
      </w:r>
      <w:r>
        <w:rPr>
          <w:rFonts w:ascii="Calibri" w:hAnsi="Calibri" w:eastAsia="Calibri" w:cs="Calibri"/>
          <w:i/>
          <w:iCs/>
          <w:color w:val="000000"/>
          <w:sz w:val="22"/>
          <w:szCs w:val="22"/>
        </w:rPr>
        <w:t xml:space="preserve">Grapevine flavescence dorée phytoplasma </w:t>
      </w:r>
      <w:r>
        <w:rPr>
          <w:rFonts w:ascii="Calibri" w:hAnsi="Calibri" w:eastAsia="Calibri" w:cs="Calibri"/>
          <w:color w:val="000000"/>
          <w:sz w:val="22"/>
          <w:szCs w:val="22"/>
        </w:rPr>
        <w:t xml:space="preserve">has not yet been described as a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species because the inclusion of a specific nucleotide signature in its 16S rDNA sequence, in common between the two taxonomic subgroups 16SrV-C and 16SrV-D, could not be fulfilled (Malembic-Maher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2011).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sensu-stricto has recently been assigned to Vectotypes II and III that show transmissibility through </w:t>
      </w:r>
      <w:r>
        <w:rPr>
          <w:rFonts w:ascii="Calibri" w:hAnsi="Calibri" w:eastAsia="Calibri" w:cs="Calibri"/>
          <w:i/>
          <w:iCs/>
          <w:color w:val="000000"/>
          <w:sz w:val="22"/>
          <w:szCs w:val="22"/>
        </w:rPr>
        <w:t xml:space="preserve">S. titanus</w:t>
      </w:r>
      <w:r>
        <w:rPr>
          <w:rFonts w:ascii="Calibri" w:hAnsi="Calibri" w:eastAsia="Calibri" w:cs="Calibri"/>
          <w:color w:val="000000"/>
          <w:sz w:val="22"/>
          <w:szCs w:val="22"/>
        </w:rPr>
        <w:t xml:space="preserve"> and are therefore epidemic into the vineyards, whereas this is not the case for phytoplasma strains of Vectotype I (Malembic-Maher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G</w:t>
      </w:r>
      <w:r>
        <w:rPr>
          <w:rFonts w:ascii="Calibri" w:hAnsi="Calibri" w:eastAsia="Calibri" w:cs="Calibri"/>
          <w:i/>
          <w:iCs/>
          <w:color w:val="000000"/>
          <w:sz w:val="22"/>
          <w:szCs w:val="22"/>
        </w:rPr>
        <w:t xml:space="preserve">rapevine flavescence dorée phytoplasma’s</w:t>
      </w:r>
      <w:r>
        <w:rPr>
          <w:rFonts w:ascii="Calibri" w:hAnsi="Calibri" w:eastAsia="Calibri" w:cs="Calibri"/>
          <w:color w:val="000000"/>
          <w:sz w:val="22"/>
          <w:szCs w:val="22"/>
        </w:rPr>
        <w:t xml:space="preserve"> natural host range includes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species and hybrids used as rootstocks (Eveillard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r>
        <w:rPr>
          <w:rFonts w:ascii="Calibri" w:hAnsi="Calibri" w:eastAsia="Calibri" w:cs="Calibri"/>
          <w:i/>
          <w:iCs/>
          <w:color w:val="000000"/>
          <w:sz w:val="22"/>
          <w:szCs w:val="22"/>
        </w:rPr>
        <w:t xml:space="preserve">Alnus glutinosa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Alnus incana</w:t>
      </w:r>
      <w:r>
        <w:rPr>
          <w:rFonts w:ascii="Calibri" w:hAnsi="Calibri" w:eastAsia="Calibri" w:cs="Calibri"/>
          <w:color w:val="000000"/>
          <w:sz w:val="22"/>
          <w:szCs w:val="22"/>
        </w:rPr>
        <w:t xml:space="preserve"> (Angelini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Mehle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Radonjic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r>
        <w:rPr>
          <w:rFonts w:ascii="Calibri" w:hAnsi="Calibri" w:eastAsia="Calibri" w:cs="Calibri"/>
          <w:i/>
          <w:iCs/>
          <w:color w:val="000000"/>
          <w:sz w:val="22"/>
          <w:szCs w:val="22"/>
        </w:rPr>
        <w:t xml:space="preserve">Clematis vitalba</w:t>
      </w:r>
      <w:r>
        <w:rPr>
          <w:rFonts w:ascii="Calibri" w:hAnsi="Calibri" w:eastAsia="Calibri" w:cs="Calibri"/>
          <w:color w:val="000000"/>
          <w:sz w:val="22"/>
          <w:szCs w:val="22"/>
        </w:rPr>
        <w:t xml:space="preserve"> (Angelini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t>
      </w:r>
      <w:r>
        <w:rPr>
          <w:rFonts w:ascii="Calibri" w:hAnsi="Calibri" w:eastAsia="Calibri" w:cs="Calibri"/>
          <w:i/>
          <w:iCs/>
          <w:color w:val="000000"/>
          <w:sz w:val="22"/>
          <w:szCs w:val="22"/>
        </w:rPr>
        <w:t xml:space="preserve">Ailanthus altissima</w:t>
      </w:r>
      <w:r>
        <w:rPr>
          <w:rFonts w:ascii="Calibri" w:hAnsi="Calibri" w:eastAsia="Calibri" w:cs="Calibri"/>
          <w:color w:val="000000"/>
          <w:sz w:val="22"/>
          <w:szCs w:val="22"/>
        </w:rPr>
        <w:t xml:space="preserve"> (Filippin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r>
        <w:rPr>
          <w:rFonts w:ascii="Calibri" w:hAnsi="Calibri" w:eastAsia="Calibri" w:cs="Calibri"/>
          <w:i/>
          <w:iCs/>
          <w:color w:val="000000"/>
          <w:sz w:val="22"/>
          <w:szCs w:val="22"/>
        </w:rPr>
        <w:t xml:space="preserve">Corylus avelana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sp. (Casati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Mehle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Non-natural hosts such as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Glebionis carinata</w:t>
      </w:r>
      <w:r>
        <w:rPr>
          <w:rFonts w:ascii="Calibri" w:hAnsi="Calibri" w:eastAsia="Calibri" w:cs="Calibri"/>
          <w:color w:val="000000"/>
          <w:sz w:val="22"/>
          <w:szCs w:val="22"/>
        </w:rPr>
        <w:t xml:space="preserve"> (synonym </w:t>
      </w:r>
      <w:r>
        <w:rPr>
          <w:rFonts w:ascii="Calibri" w:hAnsi="Calibri" w:eastAsia="Calibri" w:cs="Calibri"/>
          <w:i/>
          <w:iCs/>
          <w:color w:val="000000"/>
          <w:sz w:val="22"/>
          <w:szCs w:val="22"/>
        </w:rPr>
        <w:t xml:space="preserve">Chrysanthemum carinatum</w:t>
      </w:r>
      <w:r>
        <w:rPr>
          <w:rFonts w:ascii="Calibri" w:hAnsi="Calibri" w:eastAsia="Calibri" w:cs="Calibri"/>
          <w:color w:val="000000"/>
          <w:sz w:val="22"/>
          <w:szCs w:val="22"/>
        </w:rPr>
        <w:t xml:space="preserve">) have been experimentally inoculated for scientific purposes (Caudwell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1970).</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Ailanthus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glutinosa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Clematis vitalba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acerifolia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amurensis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berlandieri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coignetiae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pentagona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riparia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rupestris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 subsp.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x champinii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x doaniana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only occurs in Europe. Its distribution is reported in eight of the main grape-growing EU Member States (Austria, Croatia, France, Hungary, Italy, Portugal, Slovenia and Spain) as well as in Switzerland and in Serbia (Jeger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Localized cases have been reported in Germany (Jarausch</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Since its introduction in Europe, probably in South-Western France, the vector of </w:t>
      </w:r>
      <w:r>
        <w:rPr>
          <w:rFonts w:ascii="Calibri" w:hAnsi="Calibri" w:eastAsia="Calibri" w:cs="Calibri"/>
          <w:i/>
          <w:iCs/>
          <w:color w:val="000000"/>
          <w:sz w:val="22"/>
          <w:szCs w:val="22"/>
        </w:rPr>
        <w:t xml:space="preserve">Grapevine flavescence dorée phytoplasma sensu stricto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titanus</w:t>
      </w:r>
      <w:r>
        <w:rPr>
          <w:rFonts w:ascii="Calibri" w:hAnsi="Calibri" w:eastAsia="Calibri" w:cs="Calibri"/>
          <w:color w:val="000000"/>
          <w:sz w:val="22"/>
          <w:szCs w:val="22"/>
        </w:rPr>
        <w:t xml:space="preserve">, native to North America (Papura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has spread to 18 European countries (Austria, Bosnia-Herzegovina, Bulgaria, Croatia, Czech Republic, France, Hungary, Italy, Moldova, Montenegro, Portugal, Spain, Romania, Serbia, Slovakia Slovenia, Switzerland, Ukraine) making its distribution wider than that of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(Jeger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w:t>
      </w:r>
      <w:r>
        <w:rPr>
          <w:rFonts w:ascii="Calibri" w:hAnsi="Calibri" w:eastAsia="Calibri" w:cs="Calibri"/>
          <w:i/>
          <w:iCs/>
          <w:color w:val="000000"/>
          <w:sz w:val="22"/>
          <w:szCs w:val="22"/>
        </w:rPr>
        <w:t xml:space="preserve">S. titanus</w:t>
      </w:r>
      <w:r>
        <w:rPr>
          <w:rFonts w:ascii="Calibri" w:hAnsi="Calibri" w:eastAsia="Calibri" w:cs="Calibri"/>
          <w:color w:val="000000"/>
          <w:sz w:val="22"/>
          <w:szCs w:val="22"/>
        </w:rPr>
        <w:t xml:space="preserve">’s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life cycle requires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spp.; therefore, its presence is strictly connected to that of grapevines.</w:t>
      </w:r>
    </w:p>
    <w:p>
      <w:r>
        <w:drawing>
          <wp:inline distT="0" distB="0" distL="0" distR="0">
            <wp:extent cx="6120000" cy="3067200"/>
            <wp:docPr id="40546595" name="name36386ab4eac537f02" descr="PHYP64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P64_distribution_map.jpg"/>
                    <pic:cNvPicPr/>
                  </pic:nvPicPr>
                  <pic:blipFill>
                    <a:blip r:embed="rId32236ab4eac537f0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Bulgaria, Croatia, Czechia, France (mainland, Corse), Germany, Hungary, Italy (mainland), Moldova, Republic of, Montenegro, Portugal (mainland), Romania, Serbia, Slovakia, Slovenia, Spain (mainland), Switzerland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infected plants,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is located and multiplies within phloem sieve tubes (Caudwell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1971). In winter it survives in the roots and canes from where it moves to the upper parts of the plants during spring.  </w:t>
      </w:r>
      <w:r>
        <w:rPr>
          <w:rFonts w:ascii="Calibri" w:hAnsi="Calibri" w:eastAsia="Calibri" w:cs="Calibri"/>
          <w:i/>
          <w:iCs/>
          <w:color w:val="000000"/>
          <w:sz w:val="22"/>
          <w:szCs w:val="22"/>
        </w:rPr>
        <w:t xml:space="preserve">S. titanus</w:t>
      </w:r>
      <w:r>
        <w:rPr>
          <w:rFonts w:ascii="Calibri" w:hAnsi="Calibri" w:eastAsia="Calibri" w:cs="Calibri"/>
          <w:color w:val="000000"/>
          <w:sz w:val="22"/>
          <w:szCs w:val="22"/>
        </w:rPr>
        <w:t xml:space="preserve"> is the most efficient vector of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(Mori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2002; Schvester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1963) (see below for details of alternative vectors). At the initial stage of its life-cycle,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is acquired from phloem sap by the insects. It passes through the insect’s alimentary canal and multiplies in the midgut. Then it colonises the haemolymph before entering and multiplying in the salivary gland. Finally, it is delivered to another host plant through saliva (Lefol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1993; Lefol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1994). There is a temperature-dependent latency period of 10 to 45 days between the phytoplasma’s acquisition by </w:t>
      </w:r>
      <w:r>
        <w:rPr>
          <w:rFonts w:ascii="Calibri" w:hAnsi="Calibri" w:eastAsia="Calibri" w:cs="Calibri"/>
          <w:i/>
          <w:iCs/>
          <w:color w:val="000000"/>
          <w:sz w:val="22"/>
          <w:szCs w:val="22"/>
        </w:rPr>
        <w:t xml:space="preserve">S. titanus </w:t>
      </w:r>
      <w:r>
        <w:rPr>
          <w:rFonts w:ascii="Calibri" w:hAnsi="Calibri" w:eastAsia="Calibri" w:cs="Calibri"/>
          <w:color w:val="000000"/>
          <w:sz w:val="22"/>
          <w:szCs w:val="22"/>
        </w:rPr>
        <w:t xml:space="preserve">and its ability to transmit it to another host plant. The transmission mode is qualified as persistent and propagative, because after phytoplasma acquisition and latency the vector remains infectious for life.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titanus</w:t>
      </w:r>
      <w:r>
        <w:rPr>
          <w:rFonts w:ascii="Calibri" w:hAnsi="Calibri" w:eastAsia="Calibri" w:cs="Calibri"/>
          <w:color w:val="000000"/>
          <w:sz w:val="22"/>
          <w:szCs w:val="22"/>
        </w:rPr>
        <w:t xml:space="preserve"> is monophagous on grapevine. It has one generation a year; eggs laid in the bark of &gt;2-year-old grapevine wood from the end of July are the overwintering stage. There are five larval instars, which develop from mid-May to mid-July. Adults appear from July until the beginning of September (Chuche &amp; Thiery, 2014). The larval stages and adults are capable of acquiring the phytoplasma, but males are more efficient than females in transmitting the disease. There is no evidence of adult-to-egg transmission (Schvester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1969). </w:t>
      </w:r>
    </w:p>
    <w:p>
      <w:pPr>
        <w:widowControl w:val="on"/>
        <w:pBdr/>
        <w:spacing w:before="220" w:after="220" w:line="240" w:lineRule="auto"/>
        <w:ind w:left="0" w:right="0"/>
        <w:jc w:val="both"/>
      </w:pPr>
      <w:r>
        <w:rPr>
          <w:rFonts w:ascii="Calibri" w:hAnsi="Calibri" w:eastAsia="Calibri" w:cs="Calibri"/>
          <w:color w:val="000000"/>
          <w:sz w:val="22"/>
          <w:szCs w:val="22"/>
        </w:rPr>
        <w:t xml:space="preserve">Transmission is also possible through grafting (Boudon-Padieu, 2002). There are no reports on transmission by root grafting.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like all phytoplasmas, is not known to be transmissible by mechanical inoculation.</w:t>
      </w:r>
    </w:p>
    <w:p>
      <w:pPr>
        <w:widowControl w:val="on"/>
        <w:pBdr/>
        <w:spacing w:before="220" w:after="220" w:line="240" w:lineRule="auto"/>
        <w:ind w:left="0" w:right="0"/>
        <w:jc w:val="both"/>
      </w:pPr>
      <w:r>
        <w:rPr>
          <w:rFonts w:ascii="Calibri" w:hAnsi="Calibri" w:eastAsia="Calibri" w:cs="Calibri"/>
          <w:color w:val="000000"/>
          <w:sz w:val="22"/>
          <w:szCs w:val="22"/>
        </w:rPr>
        <w:t xml:space="preserve">Phytoplasmas of the taxonomic group 16SrV-C are widespread in alders (</w:t>
      </w:r>
      <w:r>
        <w:rPr>
          <w:rFonts w:ascii="Calibri" w:hAnsi="Calibri" w:eastAsia="Calibri" w:cs="Calibri"/>
          <w:i/>
          <w:iCs/>
          <w:color w:val="000000"/>
          <w:sz w:val="22"/>
          <w:szCs w:val="22"/>
        </w:rPr>
        <w:t xml:space="preser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glutinosa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A. incana</w:t>
      </w:r>
      <w:r>
        <w:rPr>
          <w:rFonts w:ascii="Calibri" w:hAnsi="Calibri" w:eastAsia="Calibri" w:cs="Calibri"/>
          <w:color w:val="000000"/>
          <w:sz w:val="22"/>
          <w:szCs w:val="22"/>
        </w:rPr>
        <w:t xml:space="preserve">) all over Europe (Atanasova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 Holz</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Malembic-Maher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2020; Mehle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2011; Radonjic</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Some of the phytoplasma strains that are transmitted from alder to alder by the Macropsinae leafhopper </w:t>
      </w:r>
      <w:r>
        <w:rPr>
          <w:rFonts w:ascii="Calibri" w:hAnsi="Calibri" w:eastAsia="Calibri" w:cs="Calibri"/>
          <w:i/>
          <w:iCs/>
          <w:color w:val="000000"/>
          <w:sz w:val="22"/>
          <w:szCs w:val="22"/>
        </w:rPr>
        <w:t xml:space="preserve">Oncopsis alni </w:t>
      </w:r>
      <w:r>
        <w:rPr>
          <w:rFonts w:ascii="Calibri" w:hAnsi="Calibri" w:eastAsia="Calibri" w:cs="Calibri"/>
          <w:color w:val="000000"/>
          <w:sz w:val="22"/>
          <w:szCs w:val="22"/>
        </w:rPr>
        <w:t xml:space="preserve">and occasionally to grapevine are referred to as Palatinate Grapevine Yellows (PGY) and are not compatible with </w:t>
      </w:r>
      <w:r>
        <w:rPr>
          <w:rFonts w:ascii="Calibri" w:hAnsi="Calibri" w:eastAsia="Calibri" w:cs="Calibri"/>
          <w:i/>
          <w:iCs/>
          <w:color w:val="000000"/>
          <w:sz w:val="22"/>
          <w:szCs w:val="22"/>
        </w:rPr>
        <w:t xml:space="preserve">S. titanus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Other phytoplasma strains transmitted from alder to alder and occasionally to grapevine by the Deltocephalinae leafhopper </w:t>
      </w:r>
      <w:r>
        <w:rPr>
          <w:rFonts w:ascii="Calibri" w:hAnsi="Calibri" w:eastAsia="Calibri" w:cs="Calibri"/>
          <w:i/>
          <w:iCs/>
          <w:color w:val="000000"/>
          <w:sz w:val="22"/>
          <w:szCs w:val="22"/>
        </w:rPr>
        <w:t xml:space="preserve">Allygus mixtus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Orientus ishidae</w:t>
      </w:r>
      <w:r>
        <w:rPr>
          <w:rFonts w:ascii="Calibri" w:hAnsi="Calibri" w:eastAsia="Calibri" w:cs="Calibri"/>
          <w:color w:val="000000"/>
          <w:sz w:val="22"/>
          <w:szCs w:val="22"/>
        </w:rPr>
        <w:t xml:space="preserve"> can be acquired and be transmitted by </w:t>
      </w:r>
      <w:r>
        <w:rPr>
          <w:rFonts w:ascii="Calibri" w:hAnsi="Calibri" w:eastAsia="Calibri" w:cs="Calibri"/>
          <w:i/>
          <w:iCs/>
          <w:color w:val="000000"/>
          <w:sz w:val="22"/>
          <w:szCs w:val="22"/>
        </w:rPr>
        <w:t xml:space="preserve">S. titanus </w:t>
      </w:r>
      <w:r>
        <w:rPr>
          <w:rFonts w:ascii="Calibri" w:hAnsi="Calibri" w:eastAsia="Calibri" w:cs="Calibri"/>
          <w:color w:val="000000"/>
          <w:sz w:val="22"/>
          <w:szCs w:val="22"/>
        </w:rPr>
        <w:t xml:space="preserve">(Maixner &amp; Reinert, 1999; Maixner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2000; Malembic-Maher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2020). In Italy and Serbia, particular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strains are present in wild clematis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vitalba) </w:t>
      </w:r>
      <w:r>
        <w:rPr>
          <w:rFonts w:ascii="Calibri" w:hAnsi="Calibri" w:eastAsia="Calibri" w:cs="Calibri"/>
          <w:color w:val="000000"/>
          <w:sz w:val="22"/>
          <w:szCs w:val="22"/>
        </w:rPr>
        <w:t xml:space="preserve">from which they can be transmitted to grapevine by the planthopper </w:t>
      </w:r>
      <w:r>
        <w:rPr>
          <w:rFonts w:ascii="Calibri" w:hAnsi="Calibri" w:eastAsia="Calibri" w:cs="Calibri"/>
          <w:i/>
          <w:iCs/>
          <w:color w:val="000000"/>
          <w:sz w:val="22"/>
          <w:szCs w:val="22"/>
        </w:rPr>
        <w:t xml:space="preserve">Dictyophara europaea</w:t>
      </w:r>
      <w:r>
        <w:rPr>
          <w:rFonts w:ascii="Calibri" w:hAnsi="Calibri" w:eastAsia="Calibri" w:cs="Calibri"/>
          <w:color w:val="000000"/>
          <w:sz w:val="22"/>
          <w:szCs w:val="22"/>
        </w:rPr>
        <w:t xml:space="preserve"> (synonym:</w:t>
      </w:r>
      <w:r>
        <w:rPr>
          <w:rFonts w:ascii="Calibri" w:hAnsi="Calibri" w:eastAsia="Calibri" w:cs="Calibri"/>
          <w:i/>
          <w:iCs/>
          <w:color w:val="000000"/>
          <w:sz w:val="22"/>
          <w:szCs w:val="22"/>
        </w:rPr>
        <w:t xml:space="preserve"> Epiptera europaea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(Filippin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2009). The frequency of phytoplasma transmission from alders and clematis to grapevine remains to be determined but this cannot provoke a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outbreak in the absence of the leafhopper </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titanus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are used as indicators of the presence of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but the symptoms of other grapevine yellows are identical, and therefore molecular tests are required for identification. Symptoms of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generally become clearly apparent during summer. Either a group of shoots is affected on each grapevine, or the whole vine may show symptoms (Belli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1973; Caudwell, 1964).</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shoots</w:t>
      </w:r>
    </w:p>
    <w:p>
      <w:pPr>
        <w:widowControl w:val="on"/>
        <w:pBdr/>
        <w:spacing w:before="220" w:after="220" w:line="240" w:lineRule="auto"/>
        <w:ind w:left="0" w:right="0"/>
        <w:jc w:val="both"/>
      </w:pPr>
      <w:r>
        <w:rPr>
          <w:rFonts w:ascii="Calibri" w:hAnsi="Calibri" w:eastAsia="Calibri" w:cs="Calibri"/>
          <w:color w:val="000000"/>
          <w:sz w:val="22"/>
          <w:szCs w:val="22"/>
        </w:rPr>
        <w:t xml:space="preserve">The shoots of susceptible grapevines usually fail to lignify and during winter, the non-lignified branches blacken and die. If infected later in the season, lignification is interrupted.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leaves</w:t>
      </w:r>
    </w:p>
    <w:p>
      <w:pPr>
        <w:widowControl w:val="on"/>
        <w:pBdr/>
        <w:spacing w:before="220" w:after="220" w:line="240" w:lineRule="auto"/>
        <w:ind w:left="0" w:right="0"/>
        <w:jc w:val="both"/>
      </w:pPr>
      <w:r>
        <w:rPr>
          <w:rFonts w:ascii="Calibri" w:hAnsi="Calibri" w:eastAsia="Calibri" w:cs="Calibri"/>
          <w:color w:val="000000"/>
          <w:sz w:val="22"/>
          <w:szCs w:val="22"/>
        </w:rPr>
        <w:t xml:space="preserve">The leaves show colour aberrations and downward-rolled margins. In white-fruited cultivars there is a yellowing of the portion of the lamina exposed to the sun that confers a metallic lustre to the leaf surface. Red-fruited cultivars develop a similar pattern of colour changes of the leaves, but the discolorations are reddish. The central portion of the discoloured areas becomes necrotic and dries out.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fruit</w:t>
      </w:r>
    </w:p>
    <w:p>
      <w:pPr>
        <w:widowControl w:val="on"/>
        <w:pBdr/>
        <w:spacing w:before="220" w:after="220" w:line="240" w:lineRule="auto"/>
        <w:ind w:left="0" w:right="0"/>
        <w:jc w:val="both"/>
      </w:pPr>
      <w:r>
        <w:rPr>
          <w:rFonts w:ascii="Calibri" w:hAnsi="Calibri" w:eastAsia="Calibri" w:cs="Calibri"/>
          <w:color w:val="000000"/>
          <w:sz w:val="22"/>
          <w:szCs w:val="22"/>
        </w:rPr>
        <w:t xml:space="preserve">Fruit setting is reduced on grapevines infected early in the season, and the inflorescences dry out and fall off. In later infections, bunches become brown and shrivelled, and the peduncles dry out.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can be visualized by electron microscopy in the phloem of infected grapevines as wall-less rounded pleiomorphic bodies with an average diameter ranging from 200 to 800 µm (Caudwell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1971).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 </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examination of flavescence dorée requires skilled inspectors as it is complicated by many factors: the cultivar-dependent symptom expression (particularly when mild) and the possible risk of misidentification. Detecting symptoms is even more difficult in abandoned vineyards and in wild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spp. plants, which are often difficult to gain access to. Furthermore, the absence of symptoms on infected rootstocks affects both feasibility and effectiveness of the surveillance for the detection of all infected plants in nurseries (Jeger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The susceptibility of the plants to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infection is also genotype-dependent: 28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genotypes were compared including grapevine cultivars, rootstocks and wild species, proving that even wild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rootstock plants may be highly infected with </w:t>
      </w:r>
      <w:r>
        <w:rPr>
          <w:rFonts w:ascii="Calibri" w:hAnsi="Calibri" w:eastAsia="Calibri" w:cs="Calibri"/>
          <w:i/>
          <w:iCs/>
          <w:color w:val="000000"/>
          <w:sz w:val="22"/>
          <w:szCs w:val="22"/>
        </w:rPr>
        <w:t xml:space="preserve">grapevine flave</w:t>
      </w:r>
      <w:r>
        <w:rPr>
          <w:rFonts w:ascii="Calibri" w:hAnsi="Calibri" w:eastAsia="Calibri" w:cs="Calibri"/>
          <w:i/>
          <w:iCs/>
          <w:color w:val="000000"/>
          <w:sz w:val="22"/>
          <w:szCs w:val="22"/>
        </w:rPr>
        <w:t xml:space="preserve">scence dorée phytoplasma</w:t>
      </w:r>
      <w:r>
        <w:rPr>
          <w:rFonts w:ascii="Calibri" w:hAnsi="Calibri" w:eastAsia="Calibri" w:cs="Calibri"/>
          <w:color w:val="000000"/>
          <w:sz w:val="22"/>
          <w:szCs w:val="22"/>
        </w:rPr>
        <w:t xml:space="preserve"> in their natural environment (Eveillard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General guidelines for inspection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are available in the phytosanitary procedure PM 3/85 </w:t>
      </w:r>
      <w:r>
        <w:rPr>
          <w:rFonts w:ascii="Calibri" w:hAnsi="Calibri" w:eastAsia="Calibri" w:cs="Calibri"/>
          <w:i/>
          <w:iCs/>
          <w:color w:val="000000"/>
          <w:sz w:val="22"/>
          <w:szCs w:val="22"/>
        </w:rPr>
        <w:t xml:space="preserve">Inspection of places of production – Vitis plants for planting</w:t>
      </w:r>
      <w:r>
        <w:rPr>
          <w:rFonts w:ascii="Calibri" w:hAnsi="Calibri" w:eastAsia="Calibri" w:cs="Calibri"/>
          <w:color w:val="000000"/>
          <w:sz w:val="22"/>
          <w:szCs w:val="22"/>
        </w:rPr>
        <w:t xml:space="preserve"> (EPPO, 2018). According to EPPO diagnostic protocol PM 7/079, sampling should be performed from July to October: A total of 20 symptomatic leaves per plant should be sampled, pooling a maximum of five plants together (EPPO, 2016b). </w:t>
      </w:r>
    </w:p>
    <w:p>
      <w:pPr>
        <w:widowControl w:val="on"/>
        <w:pBdr/>
        <w:spacing w:before="220" w:after="220" w:line="240" w:lineRule="auto"/>
        <w:ind w:left="0" w:right="0"/>
        <w:jc w:val="both"/>
      </w:pPr>
      <w:r>
        <w:rPr>
          <w:rFonts w:ascii="Calibri" w:hAnsi="Calibri" w:eastAsia="Calibri" w:cs="Calibri"/>
          <w:color w:val="000000"/>
          <w:sz w:val="22"/>
          <w:szCs w:val="22"/>
        </w:rPr>
        <w:t xml:space="preserve">Current detection methods rely on the use of polymerase chain reaction (PCR) (Chabirand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EPPO, 2016b). For tracing pathways for spread, various genetic typing methods are commonly used (Arnaud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Botti &amp; Bertaccini, 2007; Martini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2002; Rossi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The distribution of the eleven phytoplasma genotypes associated with outbreaks of flavescence dorée varies depending on the geographical regions (Casati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Jeger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Krstic</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2022; Malembic-Maher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2020; Mehle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2011; Plavec</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Rossi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of epidemic vectotypes II and III can be achieved by partial or complete sequencing of vmp genes encoding surface adhesins involved in vector colonization (Malembic-Maher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2020; Rossi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Two pathways are identified for the long-distance spread of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infected propagative material being moved; and infested vectors flying from adjacent spatial units, transported on plants for planting or hitchhiking in vehicles. Local spread is also possible by transfer from infected alder or clematis to vineyards by dispersion via alternative vectors. The relative contribution of these various mechanisms to the spread of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was estimated upon historical reconstruction of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spread in the European regions. Propagation events through propagated material and dispersion through vector were estimated as contributing 37% and 57% respectively, while local transfer from wild plants via alternative vectors was estimated at 6% (Jeger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Within vineyards, natural spread of the disease is likely to occur over up to a few hundred metres owing to the flight behaviour of the </w:t>
      </w:r>
      <w:r>
        <w:rPr>
          <w:rFonts w:ascii="Calibri" w:hAnsi="Calibri" w:eastAsia="Calibri" w:cs="Calibri"/>
          <w:i/>
          <w:iCs/>
          <w:color w:val="000000"/>
          <w:sz w:val="22"/>
          <w:szCs w:val="22"/>
        </w:rPr>
        <w:t xml:space="preserve">S. titanus </w:t>
      </w:r>
      <w:r>
        <w:rPr>
          <w:rFonts w:ascii="Calibri" w:hAnsi="Calibri" w:eastAsia="Calibri" w:cs="Calibri"/>
          <w:color w:val="000000"/>
          <w:sz w:val="22"/>
          <w:szCs w:val="22"/>
        </w:rPr>
        <w:t xml:space="preserve">vector (Lessio</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cannot be transmitted mechanically (e.g. with pruning scissors), but it can be transmitted, with very low efficiency, by grafting (Osler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infested grapevine areas where the disease is epidemic,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has a dramatic impact on yield. When allowed to spread uncontrolled, epidemic flavescence dorée had catastrophic consequences. Between 1949 and 1954 in Armagnac and Chalosse (France), all Baco 22A grapevines became infected. The quality of the wine produced from infected grapevines is also affected owing to a lower sugar content and higher acidity of the grapes. The estimated yield loss under current management practices is estimated 0.5-1% of the EU wine and grape production (Jeger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the high cost of repeated insecticide treatments for vine growers, non-intentional impacts such as negative effects on pollinators or interference with integrated pest management targeting other pests may occur (EFSA, 2014).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practice, it is not possible to cure a plant that is infected by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however, several control methods are currently applied in the EU. Insecticide application against the vector, </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titanus</w:t>
      </w:r>
      <w:r>
        <w:rPr>
          <w:rFonts w:ascii="Calibri" w:hAnsi="Calibri" w:eastAsia="Calibri" w:cs="Calibri"/>
          <w:color w:val="000000"/>
          <w:sz w:val="22"/>
          <w:szCs w:val="22"/>
        </w:rPr>
        <w:t xml:space="preserve">, is compulsory where both the vector and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are present; the number of applications in commercial vineyards varies from one to three per year. These target nymphs and adults, and can be more numerous in nurseries. The presence of the vector is currently monitored by hanging yellow sticky traps in the vineyards and direct counting of nymphs under the grapevine to support decisions on insecticide application and timing. Roguing of infected plants is compulsory and, when infected plants exceed 20 % to 30 % of the plots, all the plants in the plot have to be removed. Abandoned plots and wild </w:t>
      </w:r>
      <w:r>
        <w:rPr>
          <w:rFonts w:ascii="Calibri" w:hAnsi="Calibri" w:eastAsia="Calibri" w:cs="Calibri"/>
          <w:i/>
          <w:iCs/>
          <w:color w:val="000000"/>
          <w:sz w:val="22"/>
          <w:szCs w:val="22"/>
        </w:rPr>
        <w:t xml:space="preserve">Vitis </w:t>
      </w:r>
      <w:r>
        <w:rPr>
          <w:rFonts w:ascii="Calibri" w:hAnsi="Calibri" w:eastAsia="Calibri" w:cs="Calibri"/>
          <w:color w:val="000000"/>
          <w:sz w:val="22"/>
          <w:szCs w:val="22"/>
        </w:rPr>
        <w:t xml:space="preserve">rootstock plants in the areas surrounding vineyards should be removed as they represent a reservoir of both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and its vector. Hot-water treatment (45 min at 50°C) of the dormant rootstocks and scions or grafted cuttings is widely applied and is known to be effective in killing both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and vector eggs (Caudwell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1997; Caudwell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1992; Linder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2010; Mannini &amp; Marzachi, 2007). EPPO Standard PM 10/18 describes the conditions under which such a treatment should be performed (EPPO, 2012). The production of certified grapevine varieties and rootstocks should also be performed under conditions (e.g. maintenance, testing etc.) preventing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infections, as recommended in EPPO Standard PM 4/8 (EPPO, 2008).</w:t>
      </w:r>
    </w:p>
    <w:p>
      <w:pPr>
        <w:widowControl w:val="on"/>
        <w:pBdr/>
        <w:spacing w:before="220" w:after="220" w:line="240" w:lineRule="auto"/>
        <w:ind w:left="0" w:right="0"/>
        <w:jc w:val="both"/>
      </w:pPr>
      <w:r>
        <w:rPr>
          <w:rFonts w:ascii="Calibri" w:hAnsi="Calibri" w:eastAsia="Calibri" w:cs="Calibri"/>
          <w:color w:val="000000"/>
          <w:sz w:val="22"/>
          <w:szCs w:val="22"/>
        </w:rPr>
        <w:t xml:space="preserve">When an outbreak is reported, risk areas can be defined around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infected vines for surveillance, bearing in mind that their size depends on the spread capacity of the vectors and the availability of host plants around these locations. For a detection survey, a risk area of about 50 m wide around the possible risk locations can be defined. Around the infested zone, a buffer zone of at least 1.3 km wide was recommended by EFSA (EFSA, 2020). The areas where the vector is present can also be prioritized for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detection surveys, and different levels of risk can be defined based on vector density in the vineyards. To prevent the development of large outbreaks, the EFSA Panel of experts has proposed that one-third of vineyards should be surveyed on a yearly basis in addition to the already surveyed buffer zones around outbreaks (EFSA, 2020). </w:t>
      </w:r>
    </w:p>
    <w:p>
      <w:pPr>
        <w:widowControl w:val="on"/>
        <w:pBdr/>
        <w:spacing w:before="220" w:after="220" w:line="240" w:lineRule="auto"/>
        <w:ind w:left="0" w:right="0"/>
        <w:jc w:val="both"/>
      </w:pPr>
      <w:r>
        <w:rPr>
          <w:rFonts w:ascii="Calibri" w:hAnsi="Calibri" w:eastAsia="Calibri" w:cs="Calibri"/>
          <w:color w:val="000000"/>
          <w:sz w:val="22"/>
          <w:szCs w:val="22"/>
        </w:rPr>
        <w:t xml:space="preserve">Increased surveillance and mapping of major spots of the wild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spp. vegetation, their removal in the surrounding of the vineyards and before establishing new plantations are currently poorly applied but would result in a higher effectiveness in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control (Jeger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limited information on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’s response to temperature, and it is likely that this phytoplasma would be able to infect grapevines wherever they grow. Although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has been reported in several of the main grape and wine producers in Europe, it has sometimes still a relatively restricted distribution in these countries. The reports of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in Burgundy, France and in Southern Italy, together with the increasingly southerly distribution of the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-specific vector, </w:t>
      </w:r>
      <w:r>
        <w:rPr>
          <w:rFonts w:ascii="Calibri" w:hAnsi="Calibri" w:eastAsia="Calibri" w:cs="Calibri"/>
          <w:i/>
          <w:iCs/>
          <w:color w:val="000000"/>
          <w:sz w:val="22"/>
          <w:szCs w:val="22"/>
        </w:rPr>
        <w:t xml:space="preserve">S. titanus</w:t>
      </w:r>
      <w:r>
        <w:rPr>
          <w:rFonts w:ascii="Calibri" w:hAnsi="Calibri" w:eastAsia="Calibri" w:cs="Calibri"/>
          <w:color w:val="000000"/>
          <w:sz w:val="22"/>
          <w:szCs w:val="22"/>
        </w:rPr>
        <w:t xml:space="preserve">, indicate that the bacterium could establish in new important viticultural areas in the EU, namely in the Mediterranean region (EFSA, 2014)</w:t>
      </w:r>
    </w:p>
    <w:p>
      <w:pPr>
        <w:widowControl w:val="on"/>
        <w:pBdr/>
        <w:spacing w:before="220" w:after="220" w:line="240" w:lineRule="auto"/>
        <w:ind w:left="0" w:right="0"/>
        <w:jc w:val="both"/>
      </w:pPr>
      <w:r>
        <w:rPr>
          <w:rFonts w:ascii="Calibri" w:hAnsi="Calibri" w:eastAsia="Calibri" w:cs="Calibri"/>
          <w:color w:val="000000"/>
          <w:sz w:val="22"/>
          <w:szCs w:val="22"/>
        </w:rPr>
        <w:t xml:space="preserve">Being a principal pathway for the long-distance spread of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(Jeger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the movement (including trade)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 propagating material is at risk when originating from countries where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is already present. The presence of American vines left from the rootstocks of abandoned vines and other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spp. growing in the wild provides a reservoir for both the pathogen and the vector with movement of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 titanus</w:t>
      </w:r>
      <w:r>
        <w:rPr>
          <w:rFonts w:ascii="Calibri" w:hAnsi="Calibri" w:eastAsia="Calibri" w:cs="Calibri"/>
          <w:color w:val="000000"/>
          <w:sz w:val="22"/>
          <w:szCs w:val="22"/>
        </w:rPr>
        <w:t xml:space="preserve"> from untreated to treated vineyards (Pavan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Ripamonti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Appropriate phytosanitary measures to import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(other than seeds) into the EPPO region could require that these plants are produced in a pest free area or in a pest free place/site of production for grapevine flavescence dorée phytoplasma established according to EPPO Standard PM 5/8 </w:t>
      </w:r>
      <w:r>
        <w:rPr>
          <w:rFonts w:ascii="Calibri" w:hAnsi="Calibri" w:eastAsia="Calibri" w:cs="Calibri"/>
          <w:i/>
          <w:iCs/>
          <w:color w:val="000000"/>
          <w:sz w:val="22"/>
          <w:szCs w:val="22"/>
        </w:rPr>
        <w:t xml:space="preserve">Guidelines on the phytosanitary measure ‘Plants grown under physical isolation’</w:t>
      </w:r>
      <w:r>
        <w:rPr>
          <w:rFonts w:ascii="Calibri" w:hAnsi="Calibri" w:eastAsia="Calibri" w:cs="Calibri"/>
          <w:color w:val="000000"/>
          <w:sz w:val="22"/>
          <w:szCs w:val="22"/>
        </w:rPr>
        <w:t xml:space="preserve">(EPPO, 2016a). The physical isolation should ensure that both the phytoplasma and the vector are prevented from entering the place/site of production.  The production under a pest-free place of production with a buffer zone, and treatments at appropriate times throughout the growing season to prevent vector infestation may also be considered. A number of EPPO countries already ban the import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(other than seeds) (e.g. EU countries: Annex VI, points 10 of Regulation 2019/2072 (EU, 2019). Host plants for planting could also be imported using post-entry quarantine (in the framework of a bilateral agreement).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Angelini E, Clair D, Borgo M, Bertaccini A &amp; Boudon-Padieu E (2001) Flavescence dorée in France and Italy - Occurrence of closely related phytoplasma isolates and their near relationships to Palatinate grapevine yellows and an alder yellows phytoplasma.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79-86.</w:t>
      </w:r>
    </w:p>
    <w:p>
      <w:pPr>
        <w:widowControl w:val="on"/>
        <w:pBdr/>
        <w:spacing w:before="220" w:after="220" w:line="240" w:lineRule="auto"/>
        <w:ind w:left="0" w:right="0"/>
        <w:jc w:val="left"/>
      </w:pPr>
      <w:r>
        <w:rPr>
          <w:rFonts w:ascii="Calibri" w:hAnsi="Calibri" w:eastAsia="Calibri" w:cs="Calibri"/>
          <w:color w:val="000000"/>
          <w:sz w:val="22"/>
          <w:szCs w:val="22"/>
        </w:rPr>
        <w:t xml:space="preserve">Angelini E, Squizzato F, Lucchetta G &amp; Borgo M (2004) Detection of a phytoplasma associated with grapevine flavescence dorée in </w:t>
      </w:r>
      <w:r>
        <w:rPr>
          <w:rFonts w:ascii="Calibri" w:hAnsi="Calibri" w:eastAsia="Calibri" w:cs="Calibri"/>
          <w:i/>
          <w:iCs/>
          <w:color w:val="000000"/>
          <w:sz w:val="22"/>
          <w:szCs w:val="22"/>
        </w:rPr>
        <w:t xml:space="preserve">Clematis vitalba.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193-201.</w:t>
      </w:r>
    </w:p>
    <w:p>
      <w:pPr>
        <w:widowControl w:val="on"/>
        <w:pBdr/>
        <w:spacing w:before="220" w:after="220" w:line="240" w:lineRule="auto"/>
        <w:ind w:left="0" w:right="0"/>
        <w:jc w:val="left"/>
      </w:pPr>
      <w:r>
        <w:rPr>
          <w:rFonts w:ascii="Calibri" w:hAnsi="Calibri" w:eastAsia="Calibri" w:cs="Calibri"/>
          <w:color w:val="000000"/>
          <w:sz w:val="22"/>
          <w:szCs w:val="22"/>
        </w:rPr>
        <w:t xml:space="preserve">Arnaud G, Malembic-Maher S, Salar P, Bonnet P, Maixner M, Marcone C, Boudon-Padieu E &amp; Foissac X (2007) Multilocus sequence typing confirms the close genetic interrelatedness of three distinct flavescence dorée phytoplasma strain clusters and group 16SrV phytoplasmas infecting grapevine and alder in Europe.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4001-4010. </w:t>
      </w:r>
      <w:hyperlink r:id="rId65836ab4eac539518" w:history="1">
        <w:r>
          <w:rPr>
            <w:rFonts w:ascii="Calibri" w:hAnsi="Calibri" w:eastAsia="Calibri" w:cs="Calibri"/>
            <w:color w:val="0000CC"/>
            <w:sz w:val="22"/>
            <w:szCs w:val="22"/>
            <w:u w:val="single"/>
          </w:rPr>
          <w:t xml:space="preserve">https://doi.org/10.1128/aem.02323-06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Atanasova B, Spasov D, Jakovljevic M, Jovic J, Krstic O, Mitrovic M &amp; Cvrkovic T (2014) First report of alder yellows phytoplasma associated with common alder (</w:t>
      </w:r>
      <w:r>
        <w:rPr>
          <w:rFonts w:ascii="Calibri" w:hAnsi="Calibri" w:eastAsia="Calibri" w:cs="Calibri"/>
          <w:i/>
          <w:iCs/>
          <w:color w:val="000000"/>
          <w:sz w:val="22"/>
          <w:szCs w:val="22"/>
        </w:rPr>
        <w:t xml:space="preserve">Alnus glutinosa</w:t>
      </w:r>
      <w:r>
        <w:rPr>
          <w:rFonts w:ascii="Calibri" w:hAnsi="Calibri" w:eastAsia="Calibri" w:cs="Calibri"/>
          <w:color w:val="000000"/>
          <w:sz w:val="22"/>
          <w:szCs w:val="22"/>
        </w:rPr>
        <w:t xml:space="preserve">) in the Republic of Macedonia.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1268-1268. </w:t>
      </w:r>
      <w:hyperlink r:id="rId80906ab4eac5395a4" w:history="1">
        <w:r>
          <w:rPr>
            <w:rFonts w:ascii="Calibri" w:hAnsi="Calibri" w:eastAsia="Calibri" w:cs="Calibri"/>
            <w:color w:val="0000CC"/>
            <w:sz w:val="22"/>
            <w:szCs w:val="22"/>
            <w:u w:val="single"/>
          </w:rPr>
          <w:t xml:space="preserve">https://doi.org/10.1094/pdis-03-14-0315-pdn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Belli G, Fortusini A, Osler R &amp; Amici A (1973) [Presence of flavescence dorée-like symptoms in the vineyards of Oltrepò Pavese]. </w:t>
      </w:r>
      <w:r>
        <w:rPr>
          <w:rFonts w:ascii="Calibri" w:hAnsi="Calibri" w:eastAsia="Calibri" w:cs="Calibri"/>
          <w:i/>
          <w:iCs/>
          <w:color w:val="000000"/>
          <w:sz w:val="22"/>
          <w:szCs w:val="22"/>
        </w:rPr>
        <w:t xml:space="preserve">Rivista di Patologia Végetale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50-56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Botti S &amp; Bertaccini A (2007) Grapevine yellows in Northern Italy: molecular identification of Flavescence dorée phytoplasma strains and of Bois Noir phytoplasmas. </w:t>
      </w:r>
      <w:r>
        <w:rPr>
          <w:rFonts w:ascii="Calibri" w:hAnsi="Calibri" w:eastAsia="Calibri" w:cs="Calibri"/>
          <w:i/>
          <w:iCs/>
          <w:color w:val="000000"/>
          <w:sz w:val="22"/>
          <w:szCs w:val="22"/>
        </w:rPr>
        <w:t xml:space="preserve">Journal of Applied Microbiology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2325-2330. </w:t>
      </w:r>
      <w:hyperlink r:id="rId63236ab4eac53966c" w:history="1">
        <w:r>
          <w:rPr>
            <w:rFonts w:ascii="Calibri" w:hAnsi="Calibri" w:eastAsia="Calibri" w:cs="Calibri"/>
            <w:color w:val="0000CC"/>
            <w:sz w:val="22"/>
            <w:szCs w:val="22"/>
            <w:u w:val="single"/>
          </w:rPr>
          <w:t xml:space="preserve">https://doi.org/10.1111/j.1365-2672.2007.03467.x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Boudon-Padieu E (2002) Flavescence dorée of the grapevine: knowledge and new developments in epidemiology, etiology and diagnosis. </w:t>
      </w:r>
      <w:r>
        <w:rPr>
          <w:rFonts w:ascii="Calibri" w:hAnsi="Calibri" w:eastAsia="Calibri" w:cs="Calibri"/>
          <w:i/>
          <w:iCs/>
          <w:color w:val="000000"/>
          <w:sz w:val="22"/>
          <w:szCs w:val="22"/>
        </w:rPr>
        <w:t xml:space="preserve">ATTI Giornate Fitopatologiche</w:t>
      </w:r>
      <w:r>
        <w:rPr>
          <w:rFonts w:ascii="Calibri" w:hAnsi="Calibri" w:eastAsia="Calibri" w:cs="Calibri"/>
          <w:b/>
          <w:bCs/>
          <w:color w:val="000000"/>
          <w:sz w:val="22"/>
          <w:szCs w:val="22"/>
        </w:rPr>
        <w:t xml:space="preserve"> 1</w:t>
      </w:r>
      <w:r>
        <w:rPr>
          <w:rFonts w:ascii="Calibri" w:hAnsi="Calibri" w:eastAsia="Calibri" w:cs="Calibri"/>
          <w:color w:val="000000"/>
          <w:sz w:val="22"/>
          <w:szCs w:val="22"/>
        </w:rPr>
        <w:t xml:space="preserve">, 15-34.</w:t>
      </w:r>
    </w:p>
    <w:p>
      <w:pPr>
        <w:widowControl w:val="on"/>
        <w:pBdr/>
        <w:spacing w:before="220" w:after="220" w:line="240" w:lineRule="auto"/>
        <w:ind w:left="0" w:right="0"/>
        <w:jc w:val="left"/>
      </w:pPr>
      <w:r>
        <w:rPr>
          <w:rFonts w:ascii="Calibri" w:hAnsi="Calibri" w:eastAsia="Calibri" w:cs="Calibri"/>
          <w:color w:val="000000"/>
          <w:sz w:val="22"/>
          <w:szCs w:val="22"/>
        </w:rPr>
        <w:t xml:space="preserve">Casati P, Jermini M, Quaglino F, Corbani G, Schaerer S, Passera A, Bianco PA &amp; Rigamonti IE (2017) New insights on Flavescence dorée phytoplasma ecology in the vineyard agro-ecosystem in southern Switzerland.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171</w:t>
      </w:r>
      <w:r>
        <w:rPr>
          <w:rFonts w:ascii="Calibri" w:hAnsi="Calibri" w:eastAsia="Calibri" w:cs="Calibri"/>
          <w:color w:val="000000"/>
          <w:sz w:val="22"/>
          <w:szCs w:val="22"/>
        </w:rPr>
        <w:t xml:space="preserve">, 37-51. </w:t>
      </w:r>
      <w:hyperlink r:id="rId31366ab4eac539735" w:history="1">
        <w:r>
          <w:rPr>
            <w:rFonts w:ascii="Calibri" w:hAnsi="Calibri" w:eastAsia="Calibri" w:cs="Calibri"/>
            <w:color w:val="0000CC"/>
            <w:sz w:val="22"/>
            <w:szCs w:val="22"/>
            <w:u w:val="single"/>
          </w:rPr>
          <w:t xml:space="preserve">https://doi.org/10.1111/aab.12359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Caudwell A (1964) Identification et étude d'une nouvelle maladie à virus de la vigne, la flavescence dorée. </w:t>
      </w:r>
      <w:r>
        <w:rPr>
          <w:rFonts w:ascii="Calibri" w:hAnsi="Calibri" w:eastAsia="Calibri" w:cs="Calibri"/>
          <w:i/>
          <w:iCs/>
          <w:color w:val="000000"/>
          <w:sz w:val="22"/>
          <w:szCs w:val="22"/>
        </w:rPr>
        <w:t xml:space="preserve">Annales des Epiphyties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15-1</w:t>
      </w:r>
      <w:r>
        <w:rPr>
          <w:rFonts w:ascii="Calibri" w:hAnsi="Calibri" w:eastAsia="Calibri" w:cs="Calibri"/>
          <w:color w:val="000000"/>
          <w:sz w:val="22"/>
          <w:szCs w:val="22"/>
        </w:rPr>
        <w:t xml:space="preserve">, 193 pp.</w:t>
      </w:r>
    </w:p>
    <w:p>
      <w:pPr>
        <w:widowControl w:val="on"/>
        <w:pBdr/>
        <w:spacing w:before="220" w:after="220" w:line="240" w:lineRule="auto"/>
        <w:ind w:left="0" w:right="0"/>
        <w:jc w:val="left"/>
      </w:pPr>
      <w:r>
        <w:rPr>
          <w:rFonts w:ascii="Calibri" w:hAnsi="Calibri" w:eastAsia="Calibri" w:cs="Calibri"/>
          <w:color w:val="000000"/>
          <w:sz w:val="22"/>
          <w:szCs w:val="22"/>
        </w:rPr>
        <w:t xml:space="preserve">Caudwell A (1990) Epidemiology and characterization of Flavescence dorée (FD) and other grapevine yellows. </w:t>
      </w:r>
      <w:r>
        <w:rPr>
          <w:rFonts w:ascii="Calibri" w:hAnsi="Calibri" w:eastAsia="Calibri" w:cs="Calibri"/>
          <w:i/>
          <w:iCs/>
          <w:color w:val="000000"/>
          <w:sz w:val="22"/>
          <w:szCs w:val="22"/>
        </w:rPr>
        <w:t xml:space="preserve">Agronomie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655-663. </w:t>
      </w:r>
      <w:hyperlink r:id="rId28926ab4eac539806" w:history="1">
        <w:r>
          <w:rPr>
            <w:rFonts w:ascii="Calibri" w:hAnsi="Calibri" w:eastAsia="Calibri" w:cs="Calibri"/>
            <w:color w:val="0000CC"/>
            <w:sz w:val="22"/>
            <w:szCs w:val="22"/>
            <w:u w:val="single"/>
          </w:rPr>
          <w:t xml:space="preserve">https://doi.org/10.1051/agro:19900806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Caudwell A, Gianotti J, Kuszala C &amp; Larrue J (1971) Etude du rôle de particules de type 'Mycoplasme' dans l'étiologie de la Flavescence dorée de la vigne. Examen cytologique des plantes malades et des cicadelles infectieuses. </w:t>
      </w:r>
      <w:r>
        <w:rPr>
          <w:rFonts w:ascii="Calibri" w:hAnsi="Calibri" w:eastAsia="Calibri" w:cs="Calibri"/>
          <w:i/>
          <w:iCs/>
          <w:color w:val="000000"/>
          <w:sz w:val="22"/>
          <w:szCs w:val="22"/>
        </w:rPr>
        <w:t xml:space="preserve">Annales de Phytopathologie</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107-123.</w:t>
      </w:r>
    </w:p>
    <w:p>
      <w:pPr>
        <w:widowControl w:val="on"/>
        <w:pBdr/>
        <w:spacing w:before="220" w:after="220" w:line="240" w:lineRule="auto"/>
        <w:ind w:left="0" w:right="0"/>
        <w:jc w:val="left"/>
      </w:pPr>
      <w:r>
        <w:rPr>
          <w:rFonts w:ascii="Calibri" w:hAnsi="Calibri" w:eastAsia="Calibri" w:cs="Calibri"/>
          <w:color w:val="000000"/>
          <w:sz w:val="22"/>
          <w:szCs w:val="22"/>
        </w:rPr>
        <w:t xml:space="preserve">Caudwell A, Kuszala C, Bachelier JC &amp; Larrue J (1970) Transmission de la Flavescence dorée de la vigne aux plantes herbacées par l'allongement du temps d'utilisation de la cicadelle </w:t>
      </w:r>
      <w:r>
        <w:rPr>
          <w:rFonts w:ascii="Calibri" w:hAnsi="Calibri" w:eastAsia="Calibri" w:cs="Calibri"/>
          <w:i/>
          <w:iCs/>
          <w:color w:val="000000"/>
          <w:sz w:val="22"/>
          <w:szCs w:val="22"/>
        </w:rPr>
        <w:t xml:space="preserve">Scaphoideus littoralis</w:t>
      </w:r>
      <w:r>
        <w:rPr>
          <w:rFonts w:ascii="Calibri" w:hAnsi="Calibri" w:eastAsia="Calibri" w:cs="Calibri"/>
          <w:color w:val="000000"/>
          <w:sz w:val="22"/>
          <w:szCs w:val="22"/>
        </w:rPr>
        <w:t xml:space="preserve"> Ball et l'étude de sa survie sur un grand nombre d'espèces végétales. </w:t>
      </w:r>
      <w:r>
        <w:rPr>
          <w:rFonts w:ascii="Calibri" w:hAnsi="Calibri" w:eastAsia="Calibri" w:cs="Calibri"/>
          <w:i/>
          <w:iCs/>
          <w:color w:val="000000"/>
          <w:sz w:val="22"/>
          <w:szCs w:val="22"/>
        </w:rPr>
        <w:t xml:space="preserve">Annales de Phytopathologie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415-428.</w:t>
      </w:r>
    </w:p>
    <w:p>
      <w:pPr>
        <w:widowControl w:val="on"/>
        <w:pBdr/>
        <w:spacing w:before="220" w:after="220" w:line="240" w:lineRule="auto"/>
        <w:ind w:left="0" w:right="0"/>
        <w:jc w:val="left"/>
      </w:pPr>
      <w:r>
        <w:rPr>
          <w:rFonts w:ascii="Calibri" w:hAnsi="Calibri" w:eastAsia="Calibri" w:cs="Calibri"/>
          <w:color w:val="000000"/>
          <w:sz w:val="22"/>
          <w:szCs w:val="22"/>
        </w:rPr>
        <w:t xml:space="preserve">Caudwell A, Larrue J, Boudon-Padieu E &amp; McLean GD (1997) Flavescence dorée elimination from dormant wood of grapevines by hot-water treatment. </w:t>
      </w:r>
      <w:r>
        <w:rPr>
          <w:rFonts w:ascii="Calibri" w:hAnsi="Calibri" w:eastAsia="Calibri" w:cs="Calibri"/>
          <w:i/>
          <w:iCs/>
          <w:color w:val="000000"/>
          <w:sz w:val="22"/>
          <w:szCs w:val="22"/>
        </w:rPr>
        <w:t xml:space="preserve">Australian Journal of Grape and Wine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21-25. </w:t>
      </w:r>
      <w:hyperlink r:id="rId10556ab4eac539976" w:history="1">
        <w:r>
          <w:rPr>
            <w:rFonts w:ascii="Calibri" w:hAnsi="Calibri" w:eastAsia="Calibri" w:cs="Calibri"/>
            <w:color w:val="0000CC"/>
            <w:sz w:val="22"/>
            <w:szCs w:val="22"/>
            <w:u w:val="single"/>
          </w:rPr>
          <w:t xml:space="preserve">https://doi.org/10.1111/j.1755-0238.1997.tb00112.x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Caudwell A, Larrue J, Valat C &amp; Grenan S (1992) Hot water treatments against flavescence dorée on dormant wood. </w:t>
      </w:r>
      <w:r>
        <w:rPr>
          <w:rFonts w:ascii="Calibri" w:hAnsi="Calibri" w:eastAsia="Calibri" w:cs="Calibri"/>
          <w:i/>
          <w:iCs/>
          <w:color w:val="000000"/>
          <w:sz w:val="22"/>
          <w:szCs w:val="22"/>
        </w:rPr>
        <w:t xml:space="preserve">Proceedings of the 10th Meeting of ICVG</w:t>
      </w:r>
      <w:r>
        <w:rPr>
          <w:rFonts w:ascii="Calibri" w:hAnsi="Calibri" w:eastAsia="Calibri" w:cs="Calibri"/>
          <w:color w:val="000000"/>
          <w:sz w:val="22"/>
          <w:szCs w:val="22"/>
        </w:rPr>
        <w:t xml:space="preserve">. Volos, Greece.</w:t>
      </w:r>
    </w:p>
    <w:p>
      <w:pPr>
        <w:widowControl w:val="on"/>
        <w:pBdr/>
        <w:spacing w:before="220" w:after="220" w:line="240" w:lineRule="auto"/>
        <w:ind w:left="0" w:right="0"/>
        <w:jc w:val="left"/>
      </w:pPr>
      <w:r>
        <w:rPr>
          <w:rFonts w:ascii="Calibri" w:hAnsi="Calibri" w:eastAsia="Calibri" w:cs="Calibri"/>
          <w:color w:val="000000"/>
          <w:sz w:val="22"/>
          <w:szCs w:val="22"/>
        </w:rPr>
        <w:t xml:space="preserve">Chabirand A, Loiseau M, Renaudin I &amp; Poliakoff F (2017) Data processing of qualitative results from an interlaboratory comparison for the detection of 'Flavescence dorée' phytoplasma: How the use of statistics can improve the reliability of the method validation process in plant pathology. </w:t>
      </w:r>
      <w:r>
        <w:rPr>
          <w:rFonts w:ascii="Calibri" w:hAnsi="Calibri" w:eastAsia="Calibri" w:cs="Calibri"/>
          <w:i/>
          <w:iCs/>
          <w:color w:val="000000"/>
          <w:sz w:val="22"/>
          <w:szCs w:val="22"/>
        </w:rPr>
        <w:t xml:space="preserve">Plos One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e0175247. </w:t>
      </w:r>
      <w:hyperlink r:id="rId16996ab4eac539a21" w:history="1">
        <w:r>
          <w:rPr>
            <w:rFonts w:ascii="Calibri" w:hAnsi="Calibri" w:eastAsia="Calibri" w:cs="Calibri"/>
            <w:color w:val="0000CC"/>
            <w:sz w:val="22"/>
            <w:szCs w:val="22"/>
            <w:u w:val="single"/>
          </w:rPr>
          <w:t xml:space="preserve">https://doi.org/10.1371/journal.pone.0175247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Chuche J &amp; Thiery D (2014) Biology and ecology of the Flavescence dorée vector </w:t>
      </w:r>
      <w:r>
        <w:rPr>
          <w:rFonts w:ascii="Calibri" w:hAnsi="Calibri" w:eastAsia="Calibri" w:cs="Calibri"/>
          <w:i/>
          <w:iCs/>
          <w:color w:val="000000"/>
          <w:sz w:val="22"/>
          <w:szCs w:val="22"/>
        </w:rPr>
        <w:t xml:space="preserve">Scaphoideus titanus</w:t>
      </w:r>
      <w:r>
        <w:rPr>
          <w:rFonts w:ascii="Calibri" w:hAnsi="Calibri" w:eastAsia="Calibri" w:cs="Calibri"/>
          <w:color w:val="000000"/>
          <w:sz w:val="22"/>
          <w:szCs w:val="22"/>
        </w:rPr>
        <w:t xml:space="preserve">: a review. </w:t>
      </w:r>
      <w:r>
        <w:rPr>
          <w:rFonts w:ascii="Calibri" w:hAnsi="Calibri" w:eastAsia="Calibri" w:cs="Calibri"/>
          <w:i/>
          <w:iCs/>
          <w:color w:val="000000"/>
          <w:sz w:val="22"/>
          <w:szCs w:val="22"/>
        </w:rPr>
        <w:t xml:space="preserve">Agronomy for Sustainable Development</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381-403.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 Schemes for the production of healthy plants for planting. EPPO Standard PM 4/8 Pathogen-tested material of grapevine varieties and rootstocks.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422-429. doi:</w:t>
      </w:r>
      <w:hyperlink r:id="rId31426ab4eac539b19" w:history="1">
        <w:r>
          <w:rPr>
            <w:rFonts w:ascii="Calibri" w:hAnsi="Calibri" w:eastAsia="Calibri" w:cs="Calibri"/>
            <w:color w:val="0000CC"/>
            <w:sz w:val="22"/>
            <w:szCs w:val="22"/>
            <w:u w:val="single"/>
          </w:rPr>
          <w:t xml:space="preserve">https://gd.eppo.int/taxon/PHYP64/documents</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(2012) Phytosanitary treatments. EPPO Standard PM 10/18 Hot water treatment of grapevine to control Grapevine flavescence dorée phytoplasma.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490-492. doi:</w:t>
      </w:r>
      <w:hyperlink r:id="rId65866ab4eac539b8d" w:history="1">
        <w:r>
          <w:rPr>
            <w:rFonts w:ascii="Calibri" w:hAnsi="Calibri" w:eastAsia="Calibri" w:cs="Calibri"/>
            <w:color w:val="0000CC"/>
            <w:sz w:val="22"/>
            <w:szCs w:val="22"/>
            <w:u w:val="single"/>
          </w:rPr>
          <w:t xml:space="preserve">https://gd.eppo.int/taxon/PHYP64/documents</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(2016a) Pest risk analysis. EPPO Standard PM 5/8 Guidelines on the phytosanitary measure ‘Plants grown under physical isolation’ + corrigendum</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421-423. doi:</w:t>
      </w:r>
      <w:hyperlink r:id="rId72266ab4eac539bff" w:history="1">
        <w:r>
          <w:rPr>
            <w:rFonts w:ascii="Calibri" w:hAnsi="Calibri" w:eastAsia="Calibri" w:cs="Calibri"/>
            <w:color w:val="0000CC"/>
            <w:sz w:val="22"/>
            <w:szCs w:val="22"/>
            <w:u w:val="single"/>
          </w:rPr>
          <w:t xml:space="preserve">https://gd.eppo.int/standards/PM5/</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(2016b) Diagnostics. EPPO Standard PM 7/079 (2) Grapevine flavescence dorée phytoplasma.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78-93.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Phytosanitary procedures. EPPO Standard PM 3/85(1) Inspection of places of production – Vitis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330-349. Available at </w:t>
      </w:r>
      <w:hyperlink r:id="rId47916ab4eac539cd1" w:history="1">
        <w:r>
          <w:rPr>
            <w:rFonts w:ascii="Calibri" w:hAnsi="Calibri" w:eastAsia="Calibri" w:cs="Calibri"/>
            <w:color w:val="0000CC"/>
            <w:sz w:val="22"/>
            <w:szCs w:val="22"/>
            <w:u w:val="single"/>
          </w:rPr>
          <w:t xml:space="preserve">https://gd.eppo.int/download/standard/738/pm3-085-1-en.pdf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Version of 2019-12-10.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L319</w:t>
      </w:r>
      <w:r>
        <w:rPr>
          <w:rFonts w:ascii="Calibri" w:hAnsi="Calibri" w:eastAsia="Calibri" w:cs="Calibri"/>
          <w:color w:val="000000"/>
          <w:sz w:val="22"/>
          <w:szCs w:val="22"/>
        </w:rPr>
        <w:t xml:space="preserve">, 1-278.</w:t>
      </w:r>
    </w:p>
    <w:p>
      <w:pPr>
        <w:widowControl w:val="on"/>
        <w:pBdr/>
        <w:spacing w:before="220" w:after="220" w:line="240" w:lineRule="auto"/>
        <w:ind w:left="0" w:right="0"/>
        <w:jc w:val="left"/>
      </w:pPr>
      <w:r>
        <w:rPr>
          <w:rFonts w:ascii="Calibri" w:hAnsi="Calibri" w:eastAsia="Calibri" w:cs="Calibri"/>
          <w:color w:val="000000"/>
          <w:sz w:val="22"/>
          <w:szCs w:val="22"/>
        </w:rPr>
        <w:t xml:space="preserve">Eveillard S, Jollard C, Labroussaa F, Khalil D, Perrin M, Desque D, Salar P, Razan F, Hevin C, Bordenave L, Foissac X, Masson JE &amp; Malembic-Maher S (2016) Contrasting susceptibilities to Flavescence dorée in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rootstocks and wild </w:t>
      </w:r>
      <w:r>
        <w:rPr>
          <w:rFonts w:ascii="Calibri" w:hAnsi="Calibri" w:eastAsia="Calibri" w:cs="Calibri"/>
          <w:i/>
          <w:iCs/>
          <w:color w:val="000000"/>
          <w:sz w:val="22"/>
          <w:szCs w:val="22"/>
        </w:rPr>
        <w:t xml:space="preserve">Vitis s</w:t>
      </w:r>
      <w:r>
        <w:rPr>
          <w:rFonts w:ascii="Calibri" w:hAnsi="Calibri" w:eastAsia="Calibri" w:cs="Calibri"/>
          <w:color w:val="000000"/>
          <w:sz w:val="22"/>
          <w:szCs w:val="22"/>
        </w:rPr>
        <w:t xml:space="preserve">pecies. </w:t>
      </w:r>
      <w:r>
        <w:rPr>
          <w:rFonts w:ascii="Calibri" w:hAnsi="Calibri" w:eastAsia="Calibri" w:cs="Calibri"/>
          <w:i/>
          <w:iCs/>
          <w:color w:val="000000"/>
          <w:sz w:val="22"/>
          <w:szCs w:val="22"/>
        </w:rPr>
        <w:t xml:space="preserve">Frontiers in Plant Science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w:t>
      </w:r>
      <w:hyperlink r:id="rId24486ab4eac539ddc" w:history="1">
        <w:r>
          <w:rPr>
            <w:rFonts w:ascii="Calibri" w:hAnsi="Calibri" w:eastAsia="Calibri" w:cs="Calibri"/>
            <w:color w:val="0000CC"/>
            <w:sz w:val="22"/>
            <w:szCs w:val="22"/>
            <w:u w:val="single"/>
          </w:rPr>
          <w:t xml:space="preserve">https://doi.org/10.3389/fpls.2016.01762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Filippin L, De Pra V, Zottini M, Borgo M &amp; Angelini E (2011) Nucleotide sequencing of imp gene in phytoplasmas associated to 'flavescence doree' from </w:t>
      </w:r>
      <w:r>
        <w:rPr>
          <w:rFonts w:ascii="Calibri" w:hAnsi="Calibri" w:eastAsia="Calibri" w:cs="Calibri"/>
          <w:i/>
          <w:iCs/>
          <w:color w:val="000000"/>
          <w:sz w:val="22"/>
          <w:szCs w:val="22"/>
        </w:rPr>
        <w:t xml:space="preserve">Ailanthus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of Insectology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S49-S50.</w:t>
      </w:r>
    </w:p>
    <w:p>
      <w:pPr>
        <w:widowControl w:val="on"/>
        <w:pBdr/>
        <w:spacing w:before="220" w:after="220" w:line="240" w:lineRule="auto"/>
        <w:ind w:left="0" w:right="0"/>
        <w:jc w:val="left"/>
      </w:pPr>
      <w:r>
        <w:rPr>
          <w:rFonts w:ascii="Calibri" w:hAnsi="Calibri" w:eastAsia="Calibri" w:cs="Calibri"/>
          <w:color w:val="000000"/>
          <w:sz w:val="22"/>
          <w:szCs w:val="22"/>
        </w:rPr>
        <w:t xml:space="preserve">Filippin L, Jovic J, Cvrkovic T, Forte V, Clair D, Tosevski I, Boudon-Padieu E, Borgo M &amp; Angelini E (2009) Molecular characteristics of phytoplasmas associated with Flavescence dorée in clematis and grapevine and preliminary results on the role of </w:t>
      </w:r>
      <w:r>
        <w:rPr>
          <w:rFonts w:ascii="Calibri" w:hAnsi="Calibri" w:eastAsia="Calibri" w:cs="Calibri"/>
          <w:i/>
          <w:iCs/>
          <w:color w:val="000000"/>
          <w:sz w:val="22"/>
          <w:szCs w:val="22"/>
        </w:rPr>
        <w:t xml:space="preserve">Dictyophara europaea</w:t>
      </w:r>
      <w:r>
        <w:rPr>
          <w:rFonts w:ascii="Calibri" w:hAnsi="Calibri" w:eastAsia="Calibri" w:cs="Calibri"/>
          <w:color w:val="000000"/>
          <w:sz w:val="22"/>
          <w:szCs w:val="22"/>
        </w:rPr>
        <w:t xml:space="preserve"> as a vector.</w:t>
      </w:r>
      <w:r>
        <w:rPr>
          <w:rFonts w:ascii="Calibri" w:hAnsi="Calibri" w:eastAsia="Calibri" w:cs="Calibri"/>
          <w:i/>
          <w:iCs/>
          <w:color w:val="000000"/>
          <w:sz w:val="22"/>
          <w:szCs w:val="22"/>
        </w:rPr>
        <w:t xml:space="preserve">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826-837. </w:t>
      </w:r>
      <w:hyperlink r:id="rId14956ab4eac539ee0" w:history="1">
        <w:r>
          <w:rPr>
            <w:rFonts w:ascii="Calibri" w:hAnsi="Calibri" w:eastAsia="Calibri" w:cs="Calibri"/>
            <w:color w:val="0000CC"/>
            <w:sz w:val="22"/>
            <w:szCs w:val="22"/>
            <w:u w:val="single"/>
          </w:rPr>
          <w:t xml:space="preserve">https://doi.org/10.1111/j.1365-3059.2009.02092.x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Holz S, Duduk B, Buttner C &amp; Kube M (2016) Genetic variability of Alder yellows phytoplasma in </w:t>
      </w:r>
      <w:r>
        <w:rPr>
          <w:rFonts w:ascii="Calibri" w:hAnsi="Calibri" w:eastAsia="Calibri" w:cs="Calibri"/>
          <w:i/>
          <w:iCs/>
          <w:color w:val="000000"/>
          <w:sz w:val="22"/>
          <w:szCs w:val="22"/>
        </w:rPr>
        <w:t xml:space="preserve">Alnus glutinosa</w:t>
      </w:r>
      <w:r>
        <w:rPr>
          <w:rFonts w:ascii="Calibri" w:hAnsi="Calibri" w:eastAsia="Calibri" w:cs="Calibri"/>
          <w:color w:val="000000"/>
          <w:sz w:val="22"/>
          <w:szCs w:val="22"/>
        </w:rPr>
        <w:t xml:space="preserve"> in its natural Spreewald habitat.</w:t>
      </w:r>
      <w:r>
        <w:rPr>
          <w:rFonts w:ascii="Calibri" w:hAnsi="Calibri" w:eastAsia="Calibri" w:cs="Calibri"/>
          <w:i/>
          <w:iCs/>
          <w:color w:val="000000"/>
          <w:sz w:val="22"/>
          <w:szCs w:val="22"/>
        </w:rPr>
        <w:t xml:space="preserve"> Forest Pathology</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11-21. </w:t>
      </w:r>
      <w:hyperlink r:id="rId41646ab4eac539f84" w:history="1">
        <w:r>
          <w:rPr>
            <w:rFonts w:ascii="Calibri" w:hAnsi="Calibri" w:eastAsia="Calibri" w:cs="Calibri"/>
            <w:color w:val="0000CC"/>
            <w:sz w:val="22"/>
            <w:szCs w:val="22"/>
            <w:u w:val="single"/>
          </w:rPr>
          <w:t xml:space="preserve">https://doi.org/10.1111/efp.12206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IRPCM phytoplasma/Spiroplasma (2004)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a taxon for the wall-less, non-helical prokaryotes that colonize plant phloem and insects. </w:t>
      </w:r>
      <w:r>
        <w:rPr>
          <w:rFonts w:ascii="Calibri" w:hAnsi="Calibri" w:eastAsia="Calibri" w:cs="Calibri"/>
          <w:i/>
          <w:iCs/>
          <w:color w:val="000000"/>
          <w:sz w:val="22"/>
          <w:szCs w:val="22"/>
        </w:rPr>
        <w:t xml:space="preserve">International Journal of Systematic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and </w:t>
      </w:r>
      <w:r>
        <w:rPr>
          <w:rFonts w:ascii="Calibri" w:hAnsi="Calibri" w:eastAsia="Calibri" w:cs="Calibri"/>
          <w:i/>
          <w:iCs/>
          <w:color w:val="000000"/>
          <w:sz w:val="22"/>
          <w:szCs w:val="22"/>
        </w:rPr>
        <w:t xml:space="preserve">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1243-1255.</w:t>
      </w:r>
    </w:p>
    <w:p>
      <w:pPr>
        <w:widowControl w:val="on"/>
        <w:pBdr/>
        <w:spacing w:before="220" w:after="220" w:line="240" w:lineRule="auto"/>
        <w:ind w:left="0" w:right="0"/>
        <w:jc w:val="left"/>
      </w:pPr>
      <w:r>
        <w:rPr>
          <w:rFonts w:ascii="Calibri" w:hAnsi="Calibri" w:eastAsia="Calibri" w:cs="Calibri"/>
          <w:color w:val="000000"/>
          <w:sz w:val="22"/>
          <w:szCs w:val="22"/>
        </w:rPr>
        <w:t xml:space="preserve">Jarausch B, Biancu S, Kugler S, Wetzel T, Baumann M, Winterhagen P, Jarausch W, Kortekamp A &amp; Maixner M (2021)</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First report of Flavescence dorée-related phytoplasma in grapevine in Germany.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105(10), 3285</w:t>
      </w:r>
      <w:r>
        <w:rPr>
          <w:rFonts w:ascii="Calibri" w:hAnsi="Calibri" w:eastAsia="Calibri" w:cs="Calibri"/>
          <w:i/>
          <w:iCs/>
          <w:color w:val="000000"/>
          <w:sz w:val="22"/>
          <w:szCs w:val="22"/>
        </w:rPr>
        <w:t xml:space="preserve">. </w:t>
      </w:r>
      <w:hyperlink r:id="rId82396ab4eac53a0bf" w:history="1">
        <w:r>
          <w:rPr>
            <w:rFonts w:ascii="Calibri" w:hAnsi="Calibri" w:eastAsia="Calibri" w:cs="Calibri"/>
            <w:color w:val="0000CC"/>
            <w:sz w:val="22"/>
            <w:szCs w:val="22"/>
            <w:u w:val="single"/>
          </w:rPr>
          <w:t xml:space="preserve">https://doi.org/10.1094/pdis-02-21-0330-pdn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Jeger M, Bragard C, Caffier D, Candresse T, Chatzivassiliou E, Dehnen-Schmutz K, Gilioli G, Miret JAJ, MacLeod A, Navarro MN, Niere B, Parnell S, Potting R, Rafoss T, Rossi V, Urek G, Van Bruggen A, Van Der Werf W, West J, Winter S, Bosco D, Foissac X, Strauss G, Hollo G, Mosbach-Schulz O &amp; Grégoire J-C (2016) Risk to plant health of Flavescence dorée for the EU territory.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4603. </w:t>
      </w:r>
      <w:hyperlink r:id="rId73856ab4eac53a134" w:history="1">
        <w:r>
          <w:rPr>
            <w:rFonts w:ascii="Calibri" w:hAnsi="Calibri" w:eastAsia="Calibri" w:cs="Calibri"/>
            <w:color w:val="0000CC"/>
            <w:sz w:val="22"/>
            <w:szCs w:val="22"/>
            <w:u w:val="single"/>
          </w:rPr>
          <w:t xml:space="preserve">https://doi.org/10.2903/j.efsa.2016.4603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Krstic O, Cvrkovic T, Marinkovic S, Jakovljevic M, Mitrovic M, Tosevski I &amp; Jovic J (2022) Genetic diversity of Flavescence dorée phytoplasmas in vineyards of Serbia: from the widespread occurrence of autochthonous Map-M51 to the emergence of endemic map-FD2 (Vectotype II) and new map-FD3 (Vectotype III) epidemic genotypes. </w:t>
      </w:r>
      <w:r>
        <w:rPr>
          <w:rFonts w:ascii="Calibri" w:hAnsi="Calibri" w:eastAsia="Calibri" w:cs="Calibri"/>
          <w:i/>
          <w:iCs/>
          <w:color w:val="000000"/>
          <w:sz w:val="22"/>
          <w:szCs w:val="22"/>
        </w:rPr>
        <w:t xml:space="preserve">Agronomy-Basel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w:t>
      </w:r>
      <w:hyperlink r:id="rId29296ab4eac53a1ad" w:history="1">
        <w:r>
          <w:rPr>
            <w:rFonts w:ascii="Calibri" w:hAnsi="Calibri" w:eastAsia="Calibri" w:cs="Calibri"/>
            <w:color w:val="0000CC"/>
            <w:sz w:val="22"/>
            <w:szCs w:val="22"/>
            <w:u w:val="single"/>
          </w:rPr>
          <w:t xml:space="preserve">https://doi.org/10.3390/agronomy12020448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Lefol C, Caudwell A, Lherminier J &amp; Larrue J (1993) Attachment of the Flavescence dorée pathogen (Mlo) to leafhopper vectors and other insects.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123</w:t>
      </w:r>
      <w:r>
        <w:rPr>
          <w:rFonts w:ascii="Calibri" w:hAnsi="Calibri" w:eastAsia="Calibri" w:cs="Calibri"/>
          <w:color w:val="000000"/>
          <w:sz w:val="22"/>
          <w:szCs w:val="22"/>
        </w:rPr>
        <w:t xml:space="preserve">, 611-622.</w:t>
      </w:r>
    </w:p>
    <w:p>
      <w:pPr>
        <w:widowControl w:val="on"/>
        <w:pBdr/>
        <w:spacing w:before="220" w:after="220" w:line="240" w:lineRule="auto"/>
        <w:ind w:left="0" w:right="0"/>
        <w:jc w:val="left"/>
      </w:pPr>
      <w:r>
        <w:rPr>
          <w:rFonts w:ascii="Calibri" w:hAnsi="Calibri" w:eastAsia="Calibri" w:cs="Calibri"/>
          <w:color w:val="000000"/>
          <w:sz w:val="22"/>
          <w:szCs w:val="22"/>
        </w:rPr>
        <w:t xml:space="preserve">Lefol C, Lherminier J, Boudon-Padieu E, Larrue J, Louis C &amp; Caudwell A (1994) Propagation of flavescence dorée MLO (Mycoplasma-Like Organism) in the leafhopper vector </w:t>
      </w:r>
      <w:r>
        <w:rPr>
          <w:rFonts w:ascii="Calibri" w:hAnsi="Calibri" w:eastAsia="Calibri" w:cs="Calibri"/>
          <w:i/>
          <w:iCs/>
          <w:color w:val="000000"/>
          <w:sz w:val="22"/>
          <w:szCs w:val="22"/>
        </w:rPr>
        <w:t xml:space="preserve">Euscelidius variegatus</w:t>
      </w:r>
      <w:r>
        <w:rPr>
          <w:rFonts w:ascii="Calibri" w:hAnsi="Calibri" w:eastAsia="Calibri" w:cs="Calibri"/>
          <w:color w:val="000000"/>
          <w:sz w:val="22"/>
          <w:szCs w:val="22"/>
        </w:rPr>
        <w:t xml:space="preserve"> Kbm. </w:t>
      </w:r>
      <w:r>
        <w:rPr>
          <w:rFonts w:ascii="Calibri" w:hAnsi="Calibri" w:eastAsia="Calibri" w:cs="Calibri"/>
          <w:i/>
          <w:iCs/>
          <w:color w:val="000000"/>
          <w:sz w:val="22"/>
          <w:szCs w:val="22"/>
        </w:rPr>
        <w:t xml:space="preserve">Journal of Invertebrate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285-293.</w:t>
      </w:r>
    </w:p>
    <w:p>
      <w:pPr>
        <w:widowControl w:val="on"/>
        <w:pBdr/>
        <w:spacing w:before="220" w:after="220" w:line="240" w:lineRule="auto"/>
        <w:ind w:left="0" w:right="0"/>
        <w:jc w:val="left"/>
      </w:pPr>
      <w:r>
        <w:rPr>
          <w:rFonts w:ascii="Calibri" w:hAnsi="Calibri" w:eastAsia="Calibri" w:cs="Calibri"/>
          <w:color w:val="000000"/>
          <w:sz w:val="22"/>
          <w:szCs w:val="22"/>
        </w:rPr>
        <w:t xml:space="preserve">Lessio F, Tota F &amp; Alma A (2014) Tracking the dispersion of</w:t>
      </w:r>
      <w:r>
        <w:rPr>
          <w:rFonts w:ascii="Calibri" w:hAnsi="Calibri" w:eastAsia="Calibri" w:cs="Calibri"/>
          <w:i/>
          <w:iCs/>
          <w:color w:val="000000"/>
          <w:sz w:val="22"/>
          <w:szCs w:val="22"/>
        </w:rPr>
        <w:t xml:space="preserve"> Scaphoideus titanus</w:t>
      </w:r>
      <w:r>
        <w:rPr>
          <w:rFonts w:ascii="Calibri" w:hAnsi="Calibri" w:eastAsia="Calibri" w:cs="Calibri"/>
          <w:color w:val="000000"/>
          <w:sz w:val="22"/>
          <w:szCs w:val="22"/>
        </w:rPr>
        <w:t xml:space="preserve"> Ball (Hemiptera: Cicadellidae) from wild to cultivated grapevine: use of a novel mark–capture technique.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432-443.</w:t>
      </w:r>
    </w:p>
    <w:p>
      <w:pPr>
        <w:widowControl w:val="on"/>
        <w:pBdr/>
        <w:spacing w:before="220" w:after="220" w:line="240" w:lineRule="auto"/>
        <w:ind w:left="0" w:right="0"/>
        <w:jc w:val="left"/>
      </w:pPr>
      <w:r>
        <w:rPr>
          <w:rFonts w:ascii="Calibri" w:hAnsi="Calibri" w:eastAsia="Calibri" w:cs="Calibri"/>
          <w:color w:val="000000"/>
          <w:sz w:val="22"/>
          <w:szCs w:val="22"/>
        </w:rPr>
        <w:t xml:space="preserve">Linder C, Schaub L &amp; Klotzli-Estermann F (2010) Effectiveness of hot water treatment against the eggs of </w:t>
      </w:r>
      <w:r>
        <w:rPr>
          <w:rFonts w:ascii="Calibri" w:hAnsi="Calibri" w:eastAsia="Calibri" w:cs="Calibri"/>
          <w:i/>
          <w:iCs/>
          <w:color w:val="000000"/>
          <w:sz w:val="22"/>
          <w:szCs w:val="22"/>
        </w:rPr>
        <w:t xml:space="preserve">Scaphoideus titanus</w:t>
      </w:r>
      <w:r>
        <w:rPr>
          <w:rFonts w:ascii="Calibri" w:hAnsi="Calibri" w:eastAsia="Calibri" w:cs="Calibri"/>
          <w:color w:val="000000"/>
          <w:sz w:val="22"/>
          <w:szCs w:val="22"/>
        </w:rPr>
        <w:t xml:space="preserve"> Ball, vector of the grapevine flavescence dorée. </w:t>
      </w:r>
      <w:r>
        <w:rPr>
          <w:rFonts w:ascii="Calibri" w:hAnsi="Calibri" w:eastAsia="Calibri" w:cs="Calibri"/>
          <w:i/>
          <w:iCs/>
          <w:color w:val="000000"/>
          <w:sz w:val="22"/>
          <w:szCs w:val="22"/>
        </w:rPr>
        <w:t xml:space="preserve">Revue Suisse de Viticulture, Arboriculture et Horticulture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132-135.</w:t>
      </w:r>
    </w:p>
    <w:p>
      <w:pPr>
        <w:widowControl w:val="on"/>
        <w:pBdr/>
        <w:spacing w:before="220" w:after="220" w:line="240" w:lineRule="auto"/>
        <w:ind w:left="0" w:right="0"/>
        <w:jc w:val="left"/>
      </w:pPr>
      <w:r>
        <w:rPr>
          <w:rFonts w:ascii="Calibri" w:hAnsi="Calibri" w:eastAsia="Calibri" w:cs="Calibri"/>
          <w:color w:val="000000"/>
          <w:sz w:val="22"/>
          <w:szCs w:val="22"/>
        </w:rPr>
        <w:t xml:space="preserve">Maixner M &amp; Reinert W (1999) </w:t>
      </w:r>
      <w:r>
        <w:rPr>
          <w:rFonts w:ascii="Calibri" w:hAnsi="Calibri" w:eastAsia="Calibri" w:cs="Calibri"/>
          <w:i/>
          <w:iCs/>
          <w:color w:val="000000"/>
          <w:sz w:val="22"/>
          <w:szCs w:val="22"/>
        </w:rPr>
        <w:t xml:space="preserve">Oncopsis alni </w:t>
      </w:r>
      <w:r>
        <w:rPr>
          <w:rFonts w:ascii="Calibri" w:hAnsi="Calibri" w:eastAsia="Calibri" w:cs="Calibri"/>
          <w:color w:val="000000"/>
          <w:sz w:val="22"/>
          <w:szCs w:val="22"/>
        </w:rPr>
        <w:t xml:space="preserve">(Schrank) (Auchenorrhyncha : Cicadellidae) as a vector of the alder yellows phytoplasma of </w:t>
      </w:r>
      <w:r>
        <w:rPr>
          <w:rFonts w:ascii="Calibri" w:hAnsi="Calibri" w:eastAsia="Calibri" w:cs="Calibri"/>
          <w:i/>
          <w:iCs/>
          <w:color w:val="000000"/>
          <w:sz w:val="22"/>
          <w:szCs w:val="22"/>
        </w:rPr>
        <w:t xml:space="preserve">Alnus glutinosa</w:t>
      </w:r>
      <w:r>
        <w:rPr>
          <w:rFonts w:ascii="Calibri" w:hAnsi="Calibri" w:eastAsia="Calibri" w:cs="Calibri"/>
          <w:color w:val="000000"/>
          <w:sz w:val="22"/>
          <w:szCs w:val="22"/>
        </w:rPr>
        <w:t xml:space="preserve"> (L.) Gaertn.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87-94.</w:t>
      </w:r>
    </w:p>
    <w:p>
      <w:pPr>
        <w:widowControl w:val="on"/>
        <w:pBdr/>
        <w:spacing w:before="220" w:after="220" w:line="240" w:lineRule="auto"/>
        <w:ind w:left="0" w:right="0"/>
        <w:jc w:val="left"/>
      </w:pPr>
      <w:r>
        <w:rPr>
          <w:rFonts w:ascii="Calibri" w:hAnsi="Calibri" w:eastAsia="Calibri" w:cs="Calibri"/>
          <w:color w:val="000000"/>
          <w:sz w:val="22"/>
          <w:szCs w:val="22"/>
        </w:rPr>
        <w:t xml:space="preserve">Maixner M, Reinert W &amp; Darimont H (2000) Transmission of grapevine yellows by </w:t>
      </w:r>
      <w:r>
        <w:rPr>
          <w:rFonts w:ascii="Calibri" w:hAnsi="Calibri" w:eastAsia="Calibri" w:cs="Calibri"/>
          <w:i/>
          <w:iCs/>
          <w:color w:val="000000"/>
          <w:sz w:val="22"/>
          <w:szCs w:val="22"/>
        </w:rPr>
        <w:t xml:space="preserve">Oncopsis alni</w:t>
      </w:r>
      <w:r>
        <w:rPr>
          <w:rFonts w:ascii="Calibri" w:hAnsi="Calibri" w:eastAsia="Calibri" w:cs="Calibri"/>
          <w:color w:val="000000"/>
          <w:sz w:val="22"/>
          <w:szCs w:val="22"/>
        </w:rPr>
        <w:t xml:space="preserve"> (Schrank) (Auchenorrhyncha : Macropsinae). </w:t>
      </w:r>
      <w:r>
        <w:rPr>
          <w:rFonts w:ascii="Calibri" w:hAnsi="Calibri" w:eastAsia="Calibri" w:cs="Calibri"/>
          <w:i/>
          <w:iCs/>
          <w:color w:val="000000"/>
          <w:sz w:val="22"/>
          <w:szCs w:val="22"/>
        </w:rPr>
        <w:t xml:space="preserve">Vitis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83-84.</w:t>
      </w:r>
    </w:p>
    <w:p>
      <w:pPr>
        <w:widowControl w:val="on"/>
        <w:pBdr/>
        <w:spacing w:before="220" w:after="220" w:line="240" w:lineRule="auto"/>
        <w:ind w:left="0" w:right="0"/>
        <w:jc w:val="left"/>
      </w:pPr>
      <w:r>
        <w:rPr>
          <w:rFonts w:ascii="Calibri" w:hAnsi="Calibri" w:eastAsia="Calibri" w:cs="Calibri"/>
          <w:color w:val="000000"/>
          <w:sz w:val="22"/>
          <w:szCs w:val="22"/>
        </w:rPr>
        <w:t xml:space="preserve">Malembic-Maher S, Desque D, Khalil D, Salar P, Bergey B, Danet J-L, Duret S, Dubrana-Ourabah M-P, Beven L, Ember I, Acs Z, Della Bartola M, Materazzi A, Filippin L, Krnjajic S, Krstic O, Tosevski I, Lang F, Jarausch B, Kolber M, Jovic J, Angelini E, Arricau-Bouvery N, Maixner M &amp; Foissac X (2020) When a Palearctic bacterium meets a Nearctic insect vector: Genetic and ecological insights into the emergence of the grapevine flavescence dorée epidemics in Europe. </w:t>
      </w:r>
      <w:r>
        <w:rPr>
          <w:rFonts w:ascii="Calibri" w:hAnsi="Calibri" w:eastAsia="Calibri" w:cs="Calibri"/>
          <w:i/>
          <w:iCs/>
          <w:color w:val="000000"/>
          <w:sz w:val="22"/>
          <w:szCs w:val="22"/>
        </w:rPr>
        <w:t xml:space="preserve">Plos Pathogens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w:t>
      </w:r>
      <w:hyperlink r:id="rId98886ab4eac53a50d" w:history="1">
        <w:r>
          <w:rPr>
            <w:rFonts w:ascii="Calibri" w:hAnsi="Calibri" w:eastAsia="Calibri" w:cs="Calibri"/>
            <w:color w:val="0000CC"/>
            <w:sz w:val="22"/>
            <w:szCs w:val="22"/>
            <w:u w:val="single"/>
          </w:rPr>
          <w:t xml:space="preserve">https://doi.org/10.1371/journal.ppat.1007967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Malembic-Maher S, Salar P, Filippin L, Carle P, Angelini E &amp; Foissac X (2011) Genetic diversity of European phytoplasmas of the 16SrV taxonomic group and proposal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rubi’. </w:t>
      </w:r>
      <w:r>
        <w:rPr>
          <w:rFonts w:ascii="Calibri" w:hAnsi="Calibri" w:eastAsia="Calibri" w:cs="Calibri"/>
          <w:i/>
          <w:iCs/>
          <w:color w:val="000000"/>
          <w:sz w:val="22"/>
          <w:szCs w:val="22"/>
        </w:rPr>
        <w:t xml:space="preserve">International Journal of Systematic &amp; Evolutionary Microbiology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2129-2134.</w:t>
      </w:r>
    </w:p>
    <w:p>
      <w:pPr>
        <w:widowControl w:val="on"/>
        <w:pBdr/>
        <w:spacing w:before="220" w:after="220" w:line="240" w:lineRule="auto"/>
        <w:ind w:left="0" w:right="0"/>
        <w:jc w:val="left"/>
      </w:pPr>
      <w:r>
        <w:rPr>
          <w:rFonts w:ascii="Calibri" w:hAnsi="Calibri" w:eastAsia="Calibri" w:cs="Calibri"/>
          <w:color w:val="000000"/>
          <w:sz w:val="22"/>
          <w:szCs w:val="22"/>
        </w:rPr>
        <w:t xml:space="preserve">Mannini F &amp; Marzachi C (2007) Termoterapia in acqua contro i fitoplasmi della vite. </w:t>
      </w:r>
      <w:r>
        <w:rPr>
          <w:rFonts w:ascii="Calibri" w:hAnsi="Calibri" w:eastAsia="Calibri" w:cs="Calibri"/>
          <w:i/>
          <w:iCs/>
          <w:color w:val="000000"/>
          <w:sz w:val="22"/>
          <w:szCs w:val="22"/>
        </w:rPr>
        <w:t xml:space="preserve">Informatore Agrario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62-65.</w:t>
      </w:r>
    </w:p>
    <w:p>
      <w:pPr>
        <w:widowControl w:val="on"/>
        <w:pBdr/>
        <w:spacing w:before="220" w:after="220" w:line="240" w:lineRule="auto"/>
        <w:ind w:left="0" w:right="0"/>
        <w:jc w:val="left"/>
      </w:pPr>
      <w:r>
        <w:rPr>
          <w:rFonts w:ascii="Calibri" w:hAnsi="Calibri" w:eastAsia="Calibri" w:cs="Calibri"/>
          <w:color w:val="000000"/>
          <w:sz w:val="22"/>
          <w:szCs w:val="22"/>
        </w:rPr>
        <w:t xml:space="preserve">Martini M, Botti S, Marcone C, Marzachi C, Casati P, Bianco PA, Benedetti R &amp; Bertaccini A (2002) Genetic variability among flavescence dorée phytoplasmas from different origins in Italy and France.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197-208.</w:t>
      </w:r>
    </w:p>
    <w:p>
      <w:pPr>
        <w:widowControl w:val="on"/>
        <w:pBdr/>
        <w:spacing w:before="220" w:after="220" w:line="240" w:lineRule="auto"/>
        <w:ind w:left="0" w:right="0"/>
        <w:jc w:val="left"/>
      </w:pPr>
      <w:r>
        <w:rPr>
          <w:rFonts w:ascii="Calibri" w:hAnsi="Calibri" w:eastAsia="Calibri" w:cs="Calibri"/>
          <w:color w:val="000000"/>
          <w:sz w:val="22"/>
          <w:szCs w:val="22"/>
        </w:rPr>
        <w:t xml:space="preserve">Martini M, Murari E, Mori N &amp; Bertaccini A (1999) Identification and epidemic distribution of two flavescence dorée-related phytoplasmas in Veneto (Italy).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925-930. </w:t>
      </w:r>
      <w:hyperlink r:id="rId67796ab4eac53a6b1" w:history="1">
        <w:r>
          <w:rPr>
            <w:rFonts w:ascii="Calibri" w:hAnsi="Calibri" w:eastAsia="Calibri" w:cs="Calibri"/>
            <w:color w:val="0000CC"/>
            <w:sz w:val="22"/>
            <w:szCs w:val="22"/>
            <w:u w:val="single"/>
          </w:rPr>
          <w:t xml:space="preserve">https://doi.org/10.1094/pdis.1999.83.10.925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Mehle N, Jakos N, Mesl M, Miklavc J, Matko B, Rot M, Rus AF, Brus R &amp; Dermastia M (2019) Phytoplasmas associated with declining of hazelnut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in Slovenia.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155</w:t>
      </w:r>
      <w:r>
        <w:rPr>
          <w:rFonts w:ascii="Calibri" w:hAnsi="Calibri" w:eastAsia="Calibri" w:cs="Calibri"/>
          <w:color w:val="000000"/>
          <w:sz w:val="22"/>
          <w:szCs w:val="22"/>
        </w:rPr>
        <w:t xml:space="preserve">, 1117-1132.</w:t>
      </w:r>
      <w:hyperlink r:id="rId66776ab4eac53a742" w:history="1">
        <w:r>
          <w:rPr>
            <w:rFonts w:ascii="Calibri" w:hAnsi="Calibri" w:eastAsia="Calibri" w:cs="Calibri"/>
            <w:color w:val="0000CC"/>
            <w:sz w:val="22"/>
            <w:szCs w:val="22"/>
            <w:u w:val="single"/>
          </w:rPr>
          <w:t xml:space="preserve"> https://doi.org/10.1007/s10658-019-01839-3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Mehle N, Rupar M, Seljak G, Ravnikar M &amp; Dermastia M (2011) Molecular diversity of 'flavescence dorée' phytoplasma strains in Slovenia. </w:t>
      </w:r>
      <w:r>
        <w:rPr>
          <w:rFonts w:ascii="Calibri" w:hAnsi="Calibri" w:eastAsia="Calibri" w:cs="Calibri"/>
          <w:i/>
          <w:iCs/>
          <w:color w:val="000000"/>
          <w:sz w:val="22"/>
          <w:szCs w:val="22"/>
        </w:rPr>
        <w:t xml:space="preserve">Bulletin of Insectology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S29-S30.</w:t>
      </w:r>
    </w:p>
    <w:p>
      <w:pPr>
        <w:widowControl w:val="on"/>
        <w:pBdr/>
        <w:spacing w:before="220" w:after="220" w:line="240" w:lineRule="auto"/>
        <w:ind w:left="0" w:right="0"/>
        <w:jc w:val="left"/>
      </w:pPr>
      <w:r>
        <w:rPr>
          <w:rFonts w:ascii="Calibri" w:hAnsi="Calibri" w:eastAsia="Calibri" w:cs="Calibri"/>
          <w:color w:val="000000"/>
          <w:sz w:val="22"/>
          <w:szCs w:val="22"/>
        </w:rPr>
        <w:t xml:space="preserve">Mori N, Bressan A, Martini M, Guadagnini M, Girolami V &amp; Bertaccini A (2002) Experimental transmission by </w:t>
      </w:r>
      <w:r>
        <w:rPr>
          <w:rFonts w:ascii="Calibri" w:hAnsi="Calibri" w:eastAsia="Calibri" w:cs="Calibri"/>
          <w:i/>
          <w:iCs/>
          <w:color w:val="000000"/>
          <w:sz w:val="22"/>
          <w:szCs w:val="22"/>
        </w:rPr>
        <w:t xml:space="preserve">Scaphoideus titanus</w:t>
      </w:r>
      <w:r>
        <w:rPr>
          <w:rFonts w:ascii="Calibri" w:hAnsi="Calibri" w:eastAsia="Calibri" w:cs="Calibri"/>
          <w:color w:val="000000"/>
          <w:sz w:val="22"/>
          <w:szCs w:val="22"/>
        </w:rPr>
        <w:t xml:space="preserve"> Ball of two Flavescence dorée-type phytoplasmas. </w:t>
      </w:r>
      <w:r>
        <w:rPr>
          <w:rFonts w:ascii="Calibri" w:hAnsi="Calibri" w:eastAsia="Calibri" w:cs="Calibri"/>
          <w:i/>
          <w:iCs/>
          <w:color w:val="000000"/>
          <w:sz w:val="22"/>
          <w:szCs w:val="22"/>
        </w:rPr>
        <w:t xml:space="preserve">Vitis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99-102.</w:t>
      </w:r>
    </w:p>
    <w:p>
      <w:pPr>
        <w:widowControl w:val="on"/>
        <w:pBdr/>
        <w:spacing w:before="220" w:after="220" w:line="240" w:lineRule="auto"/>
        <w:ind w:left="0" w:right="0"/>
        <w:jc w:val="left"/>
      </w:pPr>
      <w:r>
        <w:rPr>
          <w:rFonts w:ascii="Calibri" w:hAnsi="Calibri" w:eastAsia="Calibri" w:cs="Calibri"/>
          <w:color w:val="000000"/>
          <w:sz w:val="22"/>
          <w:szCs w:val="22"/>
        </w:rPr>
        <w:t xml:space="preserve">Osler R, Zucchetto C, Carraro L, Frausin C, Pavan F, Vettorello G &amp; Girolami V (2002) Transmission of flavescence dorée and black wood and performance of the infected vines.</w:t>
      </w:r>
      <w:r>
        <w:rPr>
          <w:rFonts w:ascii="Calibri" w:hAnsi="Calibri" w:eastAsia="Calibri" w:cs="Calibri"/>
          <w:i/>
          <w:iCs/>
          <w:color w:val="000000"/>
          <w:sz w:val="22"/>
          <w:szCs w:val="22"/>
        </w:rPr>
        <w:t xml:space="preserve"> Informatore Agrario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Papura D, Burban C, van Helden M, Giresse X, Nusillard B, Guillemaud T &amp; Kerdelhue C (2012) Microsatellite and mitochondrial data provide evidence for a single major introduction for the Neartic leafhopper </w:t>
      </w:r>
      <w:r>
        <w:rPr>
          <w:rFonts w:ascii="Calibri" w:hAnsi="Calibri" w:eastAsia="Calibri" w:cs="Calibri"/>
          <w:i/>
          <w:iCs/>
          <w:color w:val="000000"/>
          <w:sz w:val="22"/>
          <w:szCs w:val="22"/>
        </w:rPr>
        <w:t xml:space="preserve">Scaphoideus titanus</w:t>
      </w:r>
      <w:r>
        <w:rPr>
          <w:rFonts w:ascii="Calibri" w:hAnsi="Calibri" w:eastAsia="Calibri" w:cs="Calibri"/>
          <w:color w:val="000000"/>
          <w:sz w:val="22"/>
          <w:szCs w:val="22"/>
        </w:rPr>
        <w:t xml:space="preserve"> in Europe. </w:t>
      </w:r>
      <w:r>
        <w:rPr>
          <w:rFonts w:ascii="Calibri" w:hAnsi="Calibri" w:eastAsia="Calibri" w:cs="Calibri"/>
          <w:i/>
          <w:iCs/>
          <w:color w:val="000000"/>
          <w:sz w:val="22"/>
          <w:szCs w:val="22"/>
        </w:rPr>
        <w:t xml:space="preserve">Plos One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w:t>
      </w:r>
      <w:hyperlink r:id="rId40756ab4eac53a910" w:history="1">
        <w:r>
          <w:rPr>
            <w:rFonts w:ascii="Calibri" w:hAnsi="Calibri" w:eastAsia="Calibri" w:cs="Calibri"/>
            <w:color w:val="0000CC"/>
            <w:sz w:val="22"/>
            <w:szCs w:val="22"/>
            <w:u w:val="single"/>
          </w:rPr>
          <w:t xml:space="preserve">https://doi.org/10.1371/journal.pone.0036882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Pavan F, Mori N, Bigot G &amp; Zandigiacomo P (2012) Border effect in spatial distribution of Flavescence dorée affected grapevines and outside source of </w:t>
      </w:r>
      <w:r>
        <w:rPr>
          <w:rFonts w:ascii="Calibri" w:hAnsi="Calibri" w:eastAsia="Calibri" w:cs="Calibri"/>
          <w:i/>
          <w:iCs/>
          <w:color w:val="000000"/>
          <w:sz w:val="22"/>
          <w:szCs w:val="22"/>
        </w:rPr>
        <w:t xml:space="preserve">Scaphoideus titanus</w:t>
      </w:r>
      <w:r>
        <w:rPr>
          <w:rFonts w:ascii="Calibri" w:hAnsi="Calibri" w:eastAsia="Calibri" w:cs="Calibri"/>
          <w:color w:val="000000"/>
          <w:sz w:val="22"/>
          <w:szCs w:val="22"/>
        </w:rPr>
        <w:t xml:space="preserve"> vectors. </w:t>
      </w:r>
      <w:r>
        <w:rPr>
          <w:rFonts w:ascii="Calibri" w:hAnsi="Calibri" w:eastAsia="Calibri" w:cs="Calibri"/>
          <w:i/>
          <w:iCs/>
          <w:color w:val="000000"/>
          <w:sz w:val="22"/>
          <w:szCs w:val="22"/>
        </w:rPr>
        <w:t xml:space="preserve">Bulletin of Insectology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281-290.</w:t>
      </w:r>
    </w:p>
    <w:p>
      <w:pPr>
        <w:widowControl w:val="on"/>
        <w:pBdr/>
        <w:spacing w:before="220" w:after="220" w:line="240" w:lineRule="auto"/>
        <w:ind w:left="0" w:right="0"/>
        <w:jc w:val="left"/>
      </w:pPr>
      <w:r>
        <w:rPr>
          <w:rFonts w:ascii="Calibri" w:hAnsi="Calibri" w:eastAsia="Calibri" w:cs="Calibri"/>
          <w:color w:val="000000"/>
          <w:sz w:val="22"/>
          <w:szCs w:val="22"/>
        </w:rPr>
        <w:t xml:space="preserve">Plavec J, Budinscak Z, Krizanac I, Skoric D, Foissac X &amp; Music MS (2019) Multilocus sequence typing reveals the presence of three distinct flavescence dorée phytoplasma genetic clusters in Croatian vineyards.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18-30. </w:t>
      </w:r>
      <w:hyperlink r:id="rId65906ab4eac53a9fd" w:history="1">
        <w:r>
          <w:rPr>
            <w:rFonts w:ascii="Calibri" w:hAnsi="Calibri" w:eastAsia="Calibri" w:cs="Calibri"/>
            <w:color w:val="0000CC"/>
            <w:sz w:val="22"/>
            <w:szCs w:val="22"/>
            <w:u w:val="single"/>
          </w:rPr>
          <w:t xml:space="preserve">https://doi.org/10.1111/ppa.12934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Radonjic S, Hrncic S, Krstic O, Cvrkovic T, Mitrovic M, Jovic J &amp; Tosevski I (2013) First report of Alder yellows phytoplasma infecting common and grey alder (</w:t>
      </w:r>
      <w:r>
        <w:rPr>
          <w:rFonts w:ascii="Calibri" w:hAnsi="Calibri" w:eastAsia="Calibri" w:cs="Calibri"/>
          <w:i/>
          <w:iCs/>
          <w:color w:val="000000"/>
          <w:sz w:val="22"/>
          <w:szCs w:val="22"/>
        </w:rPr>
        <w:t xml:space="preserve">Alnus glutinosa and A. incana</w:t>
      </w:r>
      <w:r>
        <w:rPr>
          <w:rFonts w:ascii="Calibri" w:hAnsi="Calibri" w:eastAsia="Calibri" w:cs="Calibri"/>
          <w:color w:val="000000"/>
          <w:sz w:val="22"/>
          <w:szCs w:val="22"/>
        </w:rPr>
        <w:t xml:space="preserve">) in Montenegro.</w:t>
      </w:r>
      <w:r>
        <w:rPr>
          <w:rFonts w:ascii="Calibri" w:hAnsi="Calibri" w:eastAsia="Calibri" w:cs="Calibri"/>
          <w:i/>
          <w:iCs/>
          <w:color w:val="000000"/>
          <w:sz w:val="22"/>
          <w:szCs w:val="22"/>
        </w:rPr>
        <w:t xml:space="preserve"> 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686-686.</w:t>
      </w:r>
      <w:hyperlink r:id="rId93736ab4eac53aa8f" w:history="1">
        <w:r>
          <w:rPr>
            <w:rFonts w:ascii="Calibri" w:hAnsi="Calibri" w:eastAsia="Calibri" w:cs="Calibri"/>
            <w:color w:val="0000CC"/>
            <w:sz w:val="22"/>
            <w:szCs w:val="22"/>
            <w:u w:val="single"/>
          </w:rPr>
          <w:t xml:space="preserve"> https://doi.org/10.1094/pdis-11-12-1087-pdn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Ripamonti M, Pegoraro M, Rossi M, Bodino N, Beal D, Panero L, Marzachi C &amp; Bosco D (2020) Prevalence of Flavescence dorée phytoplasma-infected </w:t>
      </w:r>
      <w:r>
        <w:rPr>
          <w:rFonts w:ascii="Calibri" w:hAnsi="Calibri" w:eastAsia="Calibri" w:cs="Calibri"/>
          <w:i/>
          <w:iCs/>
          <w:color w:val="000000"/>
          <w:sz w:val="22"/>
          <w:szCs w:val="22"/>
        </w:rPr>
        <w:t xml:space="preserve">Scaphoideus titanus</w:t>
      </w:r>
      <w:r>
        <w:rPr>
          <w:rFonts w:ascii="Calibri" w:hAnsi="Calibri" w:eastAsia="Calibri" w:cs="Calibri"/>
          <w:color w:val="000000"/>
          <w:sz w:val="22"/>
          <w:szCs w:val="22"/>
        </w:rPr>
        <w:t xml:space="preserve"> in different vineyard agroecosystems of Northwestern Italy. </w:t>
      </w:r>
      <w:r>
        <w:rPr>
          <w:rFonts w:ascii="Calibri" w:hAnsi="Calibri" w:eastAsia="Calibri" w:cs="Calibri"/>
          <w:i/>
          <w:iCs/>
          <w:color w:val="000000"/>
          <w:sz w:val="22"/>
          <w:szCs w:val="22"/>
        </w:rPr>
        <w:t xml:space="preserve">Insects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w:t>
      </w:r>
      <w:hyperlink r:id="rId95986ab4eac53b28c" w:history="1">
        <w:r>
          <w:rPr>
            <w:rFonts w:ascii="Calibri" w:hAnsi="Calibri" w:eastAsia="Calibri" w:cs="Calibri"/>
            <w:color w:val="0000CC"/>
            <w:sz w:val="22"/>
            <w:szCs w:val="22"/>
            <w:u w:val="single"/>
          </w:rPr>
          <w:t xml:space="preserve">https://doi.org/10.3390/insects11050301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Rossi M, Pegoraro M, Ripamonti M, Abba S, Beal D, Giraudo A, Veratti F, Malembic-Maher S, Salar P, Bosco D &amp; Marzachi C (2019) Genetic diversity of Flavescence dorée phytoplasmas at the vineyard scale. </w:t>
      </w:r>
      <w:r>
        <w:rPr>
          <w:rFonts w:ascii="Calibri" w:hAnsi="Calibri" w:eastAsia="Calibri" w:cs="Calibri"/>
          <w:i/>
          <w:iCs/>
          <w:color w:val="000000"/>
          <w:sz w:val="22"/>
          <w:szCs w:val="22"/>
        </w:rPr>
        <w:t xml:space="preserve">Applied and Environmental Microbiology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w:t>
      </w:r>
      <w:hyperlink r:id="rId24326ab4eac53b312" w:history="1">
        <w:r>
          <w:rPr>
            <w:rFonts w:ascii="Calibri" w:hAnsi="Calibri" w:eastAsia="Calibri" w:cs="Calibri"/>
            <w:color w:val="0000CC"/>
            <w:sz w:val="22"/>
            <w:szCs w:val="22"/>
            <w:u w:val="single"/>
          </w:rPr>
          <w:t xml:space="preserve">https://doi.org/10.1128/aem.03123-18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Schvester D, Carle P &amp; Moutous G (1963) Transmission of golden Flavescence dorée in vine by Sca</w:t>
      </w:r>
      <w:r>
        <w:rPr>
          <w:rFonts w:ascii="Calibri" w:hAnsi="Calibri" w:eastAsia="Calibri" w:cs="Calibri"/>
          <w:i/>
          <w:iCs/>
          <w:color w:val="000000"/>
          <w:sz w:val="22"/>
          <w:szCs w:val="22"/>
        </w:rPr>
        <w:t xml:space="preserve">phoideus littoralis </w:t>
      </w:r>
      <w:r>
        <w:rPr>
          <w:rFonts w:ascii="Calibri" w:hAnsi="Calibri" w:eastAsia="Calibri" w:cs="Calibri"/>
          <w:color w:val="000000"/>
          <w:sz w:val="22"/>
          <w:szCs w:val="22"/>
        </w:rPr>
        <w:t xml:space="preserve">Ball. (</w:t>
      </w:r>
      <w:r>
        <w:rPr>
          <w:rFonts w:ascii="Calibri" w:hAnsi="Calibri" w:eastAsia="Calibri" w:cs="Calibri"/>
          <w:i/>
          <w:iCs/>
          <w:color w:val="000000"/>
          <w:sz w:val="22"/>
          <w:szCs w:val="22"/>
        </w:rPr>
        <w:t xml:space="preserve">Homoptera, Jassidae</w:t>
      </w:r>
      <w:r>
        <w:rPr>
          <w:rFonts w:ascii="Calibri" w:hAnsi="Calibri" w:eastAsia="Calibri" w:cs="Calibri"/>
          <w:color w:val="000000"/>
          <w:sz w:val="22"/>
          <w:szCs w:val="22"/>
        </w:rPr>
        <w:t xml:space="preserve">)-experiments performed in 1961. </w:t>
      </w:r>
      <w:r>
        <w:rPr>
          <w:rFonts w:ascii="Calibri" w:hAnsi="Calibri" w:eastAsia="Calibri" w:cs="Calibri"/>
          <w:i/>
          <w:iCs/>
          <w:color w:val="000000"/>
          <w:sz w:val="22"/>
          <w:szCs w:val="22"/>
        </w:rPr>
        <w:t xml:space="preserve">Annales des Epiphyties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175-198.</w:t>
      </w:r>
    </w:p>
    <w:p>
      <w:pPr>
        <w:widowControl w:val="on"/>
        <w:pBdr/>
        <w:spacing w:before="220" w:after="220" w:line="240" w:lineRule="auto"/>
        <w:ind w:left="0" w:right="0"/>
        <w:jc w:val="left"/>
      </w:pPr>
      <w:r>
        <w:rPr>
          <w:rFonts w:ascii="Calibri" w:hAnsi="Calibri" w:eastAsia="Calibri" w:cs="Calibri"/>
          <w:color w:val="000000"/>
          <w:sz w:val="22"/>
          <w:szCs w:val="22"/>
        </w:rPr>
        <w:t xml:space="preserve">Schvester D, Carle P &amp; Moutous G (1969) Nouvelles données sur la transmission de la flavescence dorée de la vigne par</w:t>
      </w:r>
      <w:r>
        <w:rPr>
          <w:rFonts w:ascii="Calibri" w:hAnsi="Calibri" w:eastAsia="Calibri" w:cs="Calibri"/>
          <w:i/>
          <w:iCs/>
          <w:color w:val="000000"/>
          <w:sz w:val="22"/>
          <w:szCs w:val="22"/>
        </w:rPr>
        <w:t xml:space="preserve"> Scaphoideus littoralis</w:t>
      </w:r>
      <w:r>
        <w:rPr>
          <w:rFonts w:ascii="Calibri" w:hAnsi="Calibri" w:eastAsia="Calibri" w:cs="Calibri"/>
          <w:color w:val="000000"/>
          <w:sz w:val="22"/>
          <w:szCs w:val="22"/>
        </w:rPr>
        <w:t xml:space="preserve"> Ball. </w:t>
      </w:r>
      <w:r>
        <w:rPr>
          <w:rFonts w:ascii="Calibri" w:hAnsi="Calibri" w:eastAsia="Calibri" w:cs="Calibri"/>
          <w:i/>
          <w:iCs/>
          <w:color w:val="000000"/>
          <w:sz w:val="22"/>
          <w:szCs w:val="22"/>
        </w:rPr>
        <w:t xml:space="preserve">Annales de Zoologie et Ecologie Animale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445-465.</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(Centre for Agriculture and Bioscience International), 2019. Grapevine flavescence dorée phytoplasma (flavescence dorée of grapevine). Crop Protection Compendium. Available online: </w:t>
      </w:r>
      <w:hyperlink r:id="rId56076ab4eac53b47c" w:history="1">
        <w:r>
          <w:rPr>
            <w:rFonts w:ascii="Calibri" w:hAnsi="Calibri" w:eastAsia="Calibri" w:cs="Calibri"/>
            <w:color w:val="0000CC"/>
            <w:sz w:val="22"/>
            <w:szCs w:val="22"/>
            <w:u w:val="single"/>
          </w:rPr>
          <w:t xml:space="preserve">https://www.cabi.org/isc/datasheet/26184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(2014) EFSA Panel on Plant Health. Scientific Opinion on pest categorisation of Grapevine flavescence dorée.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(10), 3851, 31 pp. </w:t>
      </w:r>
      <w:hyperlink r:id="rId74576ab4eac53b4f3" w:history="1">
        <w:r>
          <w:rPr>
            <w:rFonts w:ascii="Calibri" w:hAnsi="Calibri" w:eastAsia="Calibri" w:cs="Calibri"/>
            <w:color w:val="0000CC"/>
            <w:sz w:val="22"/>
            <w:szCs w:val="22"/>
            <w:u w:val="single"/>
          </w:rPr>
          <w:t xml:space="preserve">https://doi.org/10.2903/j.efsa.2014.3851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(2020) EFSA, Tramontini S, Delbianco A and Vos S. Pest survey card on flavescence dorée phytoplasma and its vector Scaphoideus titanus. </w:t>
      </w:r>
      <w:r>
        <w:rPr>
          <w:rFonts w:ascii="Calibri" w:hAnsi="Calibri" w:eastAsia="Calibri" w:cs="Calibri"/>
          <w:i/>
          <w:iCs/>
          <w:color w:val="000000"/>
          <w:sz w:val="22"/>
          <w:szCs w:val="22"/>
        </w:rPr>
        <w:t xml:space="preserve">EFSA supporting publication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EN-1909</w:t>
      </w:r>
      <w:r>
        <w:rPr>
          <w:rFonts w:ascii="Calibri" w:hAnsi="Calibri" w:eastAsia="Calibri" w:cs="Calibri"/>
          <w:color w:val="000000"/>
          <w:sz w:val="22"/>
          <w:szCs w:val="22"/>
        </w:rPr>
        <w:t xml:space="preserve">, 36 pp. </w:t>
      </w:r>
      <w:hyperlink r:id="rId81856ab4eac53b567" w:history="1">
        <w:r>
          <w:rPr>
            <w:rFonts w:ascii="Calibri" w:hAnsi="Calibri" w:eastAsia="Calibri" w:cs="Calibri"/>
            <w:color w:val="0000CC"/>
            <w:sz w:val="22"/>
            <w:szCs w:val="22"/>
            <w:u w:val="single"/>
          </w:rPr>
          <w:t xml:space="preserve">https://doi.org/10.2903/sp.efsa.2020.EN-1909</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Xavier Foissac, INRAE Nouvelle-Aquitaine Bordeaux, UMR1332 Biologie du Fruit et Pathologie.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Grapevine flavescence dorée phytoplasma</w:t>
      </w:r>
      <w:r>
        <w:rPr>
          <w:rFonts w:ascii="Calibri" w:hAnsi="Calibri" w:eastAsia="Calibri" w:cs="Calibri"/>
          <w:color w:val="000000"/>
          <w:sz w:val="22"/>
          <w:szCs w:val="22"/>
        </w:rPr>
        <w:t xml:space="preserve">. EPPO datasheets on pests recommended for regulation. Available online. </w:t>
      </w:r>
      <w:hyperlink r:id="rId51076ab4eac53b63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1983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(1983) Data sheets on quarantine organisms No. 94, grapevine flavescence dorée mycoplasm</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 4 pp. </w:t>
      </w:r>
      <w:hyperlink r:id="rId43046ab4eac53ba62" w:history="1">
        <w:r>
          <w:rPr>
            <w:rFonts w:ascii="Calibri" w:hAnsi="Calibri" w:eastAsia="Calibri" w:cs="Calibri"/>
            <w:color w:val="0000CC"/>
            <w:sz w:val="22"/>
            <w:szCs w:val="22"/>
            <w:u w:val="single"/>
          </w:rPr>
          <w:t xml:space="preserve">https://doi.org/10.1111/j.1365-2338.1983.tb01723.x</w:t>
        </w:r>
      </w:hyperlink>
      <w:r>
        <w:rPr>
          <w:rFonts w:ascii="Calibri" w:hAnsi="Calibri" w:eastAsia="Calibri" w:cs="Calibri"/>
          <w:color w:val="000000"/>
          <w:sz w:val="22"/>
          <w:szCs w:val="22"/>
        </w:rPr>
        <w:t xml:space="preserve"> </w:t>
      </w:r>
    </w:p>
    <w:p>
      <w:r>
        <w:drawing>
          <wp:inline distT="0" distB="0" distL="0" distR="0">
            <wp:extent cx="1800000" cy="604800"/>
            <wp:docPr id="79995747" name="name80246ab4eac53baf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8986ab4eac53baf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32742">
    <w:multiLevelType w:val="hybridMultilevel"/>
    <w:lvl w:ilvl="0" w:tplc="47261954">
      <w:start w:val="1"/>
      <w:numFmt w:val="decimal"/>
      <w:lvlText w:val="%1."/>
      <w:lvlJc w:val="left"/>
      <w:pPr>
        <w:ind w:left="720" w:hanging="360"/>
      </w:pPr>
    </w:lvl>
    <w:lvl w:ilvl="1" w:tplc="47261954" w:tentative="1">
      <w:start w:val="1"/>
      <w:numFmt w:val="lowerLetter"/>
      <w:lvlText w:val="%2."/>
      <w:lvlJc w:val="left"/>
      <w:pPr>
        <w:ind w:left="1440" w:hanging="360"/>
      </w:pPr>
    </w:lvl>
    <w:lvl w:ilvl="2" w:tplc="47261954" w:tentative="1">
      <w:start w:val="1"/>
      <w:numFmt w:val="lowerRoman"/>
      <w:lvlText w:val="%3."/>
      <w:lvlJc w:val="right"/>
      <w:pPr>
        <w:ind w:left="2160" w:hanging="180"/>
      </w:pPr>
    </w:lvl>
    <w:lvl w:ilvl="3" w:tplc="47261954" w:tentative="1">
      <w:start w:val="1"/>
      <w:numFmt w:val="decimal"/>
      <w:lvlText w:val="%4."/>
      <w:lvlJc w:val="left"/>
      <w:pPr>
        <w:ind w:left="2880" w:hanging="360"/>
      </w:pPr>
    </w:lvl>
    <w:lvl w:ilvl="4" w:tplc="47261954" w:tentative="1">
      <w:start w:val="1"/>
      <w:numFmt w:val="lowerLetter"/>
      <w:lvlText w:val="%5."/>
      <w:lvlJc w:val="left"/>
      <w:pPr>
        <w:ind w:left="3600" w:hanging="360"/>
      </w:pPr>
    </w:lvl>
    <w:lvl w:ilvl="5" w:tplc="47261954" w:tentative="1">
      <w:start w:val="1"/>
      <w:numFmt w:val="lowerRoman"/>
      <w:lvlText w:val="%6."/>
      <w:lvlJc w:val="right"/>
      <w:pPr>
        <w:ind w:left="4320" w:hanging="180"/>
      </w:pPr>
    </w:lvl>
    <w:lvl w:ilvl="6" w:tplc="47261954" w:tentative="1">
      <w:start w:val="1"/>
      <w:numFmt w:val="decimal"/>
      <w:lvlText w:val="%7."/>
      <w:lvlJc w:val="left"/>
      <w:pPr>
        <w:ind w:left="5040" w:hanging="360"/>
      </w:pPr>
    </w:lvl>
    <w:lvl w:ilvl="7" w:tplc="47261954" w:tentative="1">
      <w:start w:val="1"/>
      <w:numFmt w:val="lowerLetter"/>
      <w:lvlText w:val="%8."/>
      <w:lvlJc w:val="left"/>
      <w:pPr>
        <w:ind w:left="5760" w:hanging="360"/>
      </w:pPr>
    </w:lvl>
    <w:lvl w:ilvl="8" w:tplc="47261954" w:tentative="1">
      <w:start w:val="1"/>
      <w:numFmt w:val="lowerRoman"/>
      <w:lvlText w:val="%9."/>
      <w:lvlJc w:val="right"/>
      <w:pPr>
        <w:ind w:left="6480" w:hanging="180"/>
      </w:pPr>
    </w:lvl>
  </w:abstractNum>
  <w:abstractNum w:abstractNumId="40332741">
    <w:multiLevelType w:val="hybridMultilevel"/>
    <w:lvl w:ilvl="0" w:tplc="97563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32741">
    <w:abstractNumId w:val="40332741"/>
  </w:num>
  <w:num w:numId="40332742">
    <w:abstractNumId w:val="4033274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4231830" Type="http://schemas.microsoft.com/office/2011/relationships/commentsExtended" Target="commentsExtended.xml"/><Relationship Id="rId424075459" Type="http://schemas.microsoft.com/office/2011/relationships/people" Target="people.xml"/><Relationship Id="rId57516ab4eac5371b6" Type="http://schemas.openxmlformats.org/officeDocument/2006/relationships/hyperlink" Target="https://gd.eppo.int/taxon/PHYP64/" TargetMode="External"/><Relationship Id="rId68766ab4eac537221" Type="http://schemas.openxmlformats.org/officeDocument/2006/relationships/hyperlink" Target="https://gd.eppo.int/taxon/PHYP64/categorization" TargetMode="External"/><Relationship Id="rId73016ab4eac537472" Type="http://schemas.openxmlformats.org/officeDocument/2006/relationships/hyperlink" Target="https://gd.eppo.int/taxon/PHYP64/photos" TargetMode="External"/><Relationship Id="rId65836ab4eac539518" Type="http://schemas.openxmlformats.org/officeDocument/2006/relationships/hyperlink" Target="https://doi.org/10.1128/aem.02323-06" TargetMode="External"/><Relationship Id="rId80906ab4eac5395a4" Type="http://schemas.openxmlformats.org/officeDocument/2006/relationships/hyperlink" Target="https://doi.org/10.1094/pdis-03-14-0315-pdn" TargetMode="External"/><Relationship Id="rId63236ab4eac53966c" Type="http://schemas.openxmlformats.org/officeDocument/2006/relationships/hyperlink" Target="https://doi.org/10.1111/j.1365-2672.2007.03467.x" TargetMode="External"/><Relationship Id="rId31366ab4eac539735" Type="http://schemas.openxmlformats.org/officeDocument/2006/relationships/hyperlink" Target="https://doi.org/10.1111/aab.12359" TargetMode="External"/><Relationship Id="rId28926ab4eac539806" Type="http://schemas.openxmlformats.org/officeDocument/2006/relationships/hyperlink" Target="https://doi.org/10.1051/agro:19900806" TargetMode="External"/><Relationship Id="rId10556ab4eac539976" Type="http://schemas.openxmlformats.org/officeDocument/2006/relationships/hyperlink" Target="https://doi.org/10.1111/j.1755-0238.1997.tb00112.x" TargetMode="External"/><Relationship Id="rId16996ab4eac539a21" Type="http://schemas.openxmlformats.org/officeDocument/2006/relationships/hyperlink" Target="https://doi.org/10.1371/journal.pone.0175247" TargetMode="External"/><Relationship Id="rId31426ab4eac539b19" Type="http://schemas.openxmlformats.org/officeDocument/2006/relationships/hyperlink" Target="https://gd.eppo.int/taxon/PHYP64/documents" TargetMode="External"/><Relationship Id="rId65866ab4eac539b8d" Type="http://schemas.openxmlformats.org/officeDocument/2006/relationships/hyperlink" Target="https://gd.eppo.int/taxon/PHYP64/documents" TargetMode="External"/><Relationship Id="rId72266ab4eac539bff" Type="http://schemas.openxmlformats.org/officeDocument/2006/relationships/hyperlink" Target="https://gd.eppo.int/standards/PM5/" TargetMode="External"/><Relationship Id="rId47916ab4eac539cd1" Type="http://schemas.openxmlformats.org/officeDocument/2006/relationships/hyperlink" Target="https://gd.eppo.int/download/standard/738/pm3-085-1-en.pdf" TargetMode="External"/><Relationship Id="rId24486ab4eac539ddc" Type="http://schemas.openxmlformats.org/officeDocument/2006/relationships/hyperlink" Target="https://doi.org/10.3389/fpls.2016.01762" TargetMode="External"/><Relationship Id="rId14956ab4eac539ee0" Type="http://schemas.openxmlformats.org/officeDocument/2006/relationships/hyperlink" Target="https://doi.org/10.1111/j.1365-3059.2009.02092.x" TargetMode="External"/><Relationship Id="rId41646ab4eac539f84" Type="http://schemas.openxmlformats.org/officeDocument/2006/relationships/hyperlink" Target="https://doi.org/10.1111/efp.12206" TargetMode="External"/><Relationship Id="rId82396ab4eac53a0bf" Type="http://schemas.openxmlformats.org/officeDocument/2006/relationships/hyperlink" Target="https://doi.org/10.1094/pdis-02-21-0330-pdn" TargetMode="External"/><Relationship Id="rId73856ab4eac53a134" Type="http://schemas.openxmlformats.org/officeDocument/2006/relationships/hyperlink" Target="https://doi.org/10.2903/j.efsa.2016.4603" TargetMode="External"/><Relationship Id="rId29296ab4eac53a1ad" Type="http://schemas.openxmlformats.org/officeDocument/2006/relationships/hyperlink" Target="https://doi.org/10.3390/agronomy12020448" TargetMode="External"/><Relationship Id="rId98886ab4eac53a50d" Type="http://schemas.openxmlformats.org/officeDocument/2006/relationships/hyperlink" Target="https://doi.org/10.1371/journal.ppat.1007967" TargetMode="External"/><Relationship Id="rId67796ab4eac53a6b1" Type="http://schemas.openxmlformats.org/officeDocument/2006/relationships/hyperlink" Target="https://doi.org/10.1094/pdis.1999.83.10.925" TargetMode="External"/><Relationship Id="rId66776ab4eac53a742" Type="http://schemas.openxmlformats.org/officeDocument/2006/relationships/hyperlink" Target="https://doi.org/10.1007/s10658-019-01839-3" TargetMode="External"/><Relationship Id="rId40756ab4eac53a910" Type="http://schemas.openxmlformats.org/officeDocument/2006/relationships/hyperlink" Target="https://doi.org/10.1371/journal.pone.0036882" TargetMode="External"/><Relationship Id="rId65906ab4eac53a9fd" Type="http://schemas.openxmlformats.org/officeDocument/2006/relationships/hyperlink" Target="https://doi.org/10.1111/ppa.12934" TargetMode="External"/><Relationship Id="rId93736ab4eac53aa8f" Type="http://schemas.openxmlformats.org/officeDocument/2006/relationships/hyperlink" Target="https://doi.org/10.1094/pdis-11-12-1087-pdn" TargetMode="External"/><Relationship Id="rId95986ab4eac53b28c" Type="http://schemas.openxmlformats.org/officeDocument/2006/relationships/hyperlink" Target="https://doi.org/10.3390/insects11050301" TargetMode="External"/><Relationship Id="rId24326ab4eac53b312" Type="http://schemas.openxmlformats.org/officeDocument/2006/relationships/hyperlink" Target="https://doi.org/10.1128/aem.03123-18" TargetMode="External"/><Relationship Id="rId56076ab4eac53b47c" Type="http://schemas.openxmlformats.org/officeDocument/2006/relationships/hyperlink" Target="https://www.cabi.org/isc/datasheet/26184" TargetMode="External"/><Relationship Id="rId74576ab4eac53b4f3" Type="http://schemas.openxmlformats.org/officeDocument/2006/relationships/hyperlink" Target="https://doi.org/10.2903/j.efsa.2014.3851" TargetMode="External"/><Relationship Id="rId81856ab4eac53b567" Type="http://schemas.openxmlformats.org/officeDocument/2006/relationships/hyperlink" Target="https://doi.org/10.2903/sp.efsa.2020.EN-1909" TargetMode="External"/><Relationship Id="rId51076ab4eac53b630" Type="http://schemas.openxmlformats.org/officeDocument/2006/relationships/hyperlink" Target="https://gd.eppo.int" TargetMode="External"/><Relationship Id="rId43046ab4eac53ba62" Type="http://schemas.openxmlformats.org/officeDocument/2006/relationships/hyperlink" Target="https://doi.org/10.1111/j.1365-2338.1983.tb01723.x" TargetMode="External"/><Relationship Id="rId92256ab4eac537336" Type="http://schemas.openxmlformats.org/officeDocument/2006/relationships/image" Target="media/imgrId92256ab4eac537336.jpg"/><Relationship Id="rId32236ab4eac537f00" Type="http://schemas.openxmlformats.org/officeDocument/2006/relationships/image" Target="media/imgrId32236ab4eac537f00.jpg"/><Relationship Id="rId58986ab4eac53baf4" Type="http://schemas.openxmlformats.org/officeDocument/2006/relationships/image" Target="media/imgrId58986ab4eac53baf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