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Phymatotrichopsis omnivora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2022-01-17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Phymatotrichopsis omnivora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(Shear) Hennebert</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Pezizomycetes: Pezizales: Rhizinaceae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Ozonium omnivorum</w:t>
            </w:r>
            <w:r>
              <w:rPr>
                <w:rFonts w:ascii="Calibri" w:hAnsi="Calibri" w:eastAsia="Calibri" w:cs="Calibri"/>
                <w:color w:val="000000"/>
                <w:position w:val="-3"/>
                <w:sz w:val="22"/>
                <w:szCs w:val="22"/>
              </w:rPr>
              <w:t xml:space="preserve"> Shear, </w:t>
            </w:r>
            <w:r>
              <w:rPr>
                <w:rFonts w:ascii="Calibri" w:hAnsi="Calibri" w:eastAsia="Calibri" w:cs="Calibri"/>
                <w:i/>
                <w:iCs/>
                <w:color w:val="000000"/>
                <w:position w:val="-3"/>
                <w:sz w:val="22"/>
                <w:szCs w:val="22"/>
              </w:rPr>
              <w:t xml:space="preserve">Phymatotrichum omnivorum</w:t>
            </w:r>
            <w:r>
              <w:rPr>
                <w:rFonts w:ascii="Calibri" w:hAnsi="Calibri" w:eastAsia="Calibri" w:cs="Calibri"/>
                <w:color w:val="000000"/>
                <w:position w:val="-3"/>
                <w:sz w:val="22"/>
                <w:szCs w:val="22"/>
              </w:rPr>
              <w:t xml:space="preserve"> (Shear) Duggar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Ozonium root rot, Phymatotrichopsis root rot (US), Texas root rot of alfalfa, Texas root rot of bean, Texas root rot of cotton, Texas root rot of grapevine, cotton root rot (US), phymatotrichum root rot, root rot of conifers, root rot of soybean, soft rot of cotton</w:t>
            </w:r>
            <w:hyperlink r:id="rId24876ab7b3dc69f70"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25786ab7b3dc69fe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PHMPOM</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6125131" name="name55536ab7b3dc6a86c" descr="11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87.jpg"/>
                          <pic:cNvPicPr/>
                        </pic:nvPicPr>
                        <pic:blipFill>
                          <a:blip r:embed="rId13776ab7b3dc6a86a" cstate="print"/>
                          <a:stretch>
                            <a:fillRect/>
                          </a:stretch>
                        </pic:blipFill>
                        <pic:spPr>
                          <a:xfrm>
                            <a:off x="0" y="0"/>
                            <a:ext cx="2160000" cy="1281600"/>
                          </a:xfrm>
                          <a:prstGeom prst="rect">
                            <a:avLst/>
                          </a:prstGeom>
                          <a:ln w="0">
                            <a:noFill/>
                          </a:ln>
                        </pic:spPr>
                      </pic:pic>
                    </a:graphicData>
                  </a:graphic>
                </wp:inline>
              </w:drawing>
            </w:r>
            <w:hyperlink r:id="rId84886ab7b3dc6a97a"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causal organism, </w:t>
      </w:r>
      <w:r>
        <w:rPr>
          <w:rFonts w:ascii="Calibri" w:hAnsi="Calibri" w:eastAsia="Calibri" w:cs="Calibri"/>
          <w:i/>
          <w:iCs/>
          <w:color w:val="000000"/>
          <w:sz w:val="22"/>
          <w:szCs w:val="22"/>
        </w:rPr>
        <w:t xml:space="preserve">Phymatotrichopsis omnivora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Phymatotrichum omnivorum</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Ozonium omnivorum</w:t>
      </w:r>
      <w:r>
        <w:rPr>
          <w:rFonts w:ascii="Calibri" w:hAnsi="Calibri" w:eastAsia="Calibri" w:cs="Calibri"/>
          <w:color w:val="000000"/>
          <w:sz w:val="22"/>
          <w:szCs w:val="22"/>
        </w:rPr>
        <w:t xml:space="preserve">), is known only as an asexual (mitosporic) fungus and produces noninfectious microconidia on epigeous spore mats of hyaline conidiophores resembling those of </w:t>
      </w:r>
      <w:r>
        <w:rPr>
          <w:rFonts w:ascii="Calibri" w:hAnsi="Calibri" w:eastAsia="Calibri" w:cs="Calibri"/>
          <w:i/>
          <w:iCs/>
          <w:color w:val="000000"/>
          <w:sz w:val="22"/>
          <w:szCs w:val="22"/>
        </w:rPr>
        <w:t xml:space="preserve">Botrytis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Phymatotrichum</w:t>
      </w:r>
      <w:r>
        <w:rPr>
          <w:rFonts w:ascii="Calibri" w:hAnsi="Calibri" w:eastAsia="Calibri" w:cs="Calibri"/>
          <w:color w:val="000000"/>
          <w:sz w:val="22"/>
          <w:szCs w:val="22"/>
        </w:rPr>
        <w:t xml:space="preserve">) and mycelial cords on infected roots resembling the </w:t>
      </w:r>
      <w:r>
        <w:rPr>
          <w:rFonts w:ascii="Calibri" w:hAnsi="Calibri" w:eastAsia="Calibri" w:cs="Calibri"/>
          <w:i/>
          <w:iCs/>
          <w:color w:val="000000"/>
          <w:sz w:val="22"/>
          <w:szCs w:val="22"/>
        </w:rPr>
        <w:t xml:space="preserve">Ozonium </w:t>
      </w:r>
      <w:r>
        <w:rPr>
          <w:rFonts w:ascii="Calibri" w:hAnsi="Calibri" w:eastAsia="Calibri" w:cs="Calibri"/>
          <w:color w:val="000000"/>
          <w:sz w:val="22"/>
          <w:szCs w:val="22"/>
        </w:rPr>
        <w:t xml:space="preserve">stage of </w:t>
      </w:r>
      <w:r>
        <w:rPr>
          <w:rFonts w:ascii="Calibri" w:hAnsi="Calibri" w:eastAsia="Calibri" w:cs="Calibri"/>
          <w:i/>
          <w:iCs/>
          <w:color w:val="000000"/>
          <w:sz w:val="22"/>
          <w:szCs w:val="22"/>
        </w:rPr>
        <w:t xml:space="preserve">Coprinellus</w:t>
      </w:r>
      <w:r>
        <w:rPr>
          <w:rFonts w:ascii="Calibri" w:hAnsi="Calibri" w:eastAsia="Calibri" w:cs="Calibri"/>
          <w:color w:val="000000"/>
          <w:sz w:val="22"/>
          <w:szCs w:val="22"/>
        </w:rPr>
        <w:t xml:space="preserve"> (Psathyrellaceae). Although the corticoid basidiomycetes </w:t>
      </w:r>
      <w:r>
        <w:rPr>
          <w:rFonts w:ascii="Calibri" w:hAnsi="Calibri" w:eastAsia="Calibri" w:cs="Calibri"/>
          <w:i/>
          <w:iCs/>
          <w:color w:val="000000"/>
          <w:sz w:val="22"/>
          <w:szCs w:val="22"/>
        </w:rPr>
        <w:t xml:space="preserve">Hydnophlebia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Phanerochaete</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omnivora</w:t>
      </w:r>
      <w:r>
        <w:rPr>
          <w:rFonts w:ascii="Calibri" w:hAnsi="Calibri" w:eastAsia="Calibri" w:cs="Calibri"/>
          <w:color w:val="000000"/>
          <w:sz w:val="22"/>
          <w:szCs w:val="22"/>
        </w:rPr>
        <w:t xml:space="preserve"> (Meruliaceae) and </w:t>
      </w:r>
      <w:r>
        <w:rPr>
          <w:rFonts w:ascii="Calibri" w:hAnsi="Calibri" w:eastAsia="Calibri" w:cs="Calibri"/>
          <w:i/>
          <w:iCs/>
          <w:color w:val="000000"/>
          <w:sz w:val="22"/>
          <w:szCs w:val="22"/>
        </w:rPr>
        <w:t xml:space="preserve">Sistotrema brinkmannii</w:t>
      </w:r>
      <w:r>
        <w:rPr>
          <w:rFonts w:ascii="Calibri" w:hAnsi="Calibri" w:eastAsia="Calibri" w:cs="Calibri"/>
          <w:color w:val="000000"/>
          <w:sz w:val="22"/>
          <w:szCs w:val="22"/>
        </w:rPr>
        <w:t xml:space="preserve"> (Corticiacea) have been suggested as teleomorphs of </w:t>
      </w:r>
      <w:r>
        <w:rPr>
          <w:rFonts w:ascii="Calibri" w:hAnsi="Calibri" w:eastAsia="Calibri" w:cs="Calibri"/>
          <w:i/>
          <w:iCs/>
          <w:color w:val="000000"/>
          <w:sz w:val="22"/>
          <w:szCs w:val="22"/>
        </w:rPr>
        <w:t xml:space="preserve">Phymatotrichopsis omnivora</w:t>
      </w:r>
      <w:r>
        <w:rPr>
          <w:rFonts w:ascii="Calibri" w:hAnsi="Calibri" w:eastAsia="Calibri" w:cs="Calibri"/>
          <w:color w:val="000000"/>
          <w:sz w:val="22"/>
          <w:szCs w:val="22"/>
        </w:rPr>
        <w:t xml:space="preserve">, phylogenetic analyses of multiple isolates indicate that it is neither a basidiomycete nor closely related to </w:t>
      </w:r>
      <w:r>
        <w:rPr>
          <w:rFonts w:ascii="Calibri" w:hAnsi="Calibri" w:eastAsia="Calibri" w:cs="Calibri"/>
          <w:i/>
          <w:iCs/>
          <w:color w:val="000000"/>
          <w:sz w:val="22"/>
          <w:szCs w:val="22"/>
        </w:rPr>
        <w:t xml:space="preserve">Botrytis</w:t>
      </w:r>
      <w:r>
        <w:rPr>
          <w:rFonts w:ascii="Calibri" w:hAnsi="Calibri" w:eastAsia="Calibri" w:cs="Calibri"/>
          <w:color w:val="000000"/>
          <w:sz w:val="22"/>
          <w:szCs w:val="22"/>
        </w:rPr>
        <w:t xml:space="preserve"> (Sclerotiniaceae, Leotiomycetes). </w:t>
      </w:r>
      <w:r>
        <w:rPr>
          <w:rFonts w:ascii="Calibri" w:hAnsi="Calibri" w:eastAsia="Calibri" w:cs="Calibri"/>
          <w:i/>
          <w:iCs/>
          <w:color w:val="000000"/>
          <w:sz w:val="22"/>
          <w:szCs w:val="22"/>
        </w:rPr>
        <w:t xml:space="preserve">Phymatotrichopsis omnivora</w:t>
      </w:r>
      <w:r>
        <w:rPr>
          <w:rFonts w:ascii="Calibri" w:hAnsi="Calibri" w:eastAsia="Calibri" w:cs="Calibri"/>
          <w:color w:val="000000"/>
          <w:sz w:val="22"/>
          <w:szCs w:val="22"/>
        </w:rPr>
        <w:t xml:space="preserve"> is a member of the family Rhizinaceae, Pezizales (Ascomycota: Pezizomycetes) allied to </w:t>
      </w:r>
      <w:r>
        <w:rPr>
          <w:rFonts w:ascii="Calibri" w:hAnsi="Calibri" w:eastAsia="Calibri" w:cs="Calibri"/>
          <w:i/>
          <w:iCs/>
          <w:color w:val="000000"/>
          <w:sz w:val="22"/>
          <w:szCs w:val="22"/>
        </w:rPr>
        <w:t xml:space="preserve">Psilopezia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Rhizina </w:t>
      </w:r>
      <w:r>
        <w:rPr>
          <w:rFonts w:ascii="Calibri" w:hAnsi="Calibri" w:eastAsia="Calibri" w:cs="Calibri"/>
          <w:color w:val="000000"/>
          <w:sz w:val="22"/>
          <w:szCs w:val="22"/>
        </w:rPr>
        <w:t xml:space="preserve">(Marek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major host is cotton, including </w:t>
      </w:r>
      <w:r>
        <w:rPr>
          <w:rFonts w:ascii="Calibri" w:hAnsi="Calibri" w:eastAsia="Calibri" w:cs="Calibri"/>
          <w:i/>
          <w:iCs/>
          <w:color w:val="000000"/>
          <w:sz w:val="22"/>
          <w:szCs w:val="22"/>
        </w:rPr>
        <w:t xml:space="preserve">Gossypium herbaceum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 hirsutum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barbadense</w:t>
      </w:r>
      <w:r>
        <w:rPr>
          <w:rFonts w:ascii="Calibri" w:hAnsi="Calibri" w:eastAsia="Calibri" w:cs="Calibri"/>
          <w:color w:val="000000"/>
          <w:sz w:val="22"/>
          <w:szCs w:val="22"/>
        </w:rPr>
        <w:t xml:space="preserve">. The fungus can also infect more than 2000 species of dicots including 31 economic field crops, 58 vegetable crops, 18 fruits and berries including citrus, 35 forest trees and shrubs, 7 herbaceous ornamentals and 20 weeds (Streets, 1937; Streets &amp; Bloss, 1973). When endemic, the fungus causes significant economic losses on many field crops, such as cotton, alfalfa and peanuts. Phymatotrichopsis Root Rot (PRR) can also cause losses on horticultural crops, such as pecans, apples and ornamental trees and shrubs. Monocots are thought to be immune, but fungal strands and sclerotia have been reported on such hosts in nature (Rush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1984b) and in the laboratory (Kankanala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 potential host range in the EPPO region is presumably just as wide.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Abelia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Abelia x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Abutilon incanum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Abutilon theophrasti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Acalypha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negundo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saccharinum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saccharum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Achillea millefolium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Acmispon americanus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Aconitum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Aesculus hippocastanum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Aesculus pavia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Ageratina altissima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Agrimonia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Agrostemma githago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Ailanthus altissima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Alcea ficifolia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Alcea rosea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Allionia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glutinosa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tenuifolia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caudatus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graecizans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retroflexus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spinosus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x tamariscinus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 artemisiifolia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 bidentata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 psilostachya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 trifida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Amelanchier alnifolia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Amorpha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Anethum graveolens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Angelica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squamosa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Anthemis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Anthemis cotula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Antirrhinum majus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Apios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Apocynum androsaemifolium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Apocynum cannabinum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Aquilegia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Arabis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Aralia spinosa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Araucaria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Arbutus menziesii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Arctium lappa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Arctium minus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Arctostaphylos manzanita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Arctotis stoechadifolia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Arenaria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Argemone mexicana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Argemone platyceras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Argyreia nervosa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Armoracia rusticana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Aronia melanocarpa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Artemisia biennis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Asclepias syriaca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Asclepias tuberosa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Asimina triloba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Astragalus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Baccharis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Baptisia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Bassia scoparia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Bellis perennis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Berberis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Berberis thunbergii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Berberis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 subsp. vulgaris var. cicla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Boerhavia erecta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Brachychiton populneus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napus subsp. rapifera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botrytis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capitata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gongylodes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Brickellia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Broussonetia papyrifera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Buddleja davidii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Buglossoides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Caesalpinia gilliesii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Cajanus cajan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Calendula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Callirhoe involucrata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Callistephus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Calocedrus decurrens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Calystegia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Calystegia sepium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Campsis radicans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Cannabis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Caragana arborescens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Carissa macrocarpa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Carpinus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illinoinensis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Cassia texana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Catalpa bignonioides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Catalpa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Cedrus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Celastrus orbiculatus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laevigata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Cerastium glomeratum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Cerastium holosteoides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Ceratonia siliqua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Cercis reniformis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Cereus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Chaenomeles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Chamaecrista fasciculata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Chamaecyparis thyoides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Chamerion angustifolium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Chelidonium majus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Chilopsis linearis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Chionanthus virginicus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x morifolium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Cichorium endivia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Cichorium intybus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Cicuta maculata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Cinnamomum camphora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Cissus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medica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unshiu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Claytonia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Clematis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Clethra alnifolia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Clitoria mariana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Cnidoscolus texanus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Cocculus carolinus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Cocculus orbiculatus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Codiaeum variegatum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Cordia boissieri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Coreopsis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drummondii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florida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cornuta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Cosmos bipinnatus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Cosmos sulphureus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Cotinus coggygria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Cotoneaster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Crotalaria brevidens var. intermedia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Crotalaria pallida var. obovata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Crotalaria spectabilis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Croton monanthogynus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Croton texensis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melopepo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moschata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Cupressus sempervirens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Cyamopsis tetragonoloba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Cynara scolymus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Cynoglossum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Dalea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innoxia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carota subsp.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Delphinium ajacis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Delphinium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Descurainia 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Desmodium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barbatus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caryophyllus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plumarius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Dichondra repens var. carolinensis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Diervilla lonicera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Dioscorea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texana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Dipsacus fullonum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Dolichandra unguis-cati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Dysphania ambrosioides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Echinacea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Echinocactus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Elaeagnus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Eleutherococcus sieboldianus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Ephedra sinica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Erechtites hieraciifolius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Eriogonum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Eryngium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camaldulensis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polyanthemos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rudis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Euonymus atropurpureus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Euonymus japonicus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Eupatorium caelestinum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corollata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cyparissias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dentata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maculata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milii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pulcherrima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Evolvulus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Eysenhardtia polystachya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Feijoa sellowiana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Firmiana simplex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Foeniculum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Forestiera acuminata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Forsythia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Fouquieria splendens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Frangula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Franseria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velutina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Froelichia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Gaillardia aristata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Gaillardia pulchella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Gardenia jasminoides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Garrya flavescens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Gelsemium sempervirens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Geranium carolinianum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Geum aleppicum var. strictum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Geum canadense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Gilia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Ginkgo biloba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Glandularia bipinnatifida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Gleditsia triacanthos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Gnaphalium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Gordonia lasianthus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barbadense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herbaceum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Grevillea robusta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Grindelia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Gutierrezia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Gymnocladus dioica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Haplopappus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Hedera helix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Helenium amarum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Helenium autumnale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Helianthemum nummularium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maximiliani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petiolaris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tuberosus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Heliopsis helianthoides var. scabra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Heliopsis helianthoides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Heracleum maximum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Hesperocyparis arizonica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Hesperocyparis macrocarpa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Heteromeles arbutifolia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cannabinus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sabdariffa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syriacus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trionum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Hieracium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Houstonia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Hydrangea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Hydrangea petiolaris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Hydrastis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Hypochaeris radicata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cassine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decidua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vomitoria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Indigofera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hederacea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nil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quamoclit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Iva xanthiifolia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Jacaranda acutifolia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Jatropha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ailanthifolia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deppeana var. pachyphloea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horizontalis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scopulorum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virginiana var. silicicola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Justicia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Kalmia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Kerria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Koelreuteria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Krameria lanceolata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Krigia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Kuhnia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Lablab purpureus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serriola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Lagenaria siceraria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Lagerstroemia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Lantana horrida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Lappula squarrosa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laricina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Lathyrus odoratus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campestre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densiflorum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virginicum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Lespedeza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Lesquerella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Leucanthemum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Leucophyllum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Liatris pycnostachya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Ligustrum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Limonium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Linaria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Lindera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Linum lewisii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Linum rigidum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Linum sulcatum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Lippia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Liquidambar styraciflua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Liriodendron tulipifera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Lithospermum occidentale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Lobelia inflata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Lobelia siphilitica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Lonicera morrowii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Lonicera sempervirens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Lonicera tatarica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Lupinus perennis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Lupinus subcarnosus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Lycium carolineanum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Lysimachia ciliata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Lysimachia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Maackia amurensis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Maclura pomifera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baccata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Malvastrum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Malvaviscus arboreus var. drummondii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Malvella leprosa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Mammillaria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Manihot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Manilkara zapota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Matthiola incana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arabica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lupulina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polymorpha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truncatula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Melia azedarach</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albus var.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albus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indicus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Mentzelia laevicaulis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Mirabilis jalapa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Mirabilis nyctaginea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Mollugo verticillata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Mucuna deeringiana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Myrica cerifera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Nandina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Nerium oleander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Nicandra physalodes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Nyssa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Oenothera gaura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Oenothera laciniata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Oenothera suffrutescens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europaea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Oncoba spinosa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Osmanthus heterophyllus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Ostrya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Oxydendrum arboreum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Paeonia lactiflora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Parkinsonia florida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Parkinsonia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Parthenium argentatum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Parthenocissus quinquefolia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Parthenocissus tricuspidata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Pastinaca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Paulownia tomentosa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Pavonia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Penstemon cobaea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lapathifolia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maculosa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Petroselinum crispum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Phacelia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acutifolius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lunatus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Philadelphus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Phlox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Photinia serratifolia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Physocarpus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Phytolacca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engelmannii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Pilosella aurantiaca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Pimpinella anisum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echinata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Pistacia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Pistacia vera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aristata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lanceolata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wrightii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Platycladus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Platycodon grandiflorus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Plectocephalus americanus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Plumeria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Polygonum aviculare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deltoides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fremontii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x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Potentilla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obconica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Proboscidea louisianica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Prosopis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laurocerasus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munsoniana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serotina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Psoralea tenuiflora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Ptelea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Pueraria montana var. lobata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Pyracantha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cerris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macrocarpa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phellos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prinus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suber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Ratibida columnifera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Rheum rhaponticum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Rhododendron catawbiense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Rhus copallinum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Rhus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Rhus trilobata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Rhus typhina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Ribes rubrum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Ribes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Rivina humilis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Robinia hispida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Robinia pseudoacacia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idaeus var. strigosus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ulmifolius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x loganobaccus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Rudbeckia triloba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crispus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babylonica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Salsola kali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greggii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splendens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Sambucus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Sambucus racemosa subsp. pubens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Sapindus drummondii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Saponaria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Sassafras albidum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Scabiosa atropurpurea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Schinus molle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Schinus terebinthifolia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Scutellaria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Senecio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Senegalia greggii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marilandica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tora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Sequoia sempervirens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Sesbania herbacea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Sesbania vesicaria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Sesuvium portulacastrum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Shepherdia argentea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rhombifolia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spinosa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Sideroxylon lanuginosum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Silene antirrhina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Silene latifolia subsp.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Silphium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elaeagnifolium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rostratum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Solidago altissima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asper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oleraceus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Sophora davidii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Sophora secundiflora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Spergula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Sphaeralcea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Spiraea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Stellaria media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Stillingia linearifolia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Strophostyles helvola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Styphnolobium japonicum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Symplocos tinctoria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reticulata var. mandschurica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x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Tamarix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Tanacetum cinerariifolium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Taxodium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Tecoma stans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Tephrosia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Thuja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Toxicodendron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Toxicodendron vernix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Tragia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Tragopogon porrifolius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Triadica sebifera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campestre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incarnatum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pratense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Triodanis perfoliata subsp. biflora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Tsuga diversifolia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crassifolia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parvifolia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thomasii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Ungnadia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Urtica dioica subsp. gracilis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Urtica dioica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arboreum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Vachellia farnesiana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Valerianella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Verbascum blattaria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Verbascum thapsus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Verbena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Verbesina encelioides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Vernicia fordii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Vernonia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peregrina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Veronicastrum virginicum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sativa subsp.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 subsp.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Viguiera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Vincetoxicum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Viola odorata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Vitex agnus-castus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labrusca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rupestris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Weigela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Wisteria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Xanthium orientale subsp. saccharatum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Zinnia elegans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jujuba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Phymatotrichopsis omnivora </w:t>
      </w:r>
      <w:r>
        <w:rPr>
          <w:rFonts w:ascii="Calibri" w:hAnsi="Calibri" w:eastAsia="Calibri" w:cs="Calibri"/>
          <w:color w:val="000000"/>
          <w:sz w:val="22"/>
          <w:szCs w:val="22"/>
        </w:rPr>
        <w:t xml:space="preserve">is widespread in the alkaline, calcareous soils of the Southwestern USA and Northern Mexico (Percy, 1983). The fungus is prevalent throughout much of the cotton-growing area of Texas (except for the Caprock escarpment of the Panhandle), and hence the disease is often referred to as ‘cotton root rot’ or ‘Texas root rot’. Other records include recent reports in Venezuela (Colmenares, 2016), as well as older records for the Dominican Republic, India, Libya, Malawi and Pakistan (Lyda, 1972; Mishra, 1953; Uppalapati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Farr &amp; Rossman, 2021). As </w:t>
      </w:r>
      <w:r>
        <w:rPr>
          <w:rFonts w:ascii="Calibri" w:hAnsi="Calibri" w:eastAsia="Calibri" w:cs="Calibri"/>
          <w:i/>
          <w:iCs/>
          <w:color w:val="000000"/>
          <w:sz w:val="22"/>
          <w:szCs w:val="22"/>
        </w:rPr>
        <w:t xml:space="preserve">P. omnivora </w:t>
      </w:r>
      <w:r>
        <w:rPr>
          <w:rFonts w:ascii="Calibri" w:hAnsi="Calibri" w:eastAsia="Calibri" w:cs="Calibri"/>
          <w:color w:val="000000"/>
          <w:sz w:val="22"/>
          <w:szCs w:val="22"/>
        </w:rPr>
        <w:t xml:space="preserve">is difficult to isolate and identify morphologically, previous reports of distribution outside of the USA and Mexico are considered doubtful and should be confirmed molecularly (Arif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r>
        <w:drawing>
          <wp:inline distT="0" distB="0" distL="0" distR="0">
            <wp:extent cx="6120000" cy="3067200"/>
            <wp:docPr id="1527607" name="name69466ab7b3dc7058c" descr="PHMPOM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MPOM_distribution_map.jpg"/>
                    <pic:cNvPicPr/>
                  </pic:nvPicPr>
                  <pic:blipFill>
                    <a:blip r:embed="rId81386ab7b3dc70587"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(Arizona, Arkansas, California, Louisiana, Nevada, New Mexico, Oklahoma, Texas, Utah)</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is not seedborne. The primary inoculum is sclerotia, or strands surviving on roots of host plants. The fungus spreads as fine mycelial strands which traverse the soil and infect other roots. Experiments have shown that strands did not survive for more than 1 year on roots of killed cotton plants remaining in the soil, and strands buried 25 cm deep in the rhizosphere of cotton plants in the field did not survive for more than 3 months. Strands require live cotton roots for overwintering as experiments have shown that strands have poor survival on dead cotton plants. Sclerotia, on the other hand, have been shown to survive for at least 5 years in soil. Strands and sclerotia have been found at depths of 2 m and 2.6 m, respectively (although most occur at 0.5-0.9 m), thus demonstrating that they can tolerate high levels of CO</w:t>
      </w:r>
      <w:r>
        <w:rPr>
          <w:rFonts w:ascii="Calibri" w:hAnsi="Calibri" w:eastAsia="Calibri" w:cs="Calibri"/>
          <w:color w:val="000000"/>
          <w:position w:val="-4"/>
          <w:sz w:val="22"/>
          <w:szCs w:val="22"/>
          <w:vertAlign w:val="subscript"/>
          <w:vertAlign w:val="subscript"/>
        </w:rPr>
        <w:t xml:space="preserve">2</w:t>
      </w:r>
      <w:r>
        <w:rPr>
          <w:rFonts w:ascii="Calibri" w:hAnsi="Calibri" w:eastAsia="Calibri" w:cs="Calibri"/>
          <w:color w:val="000000"/>
          <w:sz w:val="22"/>
          <w:szCs w:val="22"/>
        </w:rPr>
        <w:t xml:space="preserve">. The fungus was not eliminated in soil flooded for 120 days. After heavy summer rain, the fungus may come to the soil surface and form large tawny mycelial mats, 10-20 cm in diameter and 0.6 cm thick, on which conidia are borne. These spores probably play no part in dissemination as they rarely germinate. Nothing is known about the possible role of the teleomorph, but recent genome sequencing has shown that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is a heterothallic fungus based on the presence of the mating type genes, MAT1-1-1 or MAT1-2-1, in an isolate (Mattupalli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which indicates that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may have a yet to be identified sexual cycle.</w:t>
      </w:r>
    </w:p>
    <w:p>
      <w:pPr>
        <w:widowControl w:val="on"/>
        <w:pBdr/>
        <w:spacing w:before="220" w:after="220" w:line="240" w:lineRule="auto"/>
        <w:ind w:left="0" w:right="0"/>
        <w:jc w:val="both"/>
      </w:pPr>
      <w:r>
        <w:rPr>
          <w:rFonts w:ascii="Calibri" w:hAnsi="Calibri" w:eastAsia="Calibri" w:cs="Calibri"/>
          <w:color w:val="000000"/>
          <w:sz w:val="22"/>
          <w:szCs w:val="22"/>
        </w:rPr>
        <w:t xml:space="preserve">Temperature is an important factor in pathogen survival with relatively high winter temperatures being favourable (Wheeler &amp; Hine, 1972). Rush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(1984a), analyzed the factors which affect symptom appearance and concluded that root rot is favoured by temperatures over 22°C and relatively high soil moisture. Jeger &amp; Lyda (1986) looked for environmental factors correlating to disease incidence, and identified cumulative precipitation up to the end of the growing season and (inversely) temperatures above 34°C. A threshold criterion based on cumulative precipitation and mean maximum temperature during the preceding 10 days could be used to forecast annual disease incidence. Percy (1983) assessed soil base exchange capacity, pH, sodium content, calcium content and clay fraction, and mean annual air temperature, as factors limiting the occurrence of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A map of the potential distribution of the fungus in North America, based on this analysis, was mostly coterminous with the known distribution. In addition, the fungus cannot tolerate soil temperatures below freezing for any appreciable time. Thus, temperature and soil requirements appear to be the factors restricting the natural distribution of the pathogen.</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on the biology of the pathogen see Streets (1937) and Streets &amp; Bloss (1973), Uppalapati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on cotton appears in patches in the field and these areas do not necessarily produce a diseased crop the next year (Uppalapati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The infection of the root system early in the season does not cause above-ground symptoms (Rush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1984c). Symptoms only become conspicuous during the summer, as a sudden wilting of the plant, with or without a prior chlorosis of the leaves. The foliage droops, turns brown and may remain hanging on the branches for a few days before dropping off to leave a bare, dead stalk. At this stage, the roots are dead and their surface is covered with a network of yellow-brown fungal strands. If there is abundant water, brown to black wart-like sclerotia are also seen on the surface roots. The cortex of the killed roots is soft and readily peels. The conidial stage develops on the ground, near the margin of the zone of dying plants in the form of cushion-like, creamy yellowish masses. These spore mats are not, however, often found in cotton fields.</w:t>
      </w:r>
    </w:p>
    <w:p>
      <w:pPr>
        <w:widowControl w:val="on"/>
        <w:pBdr/>
        <w:spacing w:before="220" w:after="220" w:line="240" w:lineRule="auto"/>
        <w:ind w:left="0" w:right="0"/>
        <w:jc w:val="both"/>
      </w:pPr>
      <w:r>
        <w:rPr>
          <w:rFonts w:ascii="Calibri" w:hAnsi="Calibri" w:eastAsia="Calibri" w:cs="Calibri"/>
          <w:color w:val="000000"/>
          <w:sz w:val="22"/>
          <w:szCs w:val="22"/>
        </w:rPr>
        <w:t xml:space="preserve">In a perennial crop such as alfalfa, the disease will continue to spread throughout each sequential growing season, with up to 30% stand loss occurring over a single year (Mattupalli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Surviving alfalfa plants compensated for damage or loss to the taproot through the development of more lateral and crown roots (Mattupalli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Conidia unicellular, hyaline, globose (4.8-5.5 µm in diameter) or ovate (6-8 x 5-6 µm). Mycelial strands about 200 µm in diameter, bearing acicular hyphae, with distinctive cruciform branches emanating from the peripheral mycelium. Sclerotia irregular in shape, brown to black, 1-5 mm in diameter.</w:t>
      </w:r>
    </w:p>
    <w:p>
      <w:pPr>
        <w:widowControl w:val="on"/>
        <w:pBdr/>
        <w:spacing w:before="220" w:after="220" w:line="240" w:lineRule="auto"/>
        <w:ind w:left="0" w:right="0"/>
        <w:jc w:val="both"/>
      </w:pPr>
      <w:r>
        <w:rPr>
          <w:rFonts w:ascii="Calibri" w:hAnsi="Calibri" w:eastAsia="Calibri" w:cs="Calibri"/>
          <w:color w:val="000000"/>
          <w:sz w:val="22"/>
          <w:szCs w:val="22"/>
        </w:rPr>
        <w:t xml:space="preserve">More detailed information is given by Streets (1937) and Streets &amp; Bloss (1973).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Genome</w:t>
      </w:r>
    </w:p>
    <w:p>
      <w:pPr>
        <w:widowControl w:val="on"/>
        <w:pBdr/>
        <w:spacing w:before="220" w:after="220" w:line="240" w:lineRule="auto"/>
        <w:ind w:left="0" w:right="0"/>
        <w:jc w:val="both"/>
      </w:pPr>
      <w:r>
        <w:rPr>
          <w:rFonts w:ascii="Calibri" w:hAnsi="Calibri" w:eastAsia="Calibri" w:cs="Calibri"/>
          <w:color w:val="000000"/>
          <w:sz w:val="22"/>
          <w:szCs w:val="22"/>
        </w:rPr>
        <w:t xml:space="preserve">Four isolates of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have been sequenced (Mattupalli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Interestingly, the draft genome assemblies of the four isolates sequenced revealed that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genome is bigger than most other fungal genomes. The genome size among </w:t>
      </w:r>
      <w:r>
        <w:rPr>
          <w:rFonts w:ascii="Calibri" w:hAnsi="Calibri" w:eastAsia="Calibri" w:cs="Calibri"/>
          <w:i/>
          <w:iCs/>
          <w:color w:val="000000"/>
          <w:sz w:val="22"/>
          <w:szCs w:val="22"/>
        </w:rPr>
        <w:t xml:space="preserve">P. omnivora </w:t>
      </w:r>
      <w:r>
        <w:rPr>
          <w:rFonts w:ascii="Calibri" w:hAnsi="Calibri" w:eastAsia="Calibri" w:cs="Calibri"/>
          <w:color w:val="000000"/>
          <w:sz w:val="22"/>
          <w:szCs w:val="22"/>
        </w:rPr>
        <w:t xml:space="preserve">isolates ranged from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107 to 109 Mb. Approximately 38% to 40% of the genome of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are repeat sequences.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the yellow-brown parallel strands of mycelium visible with a hand-lens on rotted roots of host plants are characteristic. PCR- and real-time PCR-based methods have been developed to detect the pathogen in root tissues for ease of detection (Arif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Mattupalli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Under natural conditions, as a soilborne pathogen,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omnivora</w:t>
      </w:r>
      <w:r>
        <w:rPr>
          <w:rFonts w:ascii="Calibri" w:hAnsi="Calibri" w:eastAsia="Calibri" w:cs="Calibri"/>
          <w:color w:val="000000"/>
          <w:sz w:val="22"/>
          <w:szCs w:val="22"/>
        </w:rPr>
        <w:t xml:space="preserve"> has low dispersal potential. It persists at certain locations where soil conditions are favourable and does not readily spread beyond the vicinity of the host plant.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could be transported by human-assisted means, with soil or on roots of infected host plants. Locally, it may be spread with soil associated to agricultural machinery. In North America, internal quarantine measures have been applied to prevent spread into non-infested areas, but it is likely that the fungus has reached its natural limits in any case. The risk of intercontinental introduction is mainly with trade of hosts other than cotton since cotton plants are not usually moved in trade. Seeds are not a pathway as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omnivora </w:t>
      </w:r>
      <w:r>
        <w:rPr>
          <w:rFonts w:ascii="Calibri" w:hAnsi="Calibri" w:eastAsia="Calibri" w:cs="Calibri"/>
          <w:color w:val="000000"/>
          <w:sz w:val="22"/>
          <w:szCs w:val="22"/>
        </w:rPr>
        <w:t xml:space="preserve">is not seed-borne, and traded seeds should be free from soil. There are no records of the fungus being intercepted in internationally traded consignments, at least in the EU (EFSA PHL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 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fungus is most serious on cotton and on this host it kills plants before maturity, reduces yield and quality by killing partly developed bolls and reduces lint quality in plants which survive until harvest. Mulrean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have analysed the elements of yield loss in cotton. Each year, it is estimated that 2% of the cotton yield in Texas (USA) is lost to root rot (Watkins, 1981). Cotton cultivation has been abandoned in some cases on soils that are most favourable to the fungus.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also causes significant economic losses to alfalfa cultivation in Southern Oklahoma and Northern Texas (Uppalapati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Unlike cotton, alfalfa is a perennial crop, and the root rot disease persists year after year and the disease areas increase over time (Mattupalli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Because of this disease, farmers are reluctant to grow alfalfa in affected areas of Oklahoma and Texas.</w:t>
      </w:r>
    </w:p>
    <w:p>
      <w:pPr>
        <w:widowControl w:val="on"/>
        <w:pBdr/>
        <w:spacing w:before="220" w:after="220" w:line="240" w:lineRule="auto"/>
        <w:ind w:left="0" w:right="0"/>
        <w:jc w:val="both"/>
      </w:pPr>
      <w:r>
        <w:rPr>
          <w:rFonts w:ascii="Calibri" w:hAnsi="Calibri" w:eastAsia="Calibri" w:cs="Calibri"/>
          <w:color w:val="000000"/>
          <w:sz w:val="22"/>
          <w:szCs w:val="22"/>
        </w:rPr>
        <w:t xml:space="preserve">On sunflowers, </w:t>
      </w:r>
      <w:r>
        <w:rPr>
          <w:rFonts w:ascii="Calibri" w:hAnsi="Calibri" w:eastAsia="Calibri" w:cs="Calibri"/>
          <w:i/>
          <w:iCs/>
          <w:color w:val="000000"/>
          <w:sz w:val="22"/>
          <w:szCs w:val="22"/>
        </w:rPr>
        <w:t xml:space="preserve">P. omnivora </w:t>
      </w:r>
      <w:r>
        <w:rPr>
          <w:rFonts w:ascii="Calibri" w:hAnsi="Calibri" w:eastAsia="Calibri" w:cs="Calibri"/>
          <w:color w:val="000000"/>
          <w:sz w:val="22"/>
          <w:szCs w:val="22"/>
        </w:rPr>
        <w:t xml:space="preserve">delays seed germination, and this combined with late planting may result in significant losses (Orellana, 1973). The references to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in the APS Compendia of Plant Diseases (Riggs 2001; Young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give a partial view of the situation on other crops. Winter-grown annual crops (such as sugarbeet) escape disease. Apples, peaches, pecans, grapes, and in Mexico, mangoes and avocados, suffer significant losses.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is a major constraint to apple cultivation in Texas. </w:t>
      </w:r>
      <w:r>
        <w:rPr>
          <w:rFonts w:ascii="Calibri" w:hAnsi="Calibri" w:eastAsia="Calibri" w:cs="Calibri"/>
          <w:i/>
          <w:iCs/>
          <w:color w:val="000000"/>
          <w:sz w:val="22"/>
          <w:szCs w:val="22"/>
        </w:rPr>
        <w:t xml:space="preserve">Ulmus</w:t>
      </w:r>
      <w:r>
        <w:rPr>
          <w:rFonts w:ascii="Calibri" w:hAnsi="Calibri" w:eastAsia="Calibri" w:cs="Calibri"/>
          <w:color w:val="000000"/>
          <w:sz w:val="22"/>
          <w:szCs w:val="22"/>
        </w:rPr>
        <w:t xml:space="preserve"> spp. have been severely attacked. The disease is only minor on citrus, roses and Rhododendron. It is not damaging on sweet potatoes or groundnuts. In general, there is relatively little information on hosts other than cotton and alfalfa in the research literature, which suggests that, though many are attacked by the fungus, relatively few suffer significant economic loss.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occurs particularly on heavy calcareous soils.</w:t>
      </w:r>
    </w:p>
    <w:p>
      <w:pPr>
        <w:widowControl w:val="on"/>
        <w:pBdr/>
        <w:spacing w:before="220" w:after="220" w:line="240" w:lineRule="auto"/>
        <w:ind w:left="0" w:right="0"/>
        <w:jc w:val="both"/>
      </w:pPr>
      <w:r>
        <w:rPr>
          <w:rFonts w:ascii="Calibri" w:hAnsi="Calibri" w:eastAsia="Calibri" w:cs="Calibri"/>
          <w:color w:val="000000"/>
          <w:sz w:val="22"/>
          <w:szCs w:val="22"/>
        </w:rPr>
        <w:t xml:space="preserve">Heavy nitrogenous manuring and deep cultivation reduce losses. The disease on cotton is mainly controlled by rotation with non-host plants (e.g. with sorghum) and cultural practices such as early planting, to allow the crop to establish and start boll formation before root rot becomes significant. </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Chemicals can be used to control the fungus in the soil. The standard soil treatments have been reported to be effective as have drenches with fungicides such as the benzimidazoles. Such treatments would be too costly for field crops but might be suitable for land on which a high-value horticultural crop was to be grown. Only the soil directly treated is affected, and experience shows that after a certain time this soil is recontaminated by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coming from deeper soil layers. Thus, it is doubtful whether such treatments would be effective enough to be used for eradication (Uppalapati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Recently, flutriafol (triazole fungicide) has been used to successfully control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in cotton fields in the USA (Chitrampalam &amp; Olsen, 2014; Isakeit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Norton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This fungicide is applied in the furrows while planting cotton seeds (Isakeit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Norton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Yang, 2020). It has also been approved in 2020 for use in alfalfa in the USA. This is the only chemical active substance on the market labelled for management of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Identification of varietal resistance has not been found in the major hosts. There is considerable research interest in antagonistic fungi which colonize and destroy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sclerotia (e.g. Kenerley &amp; Stack, 1987, Martínez-Escudero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but this is not yet applied in practice.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is a polyphagous pathogen which causes important damage on crops such as cotton, alfalfa, apple, peach and grapevine. It would be very difficult to control if introduced in the EPPO region. EFSA PHL Panel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concluded that it met the criteria to be a quarantine pest for the EU. In view of the temperature and soil factors which appear to limit the distribution of the pest in North America (see Biology), potential distribution in other continents would mainly be in the warmer wetter areas (South America, Africa, India). In the EPPO region, the cotton-growing countries of the Mediterranean basin would be more likely to be affected than the more continental areas e.g. of Central Asia. With respect to other host plants, the risk is much greater for North Africa and Southern Europe than for Northern or Eastern Europe.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It is recommended to prohibit the importation of soil from areas where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occurs. This implies that no soil should accompany plants for planting imported from those areas. However, inorganic or sterilized growing media could, if necessary, be accepted, or other safeguards to ensure that there is no possibility that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could be present in the growing medium. EPPO Standard PM 8/1 on potato notes that </w:t>
      </w:r>
      <w:r>
        <w:rPr>
          <w:rFonts w:ascii="Calibri" w:hAnsi="Calibri" w:eastAsia="Calibri" w:cs="Calibri"/>
          <w:i/>
          <w:iCs/>
          <w:color w:val="000000"/>
          <w:sz w:val="22"/>
          <w:szCs w:val="22"/>
        </w:rPr>
        <w:t xml:space="preserve">P. omnivora</w:t>
      </w:r>
      <w:r>
        <w:rPr>
          <w:rFonts w:ascii="Calibri" w:hAnsi="Calibri" w:eastAsia="Calibri" w:cs="Calibri"/>
          <w:color w:val="000000"/>
          <w:sz w:val="22"/>
          <w:szCs w:val="22"/>
        </w:rPr>
        <w:t xml:space="preserve"> can be present in soil attached to potato tubers and recommends that tubers should be free from plant debris and from soil. This is also valid for bulbs and root vegetables.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Arif M, Dobhal S, Garrido P, Orquera G, Espindola A, Young C, Ochoa-Corona F, Marek S, Garzon C (2014) Highly sensitive end-point PCR and SYBR Green qPCR detection of </w:t>
      </w:r>
      <w:r>
        <w:rPr>
          <w:rFonts w:ascii="Calibri" w:hAnsi="Calibri" w:eastAsia="Calibri" w:cs="Calibri"/>
          <w:i/>
          <w:iCs/>
          <w:color w:val="000000"/>
          <w:sz w:val="22"/>
          <w:szCs w:val="22"/>
        </w:rPr>
        <w:t xml:space="preserve">Phymatotrichopsis omnivora</w:t>
      </w:r>
      <w:r>
        <w:rPr>
          <w:rFonts w:ascii="Calibri" w:hAnsi="Calibri" w:eastAsia="Calibri" w:cs="Calibri"/>
          <w:color w:val="000000"/>
          <w:sz w:val="22"/>
          <w:szCs w:val="22"/>
        </w:rPr>
        <w:t xml:space="preserve">, causal fungus of cotton root rot.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(9), 1205-1212.</w:t>
      </w:r>
    </w:p>
    <w:p>
      <w:pPr>
        <w:widowControl w:val="on"/>
        <w:pBdr/>
        <w:spacing w:before="220" w:after="220" w:line="240" w:lineRule="auto"/>
        <w:ind w:left="0" w:right="0"/>
        <w:jc w:val="left"/>
      </w:pPr>
      <w:r>
        <w:rPr>
          <w:rFonts w:ascii="Calibri" w:hAnsi="Calibri" w:eastAsia="Calibri" w:cs="Calibri"/>
          <w:color w:val="000000"/>
          <w:sz w:val="22"/>
          <w:szCs w:val="22"/>
        </w:rPr>
        <w:t xml:space="preserve">Chitrampalam P, Olsen MW (2014) Genetic diversity and fungicide sensitivity of </w:t>
      </w:r>
      <w:r>
        <w:rPr>
          <w:rFonts w:ascii="Calibri" w:hAnsi="Calibri" w:eastAsia="Calibri" w:cs="Calibri"/>
          <w:i/>
          <w:iCs/>
          <w:color w:val="000000"/>
          <w:sz w:val="22"/>
          <w:szCs w:val="22"/>
        </w:rPr>
        <w:t xml:space="preserve">Phymatotrichopsis omnivora </w:t>
      </w:r>
      <w:r>
        <w:rPr>
          <w:rFonts w:ascii="Calibri" w:hAnsi="Calibri" w:eastAsia="Calibri" w:cs="Calibri"/>
          <w:color w:val="000000"/>
          <w:sz w:val="22"/>
          <w:szCs w:val="22"/>
        </w:rPr>
        <w:t xml:space="preserve">isolates from cotton in Arizona. </w:t>
      </w:r>
      <w:r>
        <w:rPr>
          <w:rFonts w:ascii="Calibri" w:hAnsi="Calibri" w:eastAsia="Calibri" w:cs="Calibri"/>
          <w:i/>
          <w:iCs/>
          <w:color w:val="000000"/>
          <w:sz w:val="22"/>
          <w:szCs w:val="22"/>
        </w:rPr>
        <w:t xml:space="preserve">University of Arizona Cooperative Extension Report</w:t>
      </w:r>
      <w:r>
        <w:rPr>
          <w:rFonts w:ascii="Calibri" w:hAnsi="Calibri" w:eastAsia="Calibri" w:cs="Calibri"/>
          <w:color w:val="000000"/>
          <w:sz w:val="22"/>
          <w:szCs w:val="22"/>
        </w:rPr>
        <w:t xml:space="preserve">, az1655.</w:t>
      </w:r>
    </w:p>
    <w:p>
      <w:pPr>
        <w:widowControl w:val="on"/>
        <w:pBdr/>
        <w:spacing w:before="220" w:after="220" w:line="240" w:lineRule="auto"/>
        <w:ind w:left="0" w:right="0"/>
        <w:jc w:val="left"/>
      </w:pPr>
      <w:r>
        <w:rPr>
          <w:rFonts w:ascii="Calibri" w:hAnsi="Calibri" w:eastAsia="Calibri" w:cs="Calibri"/>
          <w:color w:val="000000"/>
          <w:sz w:val="22"/>
          <w:szCs w:val="22"/>
        </w:rPr>
        <w:t xml:space="preserve">Colmenares CAM (2016) Peach root rot-</w:t>
      </w:r>
      <w:r>
        <w:rPr>
          <w:rFonts w:ascii="Calibri" w:hAnsi="Calibri" w:eastAsia="Calibri" w:cs="Calibri"/>
          <w:i/>
          <w:iCs/>
          <w:color w:val="000000"/>
          <w:sz w:val="22"/>
          <w:szCs w:val="22"/>
        </w:rPr>
        <w:t xml:space="preserve">Phymatotrichopsis omnivora</w:t>
      </w:r>
      <w:r>
        <w:rPr>
          <w:rFonts w:ascii="Calibri" w:hAnsi="Calibri" w:eastAsia="Calibri" w:cs="Calibri"/>
          <w:color w:val="000000"/>
          <w:sz w:val="22"/>
          <w:szCs w:val="22"/>
        </w:rPr>
        <w:t xml:space="preserve">. Available online: </w:t>
      </w:r>
      <w:hyperlink r:id="rId93676ab7b3dc712f9" w:history="1">
        <w:r>
          <w:rPr>
            <w:rFonts w:ascii="Calibri" w:hAnsi="Calibri" w:eastAsia="Calibri" w:cs="Calibri"/>
            <w:color w:val="0000CC"/>
            <w:sz w:val="22"/>
            <w:szCs w:val="22"/>
            <w:u w:val="single"/>
          </w:rPr>
          <w:t xml:space="preserve">https://www.engormix.com/agricultura/articulos/peach-root-rot-phymatotrichopsis-t39833.htm</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Dehnen-Schmutz K, Di Serio F, Gonthier P, Jacques M-A, Jaques Miret JA, Justesen AF, MacLeod A, Sven Magnusson C, Milonas P, Navas-Cortes JA, Parnell S, Potting R, Reignault PL, Thulke H-H, Van der Werf W, Yuen J, Zappal_a L, Jeger M, Vloutoglou I, Bottex B, Vicent Civera A (2019) Scientific Opinion on the pest categorisation of </w:t>
      </w:r>
      <w:r>
        <w:rPr>
          <w:rFonts w:ascii="Calibri" w:hAnsi="Calibri" w:eastAsia="Calibri" w:cs="Calibri"/>
          <w:i/>
          <w:iCs/>
          <w:color w:val="000000"/>
          <w:sz w:val="22"/>
          <w:szCs w:val="22"/>
        </w:rPr>
        <w:t xml:space="preserve">Phymatotrichopsis omnivora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(3):5619, 33 pp. </w:t>
      </w:r>
      <w:hyperlink r:id="rId19936ab7b3dc71393" w:history="1">
        <w:r>
          <w:rPr>
            <w:rFonts w:ascii="Calibri" w:hAnsi="Calibri" w:eastAsia="Calibri" w:cs="Calibri"/>
            <w:color w:val="0000CC"/>
            <w:sz w:val="22"/>
            <w:szCs w:val="22"/>
            <w:u w:val="single"/>
          </w:rPr>
          <w:t xml:space="preserve">https://doi.org/10.2903/j.efsa.2019.5619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 PM 8/1 Commodity-specific phytosanitary measures for potato. Available at </w:t>
      </w:r>
      <w:hyperlink r:id="rId96406ab7b3dc713c6" w:history="1">
        <w:r>
          <w:rPr>
            <w:rFonts w:ascii="Calibri" w:hAnsi="Calibri" w:eastAsia="Calibri" w:cs="Calibri"/>
            <w:color w:val="0000CC"/>
            <w:sz w:val="22"/>
            <w:szCs w:val="22"/>
            <w:u w:val="single"/>
          </w:rPr>
          <w:t xml:space="preserve">https://gd.eppo.int/standards/PM8/</w:t>
        </w:r>
        <w:r>
          <w:rPr>
            <w:rFonts w:ascii="Calibri" w:hAnsi="Calibri" w:eastAsia="Calibri" w:cs="Calibri"/>
            <w:i/>
            <w:iCs/>
            <w:color w:val="0000CC"/>
            <w:sz w:val="22"/>
            <w:szCs w:val="22"/>
            <w:u w:val="single"/>
          </w:rPr>
          <w:t xml:space="preserve"> </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Farr DF, Rossman AY (2021) Fungal Databases, U.S. National Fungus Collections, ARS, USDA. Retrieved December 2, 2021, from </w:t>
      </w:r>
      <w:hyperlink r:id="rId31206ab7b3dc71429" w:history="1">
        <w:r>
          <w:rPr>
            <w:rFonts w:ascii="Calibri" w:hAnsi="Calibri" w:eastAsia="Calibri" w:cs="Calibri"/>
            <w:color w:val="0000CC"/>
            <w:sz w:val="22"/>
            <w:szCs w:val="22"/>
            <w:u w:val="single"/>
          </w:rPr>
          <w:t xml:space="preserve">https://nt.ars-grin.gov/fungaldatabases/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Isakeit T, Minzenmayer RR, Drake DR, Morgan GD, Mott DA, Fromme DD, Multer W L, Jungman M, Abrameit A (2012) Fungicide management of cotton root rot (</w:t>
      </w:r>
      <w:r>
        <w:rPr>
          <w:rFonts w:ascii="Calibri" w:hAnsi="Calibri" w:eastAsia="Calibri" w:cs="Calibri"/>
          <w:i/>
          <w:iCs/>
          <w:color w:val="000000"/>
          <w:sz w:val="22"/>
          <w:szCs w:val="22"/>
        </w:rPr>
        <w:t xml:space="preserve">Phymatotrichopsis omnivora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Beltwide Cotton Prod. Res. Conf.</w:t>
      </w:r>
      <w:r>
        <w:rPr>
          <w:rFonts w:ascii="Calibri" w:hAnsi="Calibri" w:eastAsia="Calibri" w:cs="Calibri"/>
          <w:color w:val="000000"/>
          <w:sz w:val="22"/>
          <w:szCs w:val="22"/>
        </w:rPr>
        <w:t xml:space="preserve">, 235–237.</w:t>
      </w:r>
    </w:p>
    <w:p>
      <w:pPr>
        <w:widowControl w:val="on"/>
        <w:pBdr/>
        <w:spacing w:before="220" w:after="220" w:line="240" w:lineRule="auto"/>
        <w:ind w:left="0" w:right="0"/>
        <w:jc w:val="left"/>
      </w:pPr>
      <w:r>
        <w:rPr>
          <w:rFonts w:ascii="Calibri" w:hAnsi="Calibri" w:eastAsia="Calibri" w:cs="Calibri"/>
          <w:color w:val="000000"/>
          <w:sz w:val="22"/>
          <w:szCs w:val="22"/>
        </w:rPr>
        <w:t xml:space="preserve">Jeger MJ, Lyda SD (1986) Epidemics of </w:t>
      </w:r>
      <w:r>
        <w:rPr>
          <w:rFonts w:ascii="Calibri" w:hAnsi="Calibri" w:eastAsia="Calibri" w:cs="Calibri"/>
          <w:i/>
          <w:iCs/>
          <w:color w:val="000000"/>
          <w:sz w:val="22"/>
          <w:szCs w:val="22"/>
        </w:rPr>
        <w:t xml:space="preserve">Phymatotrichum</w:t>
      </w:r>
      <w:r>
        <w:rPr>
          <w:rFonts w:ascii="Calibri" w:hAnsi="Calibri" w:eastAsia="Calibri" w:cs="Calibri"/>
          <w:color w:val="000000"/>
          <w:sz w:val="22"/>
          <w:szCs w:val="22"/>
        </w:rPr>
        <w:t xml:space="preserve"> root rot in cotton: environmental correlates of final incidence and forecasting criteria.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(3), 523-534.</w:t>
      </w:r>
    </w:p>
    <w:p>
      <w:pPr>
        <w:widowControl w:val="on"/>
        <w:pBdr/>
        <w:spacing w:before="220" w:after="220" w:line="240" w:lineRule="auto"/>
        <w:ind w:left="0" w:right="0"/>
        <w:jc w:val="left"/>
      </w:pPr>
      <w:r>
        <w:rPr>
          <w:rFonts w:ascii="Calibri" w:hAnsi="Calibri" w:eastAsia="Calibri" w:cs="Calibri"/>
          <w:color w:val="000000"/>
          <w:sz w:val="22"/>
          <w:szCs w:val="22"/>
        </w:rPr>
        <w:t xml:space="preserve">Kankanala P, Jones P, Nandety RS, Jacobson DA, Mysore KS (2020) Plasticity of </w:t>
      </w:r>
      <w:r>
        <w:rPr>
          <w:rFonts w:ascii="Calibri" w:hAnsi="Calibri" w:eastAsia="Calibri" w:cs="Calibri"/>
          <w:i/>
          <w:iCs/>
          <w:color w:val="000000"/>
          <w:sz w:val="22"/>
          <w:szCs w:val="22"/>
        </w:rPr>
        <w:t xml:space="preserve">Phymatotrichopsis omnivora</w:t>
      </w:r>
      <w:r>
        <w:rPr>
          <w:rFonts w:ascii="Calibri" w:hAnsi="Calibri" w:eastAsia="Calibri" w:cs="Calibri"/>
          <w:color w:val="000000"/>
          <w:sz w:val="22"/>
          <w:szCs w:val="22"/>
        </w:rPr>
        <w:t xml:space="preserve"> infection strategies is dependent on host and nonhost plant responses</w:t>
      </w:r>
      <w:r>
        <w:rPr>
          <w:rFonts w:ascii="Calibri" w:hAnsi="Calibri" w:eastAsia="Calibri" w:cs="Calibri"/>
          <w:i/>
          <w:iCs/>
          <w:color w:val="000000"/>
          <w:sz w:val="22"/>
          <w:szCs w:val="22"/>
        </w:rPr>
        <w:t xml:space="preserve">. Plant Cell and Environment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1084–1101.</w:t>
      </w:r>
    </w:p>
    <w:p>
      <w:pPr>
        <w:widowControl w:val="on"/>
        <w:pBdr/>
        <w:spacing w:before="220" w:after="220" w:line="240" w:lineRule="auto"/>
        <w:ind w:left="0" w:right="0"/>
        <w:jc w:val="left"/>
      </w:pPr>
      <w:r>
        <w:rPr>
          <w:rFonts w:ascii="Calibri" w:hAnsi="Calibri" w:eastAsia="Calibri" w:cs="Calibri"/>
          <w:color w:val="000000"/>
          <w:sz w:val="22"/>
          <w:szCs w:val="22"/>
        </w:rPr>
        <w:t xml:space="preserve">Kenerley CM, Stack JP (1987) Influence of assessment methods on selection of fungal antagonists of the sclerotium-forming fungus </w:t>
      </w:r>
      <w:r>
        <w:rPr>
          <w:rFonts w:ascii="Calibri" w:hAnsi="Calibri" w:eastAsia="Calibri" w:cs="Calibri"/>
          <w:i/>
          <w:iCs/>
          <w:color w:val="000000"/>
          <w:sz w:val="22"/>
          <w:szCs w:val="22"/>
        </w:rPr>
        <w:t xml:space="preserve">Phymatotrichum omnivorum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Canadian Journal of Microbiology</w:t>
      </w:r>
      <w:r>
        <w:rPr>
          <w:rFonts w:ascii="Calibri" w:hAnsi="Calibri" w:eastAsia="Calibri" w:cs="Calibri"/>
          <w:color w:val="000000"/>
          <w:sz w:val="22"/>
          <w:szCs w:val="22"/>
        </w:rPr>
        <w:t xml:space="preserve"> 33, 632-635.</w:t>
      </w:r>
    </w:p>
    <w:p>
      <w:pPr>
        <w:widowControl w:val="on"/>
        <w:pBdr/>
        <w:spacing w:before="220" w:after="220" w:line="240" w:lineRule="auto"/>
        <w:ind w:left="0" w:right="0"/>
        <w:jc w:val="left"/>
      </w:pPr>
      <w:r>
        <w:rPr>
          <w:rFonts w:ascii="Calibri" w:hAnsi="Calibri" w:eastAsia="Calibri" w:cs="Calibri"/>
          <w:color w:val="000000"/>
          <w:sz w:val="22"/>
          <w:szCs w:val="22"/>
        </w:rPr>
        <w:t xml:space="preserve">Lyda SD (1972) Root rot of cotton in the United States and West Pakistan. </w:t>
      </w:r>
      <w:r>
        <w:rPr>
          <w:rFonts w:ascii="Calibri" w:hAnsi="Calibri" w:eastAsia="Calibri" w:cs="Calibri"/>
          <w:i/>
          <w:iCs/>
          <w:color w:val="000000"/>
          <w:sz w:val="22"/>
          <w:szCs w:val="22"/>
        </w:rPr>
        <w:t xml:space="preserve">Proc. Beltwide Cotton Prod. Res. Conf.</w:t>
      </w:r>
      <w:r>
        <w:rPr>
          <w:rFonts w:ascii="Calibri" w:hAnsi="Calibri" w:eastAsia="Calibri" w:cs="Calibri"/>
          <w:color w:val="000000"/>
          <w:sz w:val="22"/>
          <w:szCs w:val="22"/>
        </w:rPr>
        <w:t xml:space="preserve"> 32, 22-23.</w:t>
      </w:r>
    </w:p>
    <w:p>
      <w:pPr>
        <w:widowControl w:val="on"/>
        <w:pBdr/>
        <w:spacing w:before="220" w:after="220" w:line="240" w:lineRule="auto"/>
        <w:ind w:left="0" w:right="0"/>
        <w:jc w:val="left"/>
      </w:pPr>
      <w:r>
        <w:rPr>
          <w:rFonts w:ascii="Calibri" w:hAnsi="Calibri" w:eastAsia="Calibri" w:cs="Calibri"/>
          <w:color w:val="000000"/>
          <w:sz w:val="22"/>
          <w:szCs w:val="22"/>
        </w:rPr>
        <w:t xml:space="preserve">Marek SM, Hansen K, Romanish M, Thorn RG (2009) Molecular systematics of the cotton root rot pathogen, </w:t>
      </w:r>
      <w:r>
        <w:rPr>
          <w:rFonts w:ascii="Calibri" w:hAnsi="Calibri" w:eastAsia="Calibri" w:cs="Calibri"/>
          <w:i/>
          <w:iCs/>
          <w:color w:val="000000"/>
          <w:sz w:val="22"/>
          <w:szCs w:val="22"/>
        </w:rPr>
        <w:t xml:space="preserve">Phymatotrichopsis omnivora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Persoonia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63-74.</w:t>
      </w:r>
    </w:p>
    <w:p>
      <w:pPr>
        <w:widowControl w:val="on"/>
        <w:pBdr/>
        <w:spacing w:before="220" w:after="220" w:line="240" w:lineRule="auto"/>
        <w:ind w:left="0" w:right="0"/>
        <w:jc w:val="left"/>
      </w:pPr>
      <w:r>
        <w:rPr>
          <w:rFonts w:ascii="Calibri" w:hAnsi="Calibri" w:eastAsia="Calibri" w:cs="Calibri"/>
          <w:color w:val="000000"/>
          <w:sz w:val="22"/>
          <w:szCs w:val="22"/>
        </w:rPr>
        <w:t xml:space="preserve">Martínez-Escudero LE, Melgoza-Castillo A, Pérez-Leal R, Ortega-Rodríguez A, Villalobos-Pérez E (2016) Estado del arte Phymatotrichopsis omnivora (SHEAR) duggar, revisión y actualidad. Revista Biológico Agropecuaria Tuxpan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(1), 103-114.</w:t>
      </w:r>
    </w:p>
    <w:p>
      <w:pPr>
        <w:widowControl w:val="on"/>
        <w:pBdr/>
        <w:spacing w:before="220" w:after="220" w:line="240" w:lineRule="auto"/>
        <w:ind w:left="0" w:right="0"/>
        <w:jc w:val="left"/>
      </w:pPr>
      <w:r>
        <w:rPr>
          <w:rFonts w:ascii="Calibri" w:hAnsi="Calibri" w:eastAsia="Calibri" w:cs="Calibri"/>
          <w:color w:val="000000"/>
          <w:sz w:val="22"/>
          <w:szCs w:val="22"/>
        </w:rPr>
        <w:t xml:space="preserve">Mattupalli C, Moffet C, Shah K, Young CA (2018) Supervised classification of RGB aerial imagery acquired by manned and unmanned aircrafts to evaluate a root rot disease. </w:t>
      </w:r>
      <w:r>
        <w:rPr>
          <w:rFonts w:ascii="Calibri" w:hAnsi="Calibri" w:eastAsia="Calibri" w:cs="Calibri"/>
          <w:i/>
          <w:iCs/>
          <w:color w:val="000000"/>
          <w:sz w:val="22"/>
          <w:szCs w:val="22"/>
        </w:rPr>
        <w:t xml:space="preserve">Remote Sensing</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917. DOI:org/10.3390/rs10060917 </w:t>
      </w:r>
    </w:p>
    <w:p>
      <w:pPr>
        <w:widowControl w:val="on"/>
        <w:pBdr/>
        <w:spacing w:before="220" w:after="220" w:line="240" w:lineRule="auto"/>
        <w:ind w:left="0" w:right="0"/>
        <w:jc w:val="left"/>
      </w:pPr>
      <w:r>
        <w:rPr>
          <w:rFonts w:ascii="Calibri" w:hAnsi="Calibri" w:eastAsia="Calibri" w:cs="Calibri"/>
          <w:color w:val="000000"/>
          <w:sz w:val="22"/>
          <w:szCs w:val="22"/>
        </w:rPr>
        <w:t xml:space="preserve">Mattupalli C, Seethepalli A, York LM, Young CA (2019) Digital imaging to evaluate root system architectural changes associated with soil biotic factors. </w:t>
      </w:r>
      <w:r>
        <w:rPr>
          <w:rFonts w:ascii="Calibri" w:hAnsi="Calibri" w:eastAsia="Calibri" w:cs="Calibri"/>
          <w:i/>
          <w:iCs/>
          <w:color w:val="000000"/>
          <w:sz w:val="22"/>
          <w:szCs w:val="22"/>
        </w:rPr>
        <w:t xml:space="preserve">Phytobiomes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102-11 </w:t>
      </w:r>
      <w:hyperlink r:id="rId79506ab7b3dc717a6" w:history="1">
        <w:r>
          <w:rPr>
            <w:rFonts w:ascii="Calibri" w:hAnsi="Calibri" w:eastAsia="Calibri" w:cs="Calibri"/>
            <w:color w:val="0000CC"/>
            <w:sz w:val="22"/>
            <w:szCs w:val="22"/>
            <w:u w:val="single"/>
          </w:rPr>
          <w:t xml:space="preserve">https://doi.org/10.1094/PBIOMES-12-18-0062-R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Mattupalli C, Shiller J, Kankanala P, Krom ND, Marek S, Mysore KS, Young C (2021) The first genomic resources for </w:t>
      </w:r>
      <w:r>
        <w:rPr>
          <w:rFonts w:ascii="Calibri" w:hAnsi="Calibri" w:eastAsia="Calibri" w:cs="Calibri"/>
          <w:i/>
          <w:iCs/>
          <w:color w:val="000000"/>
          <w:sz w:val="22"/>
          <w:szCs w:val="22"/>
        </w:rPr>
        <w:t xml:space="preserve">Phymatotrichopsis omnivora</w:t>
      </w:r>
      <w:r>
        <w:rPr>
          <w:rFonts w:ascii="Calibri" w:hAnsi="Calibri" w:eastAsia="Calibri" w:cs="Calibri"/>
          <w:color w:val="000000"/>
          <w:sz w:val="22"/>
          <w:szCs w:val="22"/>
        </w:rPr>
        <w:t xml:space="preserve">, a soilborne pezizomycete pathogen with a broad host range.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(early view) </w:t>
      </w:r>
      <w:hyperlink r:id="rId34106ab7b3dc71818" w:history="1">
        <w:r>
          <w:rPr>
            <w:rFonts w:ascii="Calibri" w:hAnsi="Calibri" w:eastAsia="Calibri" w:cs="Calibri"/>
            <w:color w:val="0000CC"/>
            <w:sz w:val="22"/>
            <w:szCs w:val="22"/>
            <w:u w:val="single"/>
          </w:rPr>
          <w:t xml:space="preserve">https://doi.org/10.1094/PHYTO-01-21-0014-A</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Mulrean EN, Hine RB, Mueller JP (1984) Effect of </w:t>
      </w:r>
      <w:r>
        <w:rPr>
          <w:rFonts w:ascii="Calibri" w:hAnsi="Calibri" w:eastAsia="Calibri" w:cs="Calibri"/>
          <w:i/>
          <w:iCs/>
          <w:color w:val="000000"/>
          <w:sz w:val="22"/>
          <w:szCs w:val="22"/>
        </w:rPr>
        <w:t xml:space="preserve">Phymatotrichum</w:t>
      </w:r>
      <w:r>
        <w:rPr>
          <w:rFonts w:ascii="Calibri" w:hAnsi="Calibri" w:eastAsia="Calibri" w:cs="Calibri"/>
          <w:color w:val="000000"/>
          <w:sz w:val="22"/>
          <w:szCs w:val="22"/>
        </w:rPr>
        <w:t xml:space="preserve"> root rot on yield and seed and lint quality in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barbadense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(5), 381-383.</w:t>
      </w:r>
    </w:p>
    <w:p>
      <w:pPr>
        <w:widowControl w:val="on"/>
        <w:pBdr/>
        <w:spacing w:before="220" w:after="220" w:line="240" w:lineRule="auto"/>
        <w:ind w:left="0" w:right="0"/>
        <w:jc w:val="left"/>
      </w:pPr>
      <w:r>
        <w:rPr>
          <w:rFonts w:ascii="Calibri" w:hAnsi="Calibri" w:eastAsia="Calibri" w:cs="Calibri"/>
          <w:color w:val="000000"/>
          <w:sz w:val="22"/>
          <w:szCs w:val="22"/>
        </w:rPr>
        <w:t xml:space="preserve">Norton R, Olsen MW, Mostafa A (2014) Efficacy of flutriafol fungicide for control of cotton root rot in Arizona in 2012 and 2013 field trials. </w:t>
      </w:r>
      <w:r>
        <w:rPr>
          <w:rFonts w:ascii="Calibri" w:hAnsi="Calibri" w:eastAsia="Calibri" w:cs="Calibri"/>
          <w:i/>
          <w:iCs/>
          <w:color w:val="000000"/>
          <w:sz w:val="22"/>
          <w:szCs w:val="22"/>
        </w:rPr>
        <w:t xml:space="preserve">Beltwide Cotton Prod. Res. Conf.</w:t>
      </w:r>
      <w:r>
        <w:rPr>
          <w:rFonts w:ascii="Calibri" w:hAnsi="Calibri" w:eastAsia="Calibri" w:cs="Calibri"/>
          <w:color w:val="000000"/>
          <w:sz w:val="22"/>
          <w:szCs w:val="22"/>
        </w:rPr>
        <w:t xml:space="preserve"> poster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Orellana RG (1973) Sources of resistance to a soilborne fungal disease complex of sunflowers.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57, 318-320.</w:t>
      </w:r>
    </w:p>
    <w:p>
      <w:pPr>
        <w:widowControl w:val="on"/>
        <w:pBdr/>
        <w:spacing w:before="220" w:after="220" w:line="240" w:lineRule="auto"/>
        <w:ind w:left="0" w:right="0"/>
        <w:jc w:val="left"/>
      </w:pPr>
      <w:r>
        <w:rPr>
          <w:rFonts w:ascii="Calibri" w:hAnsi="Calibri" w:eastAsia="Calibri" w:cs="Calibri"/>
          <w:color w:val="000000"/>
          <w:sz w:val="22"/>
          <w:szCs w:val="22"/>
        </w:rPr>
        <w:t xml:space="preserve">Percy RG (1983) Potential range of </w:t>
      </w:r>
      <w:r>
        <w:rPr>
          <w:rFonts w:ascii="Calibri" w:hAnsi="Calibri" w:eastAsia="Calibri" w:cs="Calibri"/>
          <w:i/>
          <w:iCs/>
          <w:color w:val="000000"/>
          <w:sz w:val="22"/>
          <w:szCs w:val="22"/>
        </w:rPr>
        <w:t xml:space="preserve">Phymatotrichum omnivorum</w:t>
      </w:r>
      <w:r>
        <w:rPr>
          <w:rFonts w:ascii="Calibri" w:hAnsi="Calibri" w:eastAsia="Calibri" w:cs="Calibri"/>
          <w:color w:val="000000"/>
          <w:sz w:val="22"/>
          <w:szCs w:val="22"/>
        </w:rPr>
        <w:t xml:space="preserve"> as determined by edaphic factors.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(9), 981-983.</w:t>
      </w:r>
    </w:p>
    <w:p>
      <w:pPr>
        <w:widowControl w:val="on"/>
        <w:pBdr/>
        <w:spacing w:before="220" w:after="220" w:line="240" w:lineRule="auto"/>
        <w:ind w:left="0" w:right="0"/>
        <w:jc w:val="left"/>
      </w:pPr>
      <w:r>
        <w:rPr>
          <w:rFonts w:ascii="Calibri" w:hAnsi="Calibri" w:eastAsia="Calibri" w:cs="Calibri"/>
          <w:color w:val="000000"/>
          <w:sz w:val="22"/>
          <w:szCs w:val="22"/>
        </w:rPr>
        <w:t xml:space="preserve">Riggs JL (2001) </w:t>
      </w:r>
      <w:r>
        <w:rPr>
          <w:rFonts w:ascii="Calibri" w:hAnsi="Calibri" w:eastAsia="Calibri" w:cs="Calibri"/>
          <w:i/>
          <w:iCs/>
          <w:color w:val="000000"/>
          <w:sz w:val="22"/>
          <w:szCs w:val="22"/>
        </w:rPr>
        <w:t xml:space="preserve">Phymatotrichum</w:t>
      </w:r>
      <w:r>
        <w:rPr>
          <w:rFonts w:ascii="Calibri" w:hAnsi="Calibri" w:eastAsia="Calibri" w:cs="Calibri"/>
          <w:color w:val="000000"/>
          <w:sz w:val="22"/>
          <w:szCs w:val="22"/>
        </w:rPr>
        <w:t xml:space="preserve"> root rot. In: Kirkpatrick, T.L.; Rothrock, C.S. (Editors) </w:t>
      </w:r>
      <w:r>
        <w:rPr>
          <w:rFonts w:ascii="Calibri" w:hAnsi="Calibri" w:eastAsia="Calibri" w:cs="Calibri"/>
          <w:i/>
          <w:iCs/>
          <w:color w:val="000000"/>
          <w:sz w:val="22"/>
          <w:szCs w:val="22"/>
        </w:rPr>
        <w:t xml:space="preserve">Compendium of Cotton Diseases</w:t>
      </w:r>
      <w:r>
        <w:rPr>
          <w:rFonts w:ascii="Calibri" w:hAnsi="Calibri" w:eastAsia="Calibri" w:cs="Calibri"/>
          <w:color w:val="000000"/>
          <w:sz w:val="22"/>
          <w:szCs w:val="22"/>
        </w:rPr>
        <w:t xml:space="preserve">. pp. 31-33, APS Press, St Paul, USA.</w:t>
      </w:r>
    </w:p>
    <w:p>
      <w:pPr>
        <w:widowControl w:val="on"/>
        <w:pBdr/>
        <w:spacing w:before="220" w:after="220" w:line="240" w:lineRule="auto"/>
        <w:ind w:left="0" w:right="0"/>
        <w:jc w:val="left"/>
      </w:pPr>
      <w:r>
        <w:rPr>
          <w:rFonts w:ascii="Calibri" w:hAnsi="Calibri" w:eastAsia="Calibri" w:cs="Calibri"/>
          <w:color w:val="000000"/>
          <w:sz w:val="22"/>
          <w:szCs w:val="22"/>
        </w:rPr>
        <w:t xml:space="preserve">Rush CM, Gerik TJ, Lyda SD (1984 a) Factors affecting symptom appearance and development of </w:t>
      </w:r>
      <w:r>
        <w:rPr>
          <w:rFonts w:ascii="Calibri" w:hAnsi="Calibri" w:eastAsia="Calibri" w:cs="Calibri"/>
          <w:i/>
          <w:iCs/>
          <w:color w:val="000000"/>
          <w:sz w:val="22"/>
          <w:szCs w:val="22"/>
        </w:rPr>
        <w:t xml:space="preserve">Phymatotrichum</w:t>
      </w:r>
      <w:r>
        <w:rPr>
          <w:rFonts w:ascii="Calibri" w:hAnsi="Calibri" w:eastAsia="Calibri" w:cs="Calibri"/>
          <w:color w:val="000000"/>
          <w:sz w:val="22"/>
          <w:szCs w:val="22"/>
        </w:rPr>
        <w:t xml:space="preserve"> root rot of cotton.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(12), 1466-1469.</w:t>
      </w:r>
    </w:p>
    <w:p>
      <w:pPr>
        <w:widowControl w:val="on"/>
        <w:pBdr/>
        <w:spacing w:before="220" w:after="220" w:line="240" w:lineRule="auto"/>
        <w:ind w:left="0" w:right="0"/>
        <w:jc w:val="left"/>
      </w:pPr>
      <w:r>
        <w:rPr>
          <w:rFonts w:ascii="Calibri" w:hAnsi="Calibri" w:eastAsia="Calibri" w:cs="Calibri"/>
          <w:color w:val="000000"/>
          <w:sz w:val="22"/>
          <w:szCs w:val="22"/>
        </w:rPr>
        <w:t xml:space="preserve">Rush CM, Gerik TJ, Lyda SD (1984 b) Interactions between </w:t>
      </w:r>
      <w:r>
        <w:rPr>
          <w:rFonts w:ascii="Calibri" w:hAnsi="Calibri" w:eastAsia="Calibri" w:cs="Calibri"/>
          <w:i/>
          <w:iCs/>
          <w:color w:val="000000"/>
          <w:sz w:val="22"/>
          <w:szCs w:val="22"/>
        </w:rPr>
        <w:t xml:space="preserve">Phymatotrichum omnivorum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Sorghum bicolor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68(6), 500-501.</w:t>
      </w:r>
    </w:p>
    <w:p>
      <w:pPr>
        <w:widowControl w:val="on"/>
        <w:pBdr/>
        <w:spacing w:before="220" w:after="220" w:line="240" w:lineRule="auto"/>
        <w:ind w:left="0" w:right="0"/>
        <w:jc w:val="left"/>
      </w:pPr>
      <w:r>
        <w:rPr>
          <w:rFonts w:ascii="Calibri" w:hAnsi="Calibri" w:eastAsia="Calibri" w:cs="Calibri"/>
          <w:color w:val="000000"/>
          <w:sz w:val="22"/>
          <w:szCs w:val="22"/>
        </w:rPr>
        <w:t xml:space="preserve">Rush CM, Lyda SD, Gerik TJ (1984 c) The relationship between time of cortical senescence and foliar symptom development of </w:t>
      </w:r>
      <w:r>
        <w:rPr>
          <w:rFonts w:ascii="Calibri" w:hAnsi="Calibri" w:eastAsia="Calibri" w:cs="Calibri"/>
          <w:i/>
          <w:iCs/>
          <w:color w:val="000000"/>
          <w:sz w:val="22"/>
          <w:szCs w:val="22"/>
        </w:rPr>
        <w:t xml:space="preserve">Phymatotrichum</w:t>
      </w:r>
      <w:r>
        <w:rPr>
          <w:rFonts w:ascii="Calibri" w:hAnsi="Calibri" w:eastAsia="Calibri" w:cs="Calibri"/>
          <w:color w:val="000000"/>
          <w:sz w:val="22"/>
          <w:szCs w:val="22"/>
        </w:rPr>
        <w:t xml:space="preserve"> root rot of cotton.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74, 1464-1466.</w:t>
      </w:r>
    </w:p>
    <w:p>
      <w:pPr>
        <w:widowControl w:val="on"/>
        <w:pBdr/>
        <w:spacing w:before="220" w:after="220" w:line="240" w:lineRule="auto"/>
        <w:ind w:left="0" w:right="0"/>
        <w:jc w:val="left"/>
      </w:pPr>
      <w:r>
        <w:rPr>
          <w:rFonts w:ascii="Calibri" w:hAnsi="Calibri" w:eastAsia="Calibri" w:cs="Calibri"/>
          <w:color w:val="000000"/>
          <w:sz w:val="22"/>
          <w:szCs w:val="22"/>
        </w:rPr>
        <w:t xml:space="preserve">Streets RB (1937) </w:t>
      </w:r>
      <w:r>
        <w:rPr>
          <w:rFonts w:ascii="Calibri" w:hAnsi="Calibri" w:eastAsia="Calibri" w:cs="Calibri"/>
          <w:i/>
          <w:iCs/>
          <w:color w:val="000000"/>
          <w:sz w:val="22"/>
          <w:szCs w:val="22"/>
        </w:rPr>
        <w:t xml:space="preserve">Phymatotrichum</w:t>
      </w:r>
      <w:r>
        <w:rPr>
          <w:rFonts w:ascii="Calibri" w:hAnsi="Calibri" w:eastAsia="Calibri" w:cs="Calibri"/>
          <w:color w:val="000000"/>
          <w:sz w:val="22"/>
          <w:szCs w:val="22"/>
        </w:rPr>
        <w:t xml:space="preserve"> (cotton or Texas) root rot in Arizona. </w:t>
      </w:r>
      <w:r>
        <w:rPr>
          <w:rFonts w:ascii="Calibri" w:hAnsi="Calibri" w:eastAsia="Calibri" w:cs="Calibri"/>
          <w:i/>
          <w:iCs/>
          <w:color w:val="000000"/>
          <w:sz w:val="22"/>
          <w:szCs w:val="22"/>
        </w:rPr>
        <w:t xml:space="preserve">Technical Bulletin, Arizona University College of Agriculture</w:t>
      </w:r>
      <w:r>
        <w:rPr>
          <w:rFonts w:ascii="Calibri" w:hAnsi="Calibri" w:eastAsia="Calibri" w:cs="Calibri"/>
          <w:color w:val="000000"/>
          <w:sz w:val="22"/>
          <w:szCs w:val="22"/>
        </w:rPr>
        <w:t xml:space="preserve"> No. 71. Available from </w:t>
      </w:r>
      <w:hyperlink r:id="rId15636ab7b3dc71c01" w:history="1">
        <w:r>
          <w:rPr>
            <w:rFonts w:ascii="Calibri" w:hAnsi="Calibri" w:eastAsia="Calibri" w:cs="Calibri"/>
            <w:color w:val="0000CC"/>
            <w:sz w:val="22"/>
            <w:szCs w:val="22"/>
            <w:u w:val="single"/>
          </w:rPr>
          <w:t xml:space="preserve">https://repository.arizona.edu/handle/10150/190524</w:t>
        </w:r>
      </w:hyperlink>
      <w:r>
        <w:rPr>
          <w:rFonts w:ascii="Calibri" w:hAnsi="Calibri" w:eastAsia="Calibri" w:cs="Calibri"/>
          <w:color w:val="000000"/>
          <w:sz w:val="22"/>
          <w:szCs w:val="22"/>
        </w:rPr>
        <w:t xml:space="preserve"> (last accessed in 2021-12-10)</w:t>
      </w:r>
    </w:p>
    <w:p>
      <w:pPr>
        <w:widowControl w:val="on"/>
        <w:pBdr/>
        <w:spacing w:before="220" w:after="220" w:line="240" w:lineRule="auto"/>
        <w:ind w:left="0" w:right="0"/>
        <w:jc w:val="left"/>
      </w:pPr>
      <w:r>
        <w:rPr>
          <w:rFonts w:ascii="Calibri" w:hAnsi="Calibri" w:eastAsia="Calibri" w:cs="Calibri"/>
          <w:color w:val="000000"/>
          <w:sz w:val="22"/>
          <w:szCs w:val="22"/>
        </w:rPr>
        <w:t xml:space="preserve">Streets RB, Bloss HE (1973) Phymatotrichum root rot. </w:t>
      </w:r>
      <w:r>
        <w:rPr>
          <w:rFonts w:ascii="Calibri" w:hAnsi="Calibri" w:eastAsia="Calibri" w:cs="Calibri"/>
          <w:i/>
          <w:iCs/>
          <w:color w:val="000000"/>
          <w:sz w:val="22"/>
          <w:szCs w:val="22"/>
        </w:rPr>
        <w:t xml:space="preserve">Monographs of the American Phytopathological Society</w:t>
      </w:r>
      <w:r>
        <w:rPr>
          <w:rFonts w:ascii="Calibri" w:hAnsi="Calibri" w:eastAsia="Calibri" w:cs="Calibri"/>
          <w:color w:val="000000"/>
          <w:sz w:val="22"/>
          <w:szCs w:val="22"/>
        </w:rPr>
        <w:t xml:space="preserve"> No. 8, 38 pp.</w:t>
      </w:r>
    </w:p>
    <w:p>
      <w:pPr>
        <w:widowControl w:val="on"/>
        <w:pBdr/>
        <w:spacing w:before="220" w:after="220" w:line="240" w:lineRule="auto"/>
        <w:ind w:left="0" w:right="0"/>
        <w:jc w:val="left"/>
      </w:pPr>
      <w:r>
        <w:rPr>
          <w:rFonts w:ascii="Calibri" w:hAnsi="Calibri" w:eastAsia="Calibri" w:cs="Calibri"/>
          <w:color w:val="000000"/>
          <w:sz w:val="22"/>
          <w:szCs w:val="22"/>
        </w:rPr>
        <w:t xml:space="preserve">Uppalapati SR, Young CA, Marek SM, Mysore KS (2010) </w:t>
      </w:r>
      <w:r>
        <w:rPr>
          <w:rFonts w:ascii="Calibri" w:hAnsi="Calibri" w:eastAsia="Calibri" w:cs="Calibri"/>
          <w:i/>
          <w:iCs/>
          <w:color w:val="000000"/>
          <w:sz w:val="22"/>
          <w:szCs w:val="22"/>
        </w:rPr>
        <w:t xml:space="preserve">Phymatotrichum</w:t>
      </w:r>
      <w:r>
        <w:rPr>
          <w:rFonts w:ascii="Calibri" w:hAnsi="Calibri" w:eastAsia="Calibri" w:cs="Calibri"/>
          <w:color w:val="000000"/>
          <w:sz w:val="22"/>
          <w:szCs w:val="22"/>
        </w:rPr>
        <w:t xml:space="preserve"> (cotton) root rot caused by </w:t>
      </w:r>
      <w:r>
        <w:rPr>
          <w:rFonts w:ascii="Calibri" w:hAnsi="Calibri" w:eastAsia="Calibri" w:cs="Calibri"/>
          <w:i/>
          <w:iCs/>
          <w:color w:val="000000"/>
          <w:sz w:val="22"/>
          <w:szCs w:val="22"/>
        </w:rPr>
        <w:t xml:space="preserve">Phymatotrichopsis omnivora</w:t>
      </w:r>
      <w:r>
        <w:rPr>
          <w:rFonts w:ascii="Calibri" w:hAnsi="Calibri" w:eastAsia="Calibri" w:cs="Calibri"/>
          <w:color w:val="000000"/>
          <w:sz w:val="22"/>
          <w:szCs w:val="22"/>
        </w:rPr>
        <w:t xml:space="preserve">: Retrospects and prospects.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(3</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325-334.</w:t>
      </w:r>
    </w:p>
    <w:p>
      <w:pPr>
        <w:widowControl w:val="on"/>
        <w:pBdr/>
        <w:spacing w:before="220" w:after="220" w:line="240" w:lineRule="auto"/>
        <w:ind w:left="0" w:right="0"/>
        <w:jc w:val="left"/>
      </w:pPr>
      <w:r>
        <w:rPr>
          <w:rFonts w:ascii="Calibri" w:hAnsi="Calibri" w:eastAsia="Calibri" w:cs="Calibri"/>
          <w:color w:val="000000"/>
          <w:sz w:val="22"/>
          <w:szCs w:val="22"/>
        </w:rPr>
        <w:t xml:space="preserve">Watkins, G.M. (Editor) (1981) </w:t>
      </w:r>
      <w:r>
        <w:rPr>
          <w:rFonts w:ascii="Calibri" w:hAnsi="Calibri" w:eastAsia="Calibri" w:cs="Calibri"/>
          <w:i/>
          <w:iCs/>
          <w:color w:val="000000"/>
          <w:sz w:val="22"/>
          <w:szCs w:val="22"/>
        </w:rPr>
        <w:t xml:space="preserve">Compendium of cotton diseases</w:t>
      </w:r>
      <w:r>
        <w:rPr>
          <w:rFonts w:ascii="Calibri" w:hAnsi="Calibri" w:eastAsia="Calibri" w:cs="Calibri"/>
          <w:color w:val="000000"/>
          <w:sz w:val="22"/>
          <w:szCs w:val="22"/>
        </w:rPr>
        <w:t xml:space="preserve">. APS Press, St Paul, USA.</w:t>
      </w:r>
    </w:p>
    <w:p>
      <w:pPr>
        <w:widowControl w:val="on"/>
        <w:pBdr/>
        <w:spacing w:before="220" w:after="220" w:line="240" w:lineRule="auto"/>
        <w:ind w:left="0" w:right="0"/>
        <w:jc w:val="left"/>
      </w:pPr>
      <w:r>
        <w:rPr>
          <w:rFonts w:ascii="Calibri" w:hAnsi="Calibri" w:eastAsia="Calibri" w:cs="Calibri"/>
          <w:color w:val="000000"/>
          <w:sz w:val="22"/>
          <w:szCs w:val="22"/>
        </w:rPr>
        <w:t xml:space="preserve">Wheeler JE, Hine RB (1972) Influence of soil temperature and moisture on survival and growth of strands of </w:t>
      </w:r>
      <w:r>
        <w:rPr>
          <w:rFonts w:ascii="Calibri" w:hAnsi="Calibri" w:eastAsia="Calibri" w:cs="Calibri"/>
          <w:i/>
          <w:iCs/>
          <w:color w:val="000000"/>
          <w:sz w:val="22"/>
          <w:szCs w:val="22"/>
        </w:rPr>
        <w:t xml:space="preserve">Phymatotrichum omnivorum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828-832.</w:t>
      </w:r>
    </w:p>
    <w:p>
      <w:pPr>
        <w:widowControl w:val="on"/>
        <w:pBdr/>
        <w:spacing w:before="220" w:after="220" w:line="240" w:lineRule="auto"/>
        <w:ind w:left="0" w:right="0"/>
        <w:jc w:val="left"/>
      </w:pPr>
      <w:r>
        <w:rPr>
          <w:rFonts w:ascii="Calibri" w:hAnsi="Calibri" w:eastAsia="Calibri" w:cs="Calibri"/>
          <w:color w:val="000000"/>
          <w:sz w:val="22"/>
          <w:szCs w:val="22"/>
        </w:rPr>
        <w:t xml:space="preserve">Whitson RS, Hine RB (1986) Activity of propiconazole and other sterol-inhibiting fungicides against </w:t>
      </w:r>
      <w:r>
        <w:rPr>
          <w:rFonts w:ascii="Calibri" w:hAnsi="Calibri" w:eastAsia="Calibri" w:cs="Calibri"/>
          <w:i/>
          <w:iCs/>
          <w:color w:val="000000"/>
          <w:sz w:val="22"/>
          <w:szCs w:val="22"/>
        </w:rPr>
        <w:t xml:space="preserve">Phymatotrichum omnivorum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(2), 130-133.</w:t>
      </w:r>
    </w:p>
    <w:p>
      <w:pPr>
        <w:widowControl w:val="on"/>
        <w:pBdr/>
        <w:spacing w:before="220" w:after="220" w:line="240" w:lineRule="auto"/>
        <w:ind w:left="0" w:right="0"/>
        <w:jc w:val="left"/>
      </w:pPr>
      <w:r>
        <w:rPr>
          <w:rFonts w:ascii="Calibri" w:hAnsi="Calibri" w:eastAsia="Calibri" w:cs="Calibri"/>
          <w:color w:val="000000"/>
          <w:sz w:val="22"/>
          <w:szCs w:val="22"/>
        </w:rPr>
        <w:t xml:space="preserve">Yang C (2020) Remote sensing and precision agriculture technologies for crop disease detection and management with a practical application example. </w:t>
      </w:r>
      <w:r>
        <w:rPr>
          <w:rFonts w:ascii="Calibri" w:hAnsi="Calibri" w:eastAsia="Calibri" w:cs="Calibri"/>
          <w:i/>
          <w:iCs/>
          <w:color w:val="000000"/>
          <w:sz w:val="22"/>
          <w:szCs w:val="22"/>
        </w:rPr>
        <w:t xml:space="preserve">Engineering</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(5), 528-532.</w:t>
      </w:r>
    </w:p>
    <w:p>
      <w:pPr>
        <w:widowControl w:val="on"/>
        <w:pBdr/>
        <w:spacing w:before="220" w:after="220" w:line="240" w:lineRule="auto"/>
        <w:ind w:left="0" w:right="0"/>
        <w:jc w:val="left"/>
      </w:pPr>
      <w:r>
        <w:rPr>
          <w:rFonts w:ascii="Calibri" w:hAnsi="Calibri" w:eastAsia="Calibri" w:cs="Calibri"/>
          <w:color w:val="000000"/>
          <w:sz w:val="22"/>
          <w:szCs w:val="22"/>
        </w:rPr>
        <w:t xml:space="preserve">Young CA, Uppalapati SR, Mysore KS, Marek SM (2014) </w:t>
      </w:r>
      <w:r>
        <w:rPr>
          <w:rFonts w:ascii="Calibri" w:hAnsi="Calibri" w:eastAsia="Calibri" w:cs="Calibri"/>
          <w:i/>
          <w:iCs/>
          <w:color w:val="000000"/>
          <w:sz w:val="22"/>
          <w:szCs w:val="22"/>
        </w:rPr>
        <w:t xml:space="preserve">Phymatotrichopsis</w:t>
      </w:r>
      <w:r>
        <w:rPr>
          <w:rFonts w:ascii="Calibri" w:hAnsi="Calibri" w:eastAsia="Calibri" w:cs="Calibri"/>
          <w:color w:val="000000"/>
          <w:sz w:val="22"/>
          <w:szCs w:val="22"/>
        </w:rPr>
        <w:t xml:space="preserve"> root rot. In </w:t>
      </w:r>
      <w:r>
        <w:rPr>
          <w:rFonts w:ascii="Calibri" w:hAnsi="Calibri" w:eastAsia="Calibri" w:cs="Calibri"/>
          <w:i/>
          <w:iCs/>
          <w:color w:val="000000"/>
          <w:sz w:val="22"/>
          <w:szCs w:val="22"/>
        </w:rPr>
        <w:t xml:space="preserve">Compendium of Alfalfa Diseases and Pests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Third Edition</w:t>
      </w:r>
      <w:r>
        <w:rPr>
          <w:rFonts w:ascii="Calibri" w:hAnsi="Calibri" w:eastAsia="Calibri" w:cs="Calibri"/>
          <w:color w:val="000000"/>
          <w:sz w:val="22"/>
          <w:szCs w:val="22"/>
        </w:rPr>
        <w:t xml:space="preserve">, Deborah Samac, Landon Rhodes, and William Lamp (Editors), APS Press, St. Paul, MN, P. 44-46.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2022 by Kirankumar S. Mysore (Oklahoma State University), Stephen Marek (Oklahoma State University) and Carolyn Young (Oklahoma State University).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Phymatotrichopsis omnivora</w:t>
      </w:r>
      <w:r>
        <w:rPr>
          <w:rFonts w:ascii="Calibri" w:hAnsi="Calibri" w:eastAsia="Calibri" w:cs="Calibri"/>
          <w:color w:val="000000"/>
          <w:sz w:val="22"/>
          <w:szCs w:val="22"/>
        </w:rPr>
        <w:t xml:space="preserve">. EPPO datasheets on pests recommended for regulation. Available online. </w:t>
      </w:r>
      <w:hyperlink r:id="rId33946ab7b3dc71fcd"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1979,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OEPP/EPPO (1979) Data sheets on quarantine organisms No. 21, </w:t>
      </w:r>
      <w:r>
        <w:rPr>
          <w:rFonts w:ascii="Calibri" w:hAnsi="Calibri" w:eastAsia="Calibri" w:cs="Calibri"/>
          <w:i/>
          <w:iCs/>
          <w:color w:val="000000"/>
          <w:sz w:val="22"/>
          <w:szCs w:val="22"/>
        </w:rPr>
        <w:t xml:space="preserve">Phymatotrichum omnivorum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(2), 91-95. </w:t>
      </w:r>
      <w:hyperlink r:id="rId77376ab7b3dc720a0" w:history="1">
        <w:r>
          <w:rPr>
            <w:rFonts w:ascii="Calibri" w:hAnsi="Calibri" w:eastAsia="Calibri" w:cs="Calibri"/>
            <w:color w:val="0000CC"/>
            <w:sz w:val="22"/>
            <w:szCs w:val="22"/>
            <w:u w:val="single"/>
          </w:rPr>
          <w:t xml:space="preserve">https://onlinelibrary.wiley.com/doi/epdf/10.1111/j.1365-2338.1979.tb02455.x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35474332" name="name63406ab7b3dc721c1"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0256ab7b3dc721c0"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255829">
    <w:multiLevelType w:val="hybridMultilevel"/>
    <w:lvl w:ilvl="0" w:tplc="49578979">
      <w:start w:val="1"/>
      <w:numFmt w:val="decimal"/>
      <w:lvlText w:val="%1."/>
      <w:lvlJc w:val="left"/>
      <w:pPr>
        <w:ind w:left="720" w:hanging="360"/>
      </w:pPr>
    </w:lvl>
    <w:lvl w:ilvl="1" w:tplc="49578979" w:tentative="1">
      <w:start w:val="1"/>
      <w:numFmt w:val="lowerLetter"/>
      <w:lvlText w:val="%2."/>
      <w:lvlJc w:val="left"/>
      <w:pPr>
        <w:ind w:left="1440" w:hanging="360"/>
      </w:pPr>
    </w:lvl>
    <w:lvl w:ilvl="2" w:tplc="49578979" w:tentative="1">
      <w:start w:val="1"/>
      <w:numFmt w:val="lowerRoman"/>
      <w:lvlText w:val="%3."/>
      <w:lvlJc w:val="right"/>
      <w:pPr>
        <w:ind w:left="2160" w:hanging="180"/>
      </w:pPr>
    </w:lvl>
    <w:lvl w:ilvl="3" w:tplc="49578979" w:tentative="1">
      <w:start w:val="1"/>
      <w:numFmt w:val="decimal"/>
      <w:lvlText w:val="%4."/>
      <w:lvlJc w:val="left"/>
      <w:pPr>
        <w:ind w:left="2880" w:hanging="360"/>
      </w:pPr>
    </w:lvl>
    <w:lvl w:ilvl="4" w:tplc="49578979" w:tentative="1">
      <w:start w:val="1"/>
      <w:numFmt w:val="lowerLetter"/>
      <w:lvlText w:val="%5."/>
      <w:lvlJc w:val="left"/>
      <w:pPr>
        <w:ind w:left="3600" w:hanging="360"/>
      </w:pPr>
    </w:lvl>
    <w:lvl w:ilvl="5" w:tplc="49578979" w:tentative="1">
      <w:start w:val="1"/>
      <w:numFmt w:val="lowerRoman"/>
      <w:lvlText w:val="%6."/>
      <w:lvlJc w:val="right"/>
      <w:pPr>
        <w:ind w:left="4320" w:hanging="180"/>
      </w:pPr>
    </w:lvl>
    <w:lvl w:ilvl="6" w:tplc="49578979" w:tentative="1">
      <w:start w:val="1"/>
      <w:numFmt w:val="decimal"/>
      <w:lvlText w:val="%7."/>
      <w:lvlJc w:val="left"/>
      <w:pPr>
        <w:ind w:left="5040" w:hanging="360"/>
      </w:pPr>
    </w:lvl>
    <w:lvl w:ilvl="7" w:tplc="49578979" w:tentative="1">
      <w:start w:val="1"/>
      <w:numFmt w:val="lowerLetter"/>
      <w:lvlText w:val="%8."/>
      <w:lvlJc w:val="left"/>
      <w:pPr>
        <w:ind w:left="5760" w:hanging="360"/>
      </w:pPr>
    </w:lvl>
    <w:lvl w:ilvl="8" w:tplc="49578979" w:tentative="1">
      <w:start w:val="1"/>
      <w:numFmt w:val="lowerRoman"/>
      <w:lvlText w:val="%9."/>
      <w:lvlJc w:val="right"/>
      <w:pPr>
        <w:ind w:left="6480" w:hanging="180"/>
      </w:pPr>
    </w:lvl>
  </w:abstractNum>
  <w:abstractNum w:abstractNumId="39255828">
    <w:multiLevelType w:val="hybridMultilevel"/>
    <w:lvl w:ilvl="0" w:tplc="389147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255828">
    <w:abstractNumId w:val="39255828"/>
  </w:num>
  <w:num w:numId="39255829">
    <w:abstractNumId w:val="3925582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84974597" Type="http://schemas.microsoft.com/office/2011/relationships/commentsExtended" Target="commentsExtended.xml"/><Relationship Id="rId906080920" Type="http://schemas.microsoft.com/office/2011/relationships/people" Target="people.xml"/><Relationship Id="rId24876ab7b3dc69f70" Type="http://schemas.openxmlformats.org/officeDocument/2006/relationships/hyperlink" Target="https://gd.eppo.int/taxon/PHMPOM/" TargetMode="External"/><Relationship Id="rId25786ab7b3dc69fe5" Type="http://schemas.openxmlformats.org/officeDocument/2006/relationships/hyperlink" Target="https://gd.eppo.int/taxon/PHMPOM/categorization" TargetMode="External"/><Relationship Id="rId84886ab7b3dc6a97a" Type="http://schemas.openxmlformats.org/officeDocument/2006/relationships/hyperlink" Target="https://gd.eppo.int/taxon/PHMPOM/photos" TargetMode="External"/><Relationship Id="rId93676ab7b3dc712f9" Type="http://schemas.openxmlformats.org/officeDocument/2006/relationships/hyperlink" Target="https://www.engormix.com/agricultura/articulos/peach-root-rot-phymatotrichopsis-t39833.htm" TargetMode="External"/><Relationship Id="rId19936ab7b3dc71393" Type="http://schemas.openxmlformats.org/officeDocument/2006/relationships/hyperlink" Target="https://doi.org/10.2903/j.efsa.2019.5619" TargetMode="External"/><Relationship Id="rId96406ab7b3dc713c6" Type="http://schemas.openxmlformats.org/officeDocument/2006/relationships/hyperlink" Target="https://gd.eppo.int/standards/PM8/" TargetMode="External"/><Relationship Id="rId31206ab7b3dc71429" Type="http://schemas.openxmlformats.org/officeDocument/2006/relationships/hyperlink" Target="https://nt.ars-grin.gov/fungaldatabases/" TargetMode="External"/><Relationship Id="rId79506ab7b3dc717a6" Type="http://schemas.openxmlformats.org/officeDocument/2006/relationships/hyperlink" Target="https://doi.org/10.1094/PBIOMES-12-18-0062-R" TargetMode="External"/><Relationship Id="rId34106ab7b3dc71818" Type="http://schemas.openxmlformats.org/officeDocument/2006/relationships/hyperlink" Target="https://doi.org/10.1094/PHYTO-01-21-0014-A" TargetMode="External"/><Relationship Id="rId15636ab7b3dc71c01" Type="http://schemas.openxmlformats.org/officeDocument/2006/relationships/hyperlink" Target="https://repository.arizona.edu/handle/10150/190524" TargetMode="External"/><Relationship Id="rId33946ab7b3dc71fcd" Type="http://schemas.openxmlformats.org/officeDocument/2006/relationships/hyperlink" Target="https://gd.eppo.int" TargetMode="External"/><Relationship Id="rId77376ab7b3dc720a0" Type="http://schemas.openxmlformats.org/officeDocument/2006/relationships/hyperlink" Target="https://onlinelibrary.wiley.com/doi/epdf/10.1111/j.1365-2338.1979.tb02455.x" TargetMode="External"/><Relationship Id="rId13776ab7b3dc6a86a" Type="http://schemas.openxmlformats.org/officeDocument/2006/relationships/image" Target="media/imgrId13776ab7b3dc6a86a.jpg"/><Relationship Id="rId81386ab7b3dc70587" Type="http://schemas.openxmlformats.org/officeDocument/2006/relationships/image" Target="media/imgrId81386ab7b3dc70587.jpg"/><Relationship Id="rId50256ab7b3dc721c0" Type="http://schemas.openxmlformats.org/officeDocument/2006/relationships/image" Target="media/imgrId50256ab7b3dc721c0.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