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Phymatotrichopsis omnivora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2022-01-17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Phymatotrichopsis omnivora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(Shear) Hennebert</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Fungi: Ascomycota: Pezizomycotina: Pezizomycetes: Pezizales: Rhizinaceae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Ozonium omnivorum</w:t>
            </w:r>
            <w:r>
              <w:rPr>
                <w:rFonts w:ascii="Calibri" w:hAnsi="Calibri" w:eastAsia="Calibri" w:cs="Calibri"/>
                <w:color w:val="000000"/>
                <w:position w:val="-3"/>
                <w:sz w:val="22"/>
                <w:szCs w:val="22"/>
              </w:rPr>
              <w:t xml:space="preserve"> Shear, </w:t>
            </w:r>
            <w:r>
              <w:rPr>
                <w:rFonts w:ascii="Calibri" w:hAnsi="Calibri" w:eastAsia="Calibri" w:cs="Calibri"/>
                <w:i/>
                <w:iCs/>
                <w:color w:val="000000"/>
                <w:position w:val="-3"/>
                <w:sz w:val="22"/>
                <w:szCs w:val="22"/>
              </w:rPr>
              <w:t xml:space="preserve">Phymatotrichum omnivorum</w:t>
            </w:r>
            <w:r>
              <w:rPr>
                <w:rFonts w:ascii="Calibri" w:hAnsi="Calibri" w:eastAsia="Calibri" w:cs="Calibri"/>
                <w:color w:val="000000"/>
                <w:position w:val="-3"/>
                <w:sz w:val="22"/>
                <w:szCs w:val="22"/>
              </w:rPr>
              <w:t xml:space="preserve"> (Shear) Duggar</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Ozonium root rot, Phymatotrichopsis root rot (US), Texas root rot of alfalfa, Texas root rot of bean, Texas root rot of cotton, Texas root rot of grapevine, cotton root rot (US), phymatotrichum root rot, root rot of conifers, root rot of soybean, soft rot of cotton</w:t>
            </w:r>
            <w:hyperlink r:id="rId15996a8258e44e4df"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21846a8258e44e54d"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PHMPOM</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85289971" name="name77256a8258e44ed61" descr="11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87.jpg"/>
                          <pic:cNvPicPr/>
                        </pic:nvPicPr>
                        <pic:blipFill>
                          <a:blip r:embed="rId37556a8258e44ed5f" cstate="print"/>
                          <a:stretch>
                            <a:fillRect/>
                          </a:stretch>
                        </pic:blipFill>
                        <pic:spPr>
                          <a:xfrm>
                            <a:off x="0" y="0"/>
                            <a:ext cx="2160000" cy="1281600"/>
                          </a:xfrm>
                          <a:prstGeom prst="rect">
                            <a:avLst/>
                          </a:prstGeom>
                          <a:ln w="0">
                            <a:noFill/>
                          </a:ln>
                        </pic:spPr>
                      </pic:pic>
                    </a:graphicData>
                  </a:graphic>
                </wp:inline>
              </w:drawing>
            </w:r>
            <w:hyperlink r:id="rId39216a8258e44eeb0"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The causal organism, </w:t>
      </w:r>
      <w:r>
        <w:rPr>
          <w:rFonts w:ascii="Calibri" w:hAnsi="Calibri" w:eastAsia="Calibri" w:cs="Calibri"/>
          <w:i/>
          <w:iCs/>
          <w:color w:val="000000"/>
          <w:sz w:val="22"/>
          <w:szCs w:val="22"/>
        </w:rPr>
        <w:t xml:space="preserve">Phymatotrichopsis omnivora</w:t>
      </w:r>
      <w:r>
        <w:rPr>
          <w:rFonts w:ascii="Calibri" w:hAnsi="Calibri" w:eastAsia="Calibri" w:cs="Calibri"/>
          <w:color w:val="000000"/>
          <w:sz w:val="22"/>
          <w:szCs w:val="22"/>
        </w:rPr>
        <w:t xml:space="preserve"> (= </w:t>
      </w:r>
      <w:r>
        <w:rPr>
          <w:rFonts w:ascii="Calibri" w:hAnsi="Calibri" w:eastAsia="Calibri" w:cs="Calibri"/>
          <w:i/>
          <w:iCs/>
          <w:color w:val="000000"/>
          <w:sz w:val="22"/>
          <w:szCs w:val="22"/>
        </w:rPr>
        <w:t xml:space="preserve">Phymatotrichum omnivorum</w:t>
      </w:r>
      <w:r>
        <w:rPr>
          <w:rFonts w:ascii="Calibri" w:hAnsi="Calibri" w:eastAsia="Calibri" w:cs="Calibri"/>
          <w:color w:val="000000"/>
          <w:sz w:val="22"/>
          <w:szCs w:val="22"/>
        </w:rPr>
        <w:t xml:space="preserve"> = </w:t>
      </w:r>
      <w:r>
        <w:rPr>
          <w:rFonts w:ascii="Calibri" w:hAnsi="Calibri" w:eastAsia="Calibri" w:cs="Calibri"/>
          <w:i/>
          <w:iCs/>
          <w:color w:val="000000"/>
          <w:sz w:val="22"/>
          <w:szCs w:val="22"/>
        </w:rPr>
        <w:t xml:space="preserve">Ozonium omnivorum</w:t>
      </w:r>
      <w:r>
        <w:rPr>
          <w:rFonts w:ascii="Calibri" w:hAnsi="Calibri" w:eastAsia="Calibri" w:cs="Calibri"/>
          <w:color w:val="000000"/>
          <w:sz w:val="22"/>
          <w:szCs w:val="22"/>
        </w:rPr>
        <w:t xml:space="preserve">), is known only as an asexual (mitosporic) fungus and produces noninfectious microconidia on epigeous spore mats of hyaline conidiophores resembling those of </w:t>
      </w:r>
      <w:r>
        <w:rPr>
          <w:rFonts w:ascii="Calibri" w:hAnsi="Calibri" w:eastAsia="Calibri" w:cs="Calibri"/>
          <w:i/>
          <w:iCs/>
          <w:color w:val="000000"/>
          <w:sz w:val="22"/>
          <w:szCs w:val="22"/>
        </w:rPr>
        <w:t xml:space="preserve">Botrytis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Phymatotrichum</w:t>
      </w:r>
      <w:r>
        <w:rPr>
          <w:rFonts w:ascii="Calibri" w:hAnsi="Calibri" w:eastAsia="Calibri" w:cs="Calibri"/>
          <w:color w:val="000000"/>
          <w:sz w:val="22"/>
          <w:szCs w:val="22"/>
        </w:rPr>
        <w:t xml:space="preserve">) and mycelial cords on infected roots resembling the </w:t>
      </w:r>
      <w:r>
        <w:rPr>
          <w:rFonts w:ascii="Calibri" w:hAnsi="Calibri" w:eastAsia="Calibri" w:cs="Calibri"/>
          <w:i/>
          <w:iCs/>
          <w:color w:val="000000"/>
          <w:sz w:val="22"/>
          <w:szCs w:val="22"/>
        </w:rPr>
        <w:t xml:space="preserve">Ozonium </w:t>
      </w:r>
      <w:r>
        <w:rPr>
          <w:rFonts w:ascii="Calibri" w:hAnsi="Calibri" w:eastAsia="Calibri" w:cs="Calibri"/>
          <w:color w:val="000000"/>
          <w:sz w:val="22"/>
          <w:szCs w:val="22"/>
        </w:rPr>
        <w:t xml:space="preserve">stage of </w:t>
      </w:r>
      <w:r>
        <w:rPr>
          <w:rFonts w:ascii="Calibri" w:hAnsi="Calibri" w:eastAsia="Calibri" w:cs="Calibri"/>
          <w:i/>
          <w:iCs/>
          <w:color w:val="000000"/>
          <w:sz w:val="22"/>
          <w:szCs w:val="22"/>
        </w:rPr>
        <w:t xml:space="preserve">Coprinellus</w:t>
      </w:r>
      <w:r>
        <w:rPr>
          <w:rFonts w:ascii="Calibri" w:hAnsi="Calibri" w:eastAsia="Calibri" w:cs="Calibri"/>
          <w:color w:val="000000"/>
          <w:sz w:val="22"/>
          <w:szCs w:val="22"/>
        </w:rPr>
        <w:t xml:space="preserve"> (Psathyrellaceae). Although the corticoid basidiomycetes </w:t>
      </w:r>
      <w:r>
        <w:rPr>
          <w:rFonts w:ascii="Calibri" w:hAnsi="Calibri" w:eastAsia="Calibri" w:cs="Calibri"/>
          <w:i/>
          <w:iCs/>
          <w:color w:val="000000"/>
          <w:sz w:val="22"/>
          <w:szCs w:val="22"/>
        </w:rPr>
        <w:t xml:space="preserve">Hydnophlebia</w:t>
      </w:r>
      <w:r>
        <w:rPr>
          <w:rFonts w:ascii="Calibri" w:hAnsi="Calibri" w:eastAsia="Calibri" w:cs="Calibri"/>
          <w:color w:val="000000"/>
          <w:sz w:val="22"/>
          <w:szCs w:val="22"/>
        </w:rPr>
        <w:t xml:space="preserve"> (= </w:t>
      </w:r>
      <w:r>
        <w:rPr>
          <w:rFonts w:ascii="Calibri" w:hAnsi="Calibri" w:eastAsia="Calibri" w:cs="Calibri"/>
          <w:i/>
          <w:iCs/>
          <w:color w:val="000000"/>
          <w:sz w:val="22"/>
          <w:szCs w:val="22"/>
        </w:rPr>
        <w:t xml:space="preserve">Phanerochaete</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omnivora</w:t>
      </w:r>
      <w:r>
        <w:rPr>
          <w:rFonts w:ascii="Calibri" w:hAnsi="Calibri" w:eastAsia="Calibri" w:cs="Calibri"/>
          <w:color w:val="000000"/>
          <w:sz w:val="22"/>
          <w:szCs w:val="22"/>
        </w:rPr>
        <w:t xml:space="preserve"> (Meruliaceae) and </w:t>
      </w:r>
      <w:r>
        <w:rPr>
          <w:rFonts w:ascii="Calibri" w:hAnsi="Calibri" w:eastAsia="Calibri" w:cs="Calibri"/>
          <w:i/>
          <w:iCs/>
          <w:color w:val="000000"/>
          <w:sz w:val="22"/>
          <w:szCs w:val="22"/>
        </w:rPr>
        <w:t xml:space="preserve">Sistotrema brinkmannii</w:t>
      </w:r>
      <w:r>
        <w:rPr>
          <w:rFonts w:ascii="Calibri" w:hAnsi="Calibri" w:eastAsia="Calibri" w:cs="Calibri"/>
          <w:color w:val="000000"/>
          <w:sz w:val="22"/>
          <w:szCs w:val="22"/>
        </w:rPr>
        <w:t xml:space="preserve"> (Corticiacea) have been suggested as teleomorphs of </w:t>
      </w:r>
      <w:r>
        <w:rPr>
          <w:rFonts w:ascii="Calibri" w:hAnsi="Calibri" w:eastAsia="Calibri" w:cs="Calibri"/>
          <w:i/>
          <w:iCs/>
          <w:color w:val="000000"/>
          <w:sz w:val="22"/>
          <w:szCs w:val="22"/>
        </w:rPr>
        <w:t xml:space="preserve">Phymatotrichopsis omnivora</w:t>
      </w:r>
      <w:r>
        <w:rPr>
          <w:rFonts w:ascii="Calibri" w:hAnsi="Calibri" w:eastAsia="Calibri" w:cs="Calibri"/>
          <w:color w:val="000000"/>
          <w:sz w:val="22"/>
          <w:szCs w:val="22"/>
        </w:rPr>
        <w:t xml:space="preserve">, phylogenetic analyses of multiple isolates indicate that it is neither a basidiomycete nor closely related to </w:t>
      </w:r>
      <w:r>
        <w:rPr>
          <w:rFonts w:ascii="Calibri" w:hAnsi="Calibri" w:eastAsia="Calibri" w:cs="Calibri"/>
          <w:i/>
          <w:iCs/>
          <w:color w:val="000000"/>
          <w:sz w:val="22"/>
          <w:szCs w:val="22"/>
        </w:rPr>
        <w:t xml:space="preserve">Botrytis</w:t>
      </w:r>
      <w:r>
        <w:rPr>
          <w:rFonts w:ascii="Calibri" w:hAnsi="Calibri" w:eastAsia="Calibri" w:cs="Calibri"/>
          <w:color w:val="000000"/>
          <w:sz w:val="22"/>
          <w:szCs w:val="22"/>
        </w:rPr>
        <w:t xml:space="preserve"> (Sclerotiniaceae, Leotiomycetes). </w:t>
      </w:r>
      <w:r>
        <w:rPr>
          <w:rFonts w:ascii="Calibri" w:hAnsi="Calibri" w:eastAsia="Calibri" w:cs="Calibri"/>
          <w:i/>
          <w:iCs/>
          <w:color w:val="000000"/>
          <w:sz w:val="22"/>
          <w:szCs w:val="22"/>
        </w:rPr>
        <w:t xml:space="preserve">Phymatotrichopsis omnivora</w:t>
      </w:r>
      <w:r>
        <w:rPr>
          <w:rFonts w:ascii="Calibri" w:hAnsi="Calibri" w:eastAsia="Calibri" w:cs="Calibri"/>
          <w:color w:val="000000"/>
          <w:sz w:val="22"/>
          <w:szCs w:val="22"/>
        </w:rPr>
        <w:t xml:space="preserve"> is a member of the family Rhizinaceae, Pezizales (Ascomycota: Pezizomycetes) allied to </w:t>
      </w:r>
      <w:r>
        <w:rPr>
          <w:rFonts w:ascii="Calibri" w:hAnsi="Calibri" w:eastAsia="Calibri" w:cs="Calibri"/>
          <w:i/>
          <w:iCs/>
          <w:color w:val="000000"/>
          <w:sz w:val="22"/>
          <w:szCs w:val="22"/>
        </w:rPr>
        <w:t xml:space="preserve">Psilopezia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Rhizina </w:t>
      </w:r>
      <w:r>
        <w:rPr>
          <w:rFonts w:ascii="Calibri" w:hAnsi="Calibri" w:eastAsia="Calibri" w:cs="Calibri"/>
          <w:color w:val="000000"/>
          <w:sz w:val="22"/>
          <w:szCs w:val="22"/>
        </w:rPr>
        <w:t xml:space="preserve">(Marek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major host is cotton, including </w:t>
      </w:r>
      <w:r>
        <w:rPr>
          <w:rFonts w:ascii="Calibri" w:hAnsi="Calibri" w:eastAsia="Calibri" w:cs="Calibri"/>
          <w:i/>
          <w:iCs/>
          <w:color w:val="000000"/>
          <w:sz w:val="22"/>
          <w:szCs w:val="22"/>
        </w:rPr>
        <w:t xml:space="preserve">Gossypium herbaceum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 hirsutum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G. barbadense</w:t>
      </w:r>
      <w:r>
        <w:rPr>
          <w:rFonts w:ascii="Calibri" w:hAnsi="Calibri" w:eastAsia="Calibri" w:cs="Calibri"/>
          <w:color w:val="000000"/>
          <w:sz w:val="22"/>
          <w:szCs w:val="22"/>
        </w:rPr>
        <w:t xml:space="preserve">. The fungus can also infect more than 2000 species of dicots including 31 economic field crops, 58 vegetable crops, 18 fruits and berries including citrus, 35 forest trees and shrubs, 7 herbaceous ornamentals and 20 weeds (Streets, 1937; Streets &amp; Bloss, 1973). When endemic, the fungus causes significant economic losses on many field crops, such as cotton, alfalfa and peanuts. Phymatotrichopsis Root Rot (PRR) can also cause losses on horticultural crops, such as pecans, apples and ornamental trees and shrubs. Monocots are thought to be immune, but fungal strands and sclerotia have been reported on such hosts in nature (Rush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1984b) and in the laboratory (Kankanala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The potential host range in the EPPO region is presumably just as wide.</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Abelia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Abelia x grandiflora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Abelmoschus esculentus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Abutilon incanum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Abutilon theophrasti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Acalypha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negundo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saccharinum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saccharum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Achillea millefolium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Acmispon americanus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Aconitum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Aesculus hippocastanum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Aesculus pavia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Ageratina altissima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Agrimonia pubescens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Agrostemma githago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Ailanthus altissima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Alcea ficifolia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Alcea rosea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Allionia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Alnus glutinosa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Alnus rubra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Alnus tenuifolia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caudatus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graecizans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retroflexus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spinosus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x tamariscinus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Ambrosia artemisiifolia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Ambrosia bidentata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Ambrosia psilostachya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Ambrosia trifida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Amelanchier alnifolia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Amorpha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Anethum graveolens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Angelica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 squamosa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Anthemis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Anthemis cotula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Antirrhinum majus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Apios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Apocynum androsaemifolium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Apocynum cannabinum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Aquilegia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Arabis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Arachis hypogaea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Aralia spinosa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Araucaria angustifolia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Arbutus menziesii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Arctium lappa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Arctium minus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Arctostaphylos manzanita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Arctotis stoechadifolia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Arenaria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Argemone mexicana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Argemone platyceras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Argyreia nervosa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Armoracia rusticana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Aronia melanocarpa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Artemisia biennis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Asclepias syriaca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Asclepias tuberosa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Asimina triloba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Astragalus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Baccharis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Baptisia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Bassia scoparia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Bellis perennis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Berberis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Berberis thunbergii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Berberis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Beta vulgaris subsp. vulgaris var. cicla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Bidens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Boerhavia erecta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Brachychiton populneus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napus subsp. rapifera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oleracea var. botrytis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oleracea var. capitata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oleracea var. gongylodes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oleracea var. viridis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rapa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Brickellia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Broussonetia papyrifera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Buddleja davidii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Buglossoides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Caesalpinia gilliesii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Cajanus cajan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Calendula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Callirhoe involucrata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Callistephus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Calocedrus decurrens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Calystegia pubescens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Calystegia sepium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Campsis radicans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Cannabis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frutescens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Caragana arborescens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Carica papaya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Carissa macrocarpa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Carpinus caroliniana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Carya illinoinensis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Cassia texana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Castanea pumila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Castanea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Catalpa bignonioides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Catalpa speciosa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Cedrus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Celastrus orbiculatus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Celtis laevigata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Celtis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Cerastium glomeratum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Cerastium holosteoides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Ceratonia siliqua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Cercis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Cercis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Cercis reniformis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Cereus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Chaenomeles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Chamaecrista fasciculata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Chamaecyparis thyoides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Chamerion angustifolium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Chelidonium majus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Chenopodium album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Chilopsis linearis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Chionanthus virginicus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Chrysanthemum x morifolium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Cichorium endivia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Cichorium intybus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Cicuta maculata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Cinnamomum camphora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Cissus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Citrullus lanatus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medica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trifoliata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paradisi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unshiu</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nobilis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Claytonia caroliniana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Clematis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Clethra alnifolia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Clitoria mariana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Cnidoscolus texanus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Cocculus carolinus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Cocculus orbiculatus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Codiaeum variegatum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Convolvulus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Cordia boissieri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Coreopsis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Cornus drummondii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Cornus florida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Corylus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Corylus cornuta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Cosmos bipinnatus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Cosmos sulphureus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Cotinus coggygria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Cotoneaster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Crotalaria brevidens var. intermedia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Crotalaria pallida var. obovata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Crotalaria spectabilis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Croton monanthogynus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Croton texensis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melo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maxima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melopepo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moschata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pepo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Cupressus sempervirens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Cyamopsis tetragonoloba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Cydonia oblonga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Cynara scolymus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Cynoglossum officinale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Dahlia pinnata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Dalea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Datura innoxia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Datura stramonium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Daucus carota subsp.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Delphinium ajacis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Delphinium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Descurainia pinnata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Desmodium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barbatus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caryophyllus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plumarius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Dichondra repens var. carolinensis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Diervilla lonicera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Dioscorea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kaki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texana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virginiana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Dipsacus fullonum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Dolichandra unguis-cati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Dysphania ambrosioides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Echinacea purpurea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Echinocactus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Elaeagnus angustifolia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Eleutherococcus sieboldianus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Ephedra sinica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Erechtites hieraciifolius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Erigeron annuus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Erigeron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Eriobotrya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Eriogonum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Eryngium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Erythrina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camaldulensis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polyanthemos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rudis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Euonymus atropurpureus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Euonymus japonicus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Eupatorium caelestinum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Euphorbia corollata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Euphorbia cyparissias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Euphorbia dentata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Euphorbia maculata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Euphorbia marginata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Euphorbia milii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Euphorbia pulcherrima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Evolvulus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Eysenhardtia polystachya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Feijoa sellowiana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carica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Firmiana simplex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Foeniculum vulgare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Forestiera acuminata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Forsythia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Fouquieria splendens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Frangula caroliniana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Franseria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velutina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Froelichia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Gaillardia aristata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Gaillardia pulchella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Galium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Gardenia jasminoides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Garrya flavescens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Gelsemium sempervirens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Geranium carolinianum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Geum aleppicum var. strictum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Geum canadense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Gilia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Ginkgo biloba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Glandularia bipinnatifida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Gleditsia triacanthos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Glycine max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Gnaphalium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Gordonia lasianthus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barbadense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herbaceum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hirsutum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Grevillea robusta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Grindelia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Gutierrezia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Gymnocladus dioica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Haplopappus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Hedera helix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Helenium amarum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Helenium autumnale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Helianthemum nummularium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Helianthus annuus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Helianthus maximiliani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Helianthus petiolaris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Helianthus tuberosus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Heliopsis helianthoides var. scabra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Heliopsis helianthoides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Heracleum maximum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Hesperocyparis arizonica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Hesperocyparis macrocarpa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Heteromeles arbutifolia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cannabinus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palustris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sabdariffa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syriacus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trionum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Hieracium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Houstonia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Hydrangea paniculata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Hydrangea petiolaris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Hydrastis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Hypochaeris radicata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Ilex cassine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Ilex decidua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Ilex vomitoria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Indigofera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batatas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hederacea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nil</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purpurea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quamoclit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Iva xanthiifolia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Jacaranda acutifolia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Jatropha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ailanthifolia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californica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regia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Juniperus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Juniperus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Juniperus deppeana var. pachyphloea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Juniperus horizontalis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Juniperus scopulorum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Juniperus virginiana var. silicicola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Juniperus virginiana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Justicia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Kalmia latifolia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Kerria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Koelreuteria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Krameria lanceolata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Krigia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Kuhnia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Lablab purpureus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Lactuca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Lactuca serriola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Lagenaria siceraria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Lagerstroemia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Lantana horrida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Lappula squarrosa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laricina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Lathyrus odoratus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Lepidium campestre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Lepidium densiflorum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Lepidium sativum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Lepidium virginicum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Lespedeza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Lesquerella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Leucanthemum vulgare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Leucophyllum frutescens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Liatris pycnostachya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Ligustrum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Limonium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Linaria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Lindera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Linum lewisii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Linum rigidum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Linum sulcatum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Lippia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Liquidambar styraciflua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Liriodendron tulipifera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Lithospermum occidentale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Lobelia inflata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Lobelia siphilitica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Lonicera morrowii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Lonicera sempervirens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Lonicera tatarica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Lupinus perennis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Lupinus subcarnosus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Lycium carolineanum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Lysimachia ciliata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Lysimachia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Maackia amurensis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Maclura pomifera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grandiflora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baccata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Malvastrum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Malvaviscus arboreus var. drummondii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Malvella leprosa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Mammillaria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Mangifera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Manihot esculenta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Manilkara zapota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Matthiola incana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arabica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lupulina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polymorpha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truncatula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Melia azedarach</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Melilotus albus var. annuus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Melilotus albus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Melilotus indicus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Melilotus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Mentzelia laevicaulis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Mimosa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Mirabilis jalapa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Mirabilis nyctaginea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Mollugo verticillata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Morus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Mucuna deeringiana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Myrica cerifera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Nandina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Nerium oleander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Nicandra physalodes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glauca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tabacum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Nyssa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Oenothera gaura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Oenothera laciniata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Oenothera suffrutescens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Olea europaea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Oncoba spinosa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Osmanthus heterophyllus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Ostrya virginiana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Oxydendrum arboreum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Paeonia lactiflora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Parkinsonia florida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Parkinsonia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Parthenium argentatum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Parthenocissus quinquefolia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Parthenocissus tricuspidata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Passiflora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Pastinaca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Paulownia tomentosa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Pavonia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Penstemon cobaea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Persea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Persicaria lapathifolia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Persicaria maculosa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Petroselinum crispum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Phacelia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acutifolius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lunatus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Philadelphus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Phlox paniculata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Photinia serratifolia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Physocarpus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Phytolacca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engelmannii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Pilosella aurantiaca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Pimpinella anisum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echinata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Pistacia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Pistacia vera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Pisum sativum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Pittosporum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Plantago aristata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Plantago lanceolata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Platanus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Platanus wrightii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Platycladus orientalis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Platycodon grandiflorus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Plectocephalus americanus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Plumeria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Polygonum aviculare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deltoides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fremontii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x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Portulaca grandiflora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Potentilla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Primula obconica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Proboscidea louisianica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Prosopis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armeniaca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cerasus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dulcis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laurocerasus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munsoniana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serotina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Pseudotsuga menziesii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 guajava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Psoralea tenuiflora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Ptelea trifoliata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Pueraria montana var. lobata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Punica granatum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Pyracantha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cerris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macrocarpa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palustris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phellos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prinus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suber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virginiana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Ranunculus repens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Raphanus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Ratibida columnifera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Rheum rhaponticum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Rhododendron catawbiense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Rhus copallinum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Rhus glabra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Rhus trilobata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Rhus typhina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Ribes rubrum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Ribes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Rivina humilis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Robinia hispida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Robinia pseudoacacia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idaeus var. strigosus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ulmifolius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x loganobaccus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Rudbeckia triloba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Rumex crispus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babylonica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Salsola kali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Salvia greggii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Salvia splendens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Sambucus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Sambucus racemosa subsp. pubens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Sapindus drummondii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Saponaria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Sassafras albidum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Scabiosa atropurpurea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Schinus molle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Schinus terebinthifolia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Scutellaria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Senecio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Senegalia greggii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Senna marilandica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Senna tora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Sequoia sempervirens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Sesbania herbacea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Sesbania vesicaria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Sesuvium portulacastrum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Shepherdia argentea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Sida rhombifolia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Sida spinosa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Sideroxylon lanuginosum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Silene antirrhina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Silene latifolia subsp.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Silphium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carolinense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elaeagnifolium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nigrum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rostratum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Solidago altissima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Sonchus asper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Sonchus oleraceus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Sophora davidii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Sophora secundiflora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Sorbus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Spergula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Sphaeralcea angustifolia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Spinacia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Spiraea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Stellaria media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Stillingia linearifolia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Strophostyles helvola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Styphnolobium japonicum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Symplocos tinctoria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Syringa reticulata var. mandschurica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Syringa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Syringa x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Tamarix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Tanacetum cinerariifolium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Taraxacum officinale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Taxodium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Tecoma stans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Tephrosia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Thuja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Tilia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Toxicodendron pubescens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Toxicodendron vernix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Tragia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Tragopogon porrifolius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Triadica sebifera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campestre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incarnatum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pratense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repens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Triodanis perfoliata subsp. biflora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Tsuga diversifolia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crassifolia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parvifolia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pumila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thomasii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Ungnadia speciosa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Urtica dioica subsp. gracilis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Urtica dioica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arboreum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Vachellia farnesiana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Valerianella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Verbascum blattaria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Verbascum thapsus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Verbena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Verbesina encelioides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Vernicia fordii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Vernonia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Veronica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Veronica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Veronica peregrina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Veronicastrum virginicum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Vicia faba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Vicia sativa subsp.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Vicia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radiata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unguiculata subsp. unguiculata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Viguiera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Vincetoxicum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Viola odorata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Vitex agnus-castus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labrusca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rupestris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Weigela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Wisteria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Xanthium orientale subsp. saccharatum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Zinnia elegans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Ziziphus jujuba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Phymatotrichopsis omnivora </w:t>
      </w:r>
      <w:r>
        <w:rPr>
          <w:rFonts w:ascii="Calibri" w:hAnsi="Calibri" w:eastAsia="Calibri" w:cs="Calibri"/>
          <w:color w:val="000000"/>
          <w:sz w:val="22"/>
          <w:szCs w:val="22"/>
        </w:rPr>
        <w:t xml:space="preserve">is widespread in the alkaline, calcareous soils of the Southwestern USA and Northern Mexico (Percy, 1983). The fungus is prevalent throughout much of the cotton-growing area of Texas (except for the Caprock escarpment of the Panhandle), and hence the disease is often referred to as ‘cotton root rot’ or ‘Texas root rot’. Other records include recent reports in Venezuela (Colmenares, 2016), as well as older records for the Dominican Republic, India, Libya, Malawi and Pakistan (Lyda, 1972; Mishra, 1953; Uppalapati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Farr &amp; Rossman, 2021). As </w:t>
      </w:r>
      <w:r>
        <w:rPr>
          <w:rFonts w:ascii="Calibri" w:hAnsi="Calibri" w:eastAsia="Calibri" w:cs="Calibri"/>
          <w:i/>
          <w:iCs/>
          <w:color w:val="000000"/>
          <w:sz w:val="22"/>
          <w:szCs w:val="22"/>
        </w:rPr>
        <w:t xml:space="preserve">P. omnivora </w:t>
      </w:r>
      <w:r>
        <w:rPr>
          <w:rFonts w:ascii="Calibri" w:hAnsi="Calibri" w:eastAsia="Calibri" w:cs="Calibri"/>
          <w:color w:val="000000"/>
          <w:sz w:val="22"/>
          <w:szCs w:val="22"/>
        </w:rPr>
        <w:t xml:space="preserve">is difficult to isolate and identify morphologically, previous reports of distribution outside of the USA and Mexico are considered doubtful and should be confirmed molecularly (Arif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w:t>
      </w:r>
    </w:p>
    <w:p>
      <w:r>
        <w:drawing>
          <wp:inline distT="0" distB="0" distL="0" distR="0">
            <wp:extent cx="6120000" cy="3067200"/>
            <wp:docPr id="27684425" name="name68456a8258e454bc4" descr="PHMPOM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MPOM_distribution_map.jpg"/>
                    <pic:cNvPicPr/>
                  </pic:nvPicPr>
                  <pic:blipFill>
                    <a:blip r:embed="rId63866a8258e454bc0"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(Arizona, Arkansas, California, Louisiana, Nevada, New Mexico, Oklahoma, Texas, Utah)</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omnivora</w:t>
      </w:r>
      <w:r>
        <w:rPr>
          <w:rFonts w:ascii="Calibri" w:hAnsi="Calibri" w:eastAsia="Calibri" w:cs="Calibri"/>
          <w:color w:val="000000"/>
          <w:sz w:val="22"/>
          <w:szCs w:val="22"/>
        </w:rPr>
        <w:t xml:space="preserve"> is not seedborne. The primary inoculum is sclerotia, or strands surviving on roots of host plants. The fungus spreads as fine mycelial strands which traverse the soil and infect other roots. Experiments have shown that strands did not survive for more than 1 year on roots of killed cotton plants remaining in the soil, and strands buried 25 cm deep in the rhizosphere of cotton plants in the field did not survive for more than 3 months. Strands require live cotton roots for overwintering as experiments have shown that strands have poor survival on dead cotton plants. Sclerotia, on the other hand, have been shown to survive for at least 5 years in soil. Strands and sclerotia have been found at depths of 2 m and 2.6 m, respectively (although most occur at 0.5-0.9 m), thus demonstrating that they can tolerate high levels of CO</w:t>
      </w:r>
      <w:r>
        <w:rPr>
          <w:rFonts w:ascii="Calibri" w:hAnsi="Calibri" w:eastAsia="Calibri" w:cs="Calibri"/>
          <w:color w:val="000000"/>
          <w:position w:val="-4"/>
          <w:sz w:val="22"/>
          <w:szCs w:val="22"/>
          <w:vertAlign w:val="subscript"/>
          <w:vertAlign w:val="subscript"/>
        </w:rPr>
        <w:t xml:space="preserve">2</w:t>
      </w:r>
      <w:r>
        <w:rPr>
          <w:rFonts w:ascii="Calibri" w:hAnsi="Calibri" w:eastAsia="Calibri" w:cs="Calibri"/>
          <w:color w:val="000000"/>
          <w:sz w:val="22"/>
          <w:szCs w:val="22"/>
        </w:rPr>
        <w:t xml:space="preserve">. The fungus was not eliminated in soil flooded for 120 days. After heavy summer rain, the fungus may come to the soil surface and form large tawny mycelial mats, 10-20 cm in diameter and 0.6 cm thick, on which conidia are borne. These spores probably play no part in dissemination as they rarely germinate. Nothing is known about the possible role of the teleomorph, but recent genome sequencing has shown that </w:t>
      </w:r>
      <w:r>
        <w:rPr>
          <w:rFonts w:ascii="Calibri" w:hAnsi="Calibri" w:eastAsia="Calibri" w:cs="Calibri"/>
          <w:i/>
          <w:iCs/>
          <w:color w:val="000000"/>
          <w:sz w:val="22"/>
          <w:szCs w:val="22"/>
        </w:rPr>
        <w:t xml:space="preserve">P. omnivora</w:t>
      </w:r>
      <w:r>
        <w:rPr>
          <w:rFonts w:ascii="Calibri" w:hAnsi="Calibri" w:eastAsia="Calibri" w:cs="Calibri"/>
          <w:color w:val="000000"/>
          <w:sz w:val="22"/>
          <w:szCs w:val="22"/>
        </w:rPr>
        <w:t xml:space="preserve"> is a heterothallic fungus based on the presence of the mating type genes, MAT1-1-1 or MAT1-2-1, in an isolate (Mattupalli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which indicates that </w:t>
      </w:r>
      <w:r>
        <w:rPr>
          <w:rFonts w:ascii="Calibri" w:hAnsi="Calibri" w:eastAsia="Calibri" w:cs="Calibri"/>
          <w:i/>
          <w:iCs/>
          <w:color w:val="000000"/>
          <w:sz w:val="22"/>
          <w:szCs w:val="22"/>
        </w:rPr>
        <w:t xml:space="preserve">P. omnivora</w:t>
      </w:r>
      <w:r>
        <w:rPr>
          <w:rFonts w:ascii="Calibri" w:hAnsi="Calibri" w:eastAsia="Calibri" w:cs="Calibri"/>
          <w:color w:val="000000"/>
          <w:sz w:val="22"/>
          <w:szCs w:val="22"/>
        </w:rPr>
        <w:t xml:space="preserve"> may have a yet to be identified sexual cycle.</w:t>
      </w:r>
    </w:p>
    <w:p>
      <w:pPr>
        <w:widowControl w:val="on"/>
        <w:pBdr/>
        <w:spacing w:before="220" w:after="220" w:line="240" w:lineRule="auto"/>
        <w:ind w:left="0" w:right="0"/>
        <w:jc w:val="both"/>
      </w:pPr>
      <w:r>
        <w:rPr>
          <w:rFonts w:ascii="Calibri" w:hAnsi="Calibri" w:eastAsia="Calibri" w:cs="Calibri"/>
          <w:color w:val="000000"/>
          <w:sz w:val="22"/>
          <w:szCs w:val="22"/>
        </w:rPr>
        <w:t xml:space="preserve">Temperature is an important factor in pathogen survival with relatively high winter temperatures being favourable (Wheeler &amp; Hine, 1972). Rush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(1984a), analyzed the factors which affect symptom appearance and concluded that root rot is favoured by temperatures over 22°C and relatively high soil moisture. Jeger &amp; Lyda (1986) looked for environmental factors correlating to disease incidence, and identified cumulative precipitation up to the end of the growing season and (inversely) temperatures above 34°C. A threshold criterion based on cumulative precipitation and mean maximum temperature during the preceding 10 days could be used to forecast annual disease incidence. Percy (1983) assessed soil base exchange capacity, pH, sodium content, calcium content and clay fraction, and mean annual air temperature, as factors limiting the occurrence of </w:t>
      </w:r>
      <w:r>
        <w:rPr>
          <w:rFonts w:ascii="Calibri" w:hAnsi="Calibri" w:eastAsia="Calibri" w:cs="Calibri"/>
          <w:i/>
          <w:iCs/>
          <w:color w:val="000000"/>
          <w:sz w:val="22"/>
          <w:szCs w:val="22"/>
        </w:rPr>
        <w:t xml:space="preserve">P. omnivora</w:t>
      </w:r>
      <w:r>
        <w:rPr>
          <w:rFonts w:ascii="Calibri" w:hAnsi="Calibri" w:eastAsia="Calibri" w:cs="Calibri"/>
          <w:color w:val="000000"/>
          <w:sz w:val="22"/>
          <w:szCs w:val="22"/>
        </w:rPr>
        <w:t xml:space="preserve">. A map of the potential distribution of the fungus in North America, based on this analysis, was mostly coterminous with the known distribution. In addition, the fungus cannot tolerate soil temperatures below freezing for any appreciable time. Thus, temperature and soil requirements appear to be the factors restricting the natural distribution of the pathogen.</w:t>
      </w:r>
    </w:p>
    <w:p>
      <w:pPr>
        <w:widowControl w:val="on"/>
        <w:pBdr/>
        <w:spacing w:before="220" w:after="220" w:line="240" w:lineRule="auto"/>
        <w:ind w:left="0" w:right="0"/>
        <w:jc w:val="both"/>
      </w:pPr>
      <w:r>
        <w:rPr>
          <w:rFonts w:ascii="Calibri" w:hAnsi="Calibri" w:eastAsia="Calibri" w:cs="Calibri"/>
          <w:color w:val="000000"/>
          <w:sz w:val="22"/>
          <w:szCs w:val="22"/>
        </w:rPr>
        <w:t xml:space="preserve">For more information on the biology of the pathogen see Streets (1937) and Streets &amp; Bloss (1973), Uppalapati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The disease on cotton appears in patches in the field and these areas do not necessarily produce a diseased crop the next year (Uppalapati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The infection of the root system early in the season does not cause above-ground symptoms (Rush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1984c). Symptoms only become conspicuous during the summer, as a sudden wilting of the plant, with or without a prior chlorosis of the leaves. The foliage droops, turns brown and may remain hanging on the branches for a few days before dropping off to leave a bare, dead stalk. At this stage, the roots are dead and their surface is covered with a network of yellow-brown fungal strands. If there is abundant water, brown to black wart-like sclerotia are also seen on the surface roots. The cortex of the killed roots is soft and readily peels. The conidial stage develops on the ground, near the margin of the zone of dying plants in the form of cushion-like, creamy yellowish masses. These spore mats are not, however, often found in cotton fields.</w:t>
      </w:r>
    </w:p>
    <w:p>
      <w:pPr>
        <w:widowControl w:val="on"/>
        <w:pBdr/>
        <w:spacing w:before="220" w:after="220" w:line="240" w:lineRule="auto"/>
        <w:ind w:left="0" w:right="0"/>
        <w:jc w:val="both"/>
      </w:pPr>
      <w:r>
        <w:rPr>
          <w:rFonts w:ascii="Calibri" w:hAnsi="Calibri" w:eastAsia="Calibri" w:cs="Calibri"/>
          <w:color w:val="000000"/>
          <w:sz w:val="22"/>
          <w:szCs w:val="22"/>
        </w:rPr>
        <w:t xml:space="preserve">In a perennial crop such as alfalfa, the disease will continue to spread throughout each sequential growing season, with up to 30% stand loss occurring over a single year (Mattupalli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Surviving alfalfa plants compensated for damage or loss to the taproot through the development of more lateral and crown roots (Mattupalli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Conidia unicellular, hyaline, globose (4.8-5.5 µm in diameter) or ovate (6-8 x 5-6 µm). Mycelial strands about 200 µm in diameter, bearing acicular hyphae, with distinctive cruciform branches emanating from the peripheral mycelium. Sclerotia irregular in shape, brown to black, 1-5 mm in diameter.</w:t>
      </w:r>
    </w:p>
    <w:p>
      <w:pPr>
        <w:widowControl w:val="on"/>
        <w:pBdr/>
        <w:spacing w:before="220" w:after="220" w:line="240" w:lineRule="auto"/>
        <w:ind w:left="0" w:right="0"/>
        <w:jc w:val="both"/>
      </w:pPr>
      <w:r>
        <w:rPr>
          <w:rFonts w:ascii="Calibri" w:hAnsi="Calibri" w:eastAsia="Calibri" w:cs="Calibri"/>
          <w:color w:val="000000"/>
          <w:sz w:val="22"/>
          <w:szCs w:val="22"/>
        </w:rPr>
        <w:t xml:space="preserve">More detailed information is given by Streets (1937) and Streets &amp; Bloss (1973).</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Genome</w:t>
      </w:r>
    </w:p>
    <w:p>
      <w:pPr>
        <w:widowControl w:val="on"/>
        <w:pBdr/>
        <w:spacing w:before="220" w:after="220" w:line="240" w:lineRule="auto"/>
        <w:ind w:left="0" w:right="0"/>
        <w:jc w:val="both"/>
      </w:pPr>
      <w:r>
        <w:rPr>
          <w:rFonts w:ascii="Calibri" w:hAnsi="Calibri" w:eastAsia="Calibri" w:cs="Calibri"/>
          <w:color w:val="000000"/>
          <w:sz w:val="22"/>
          <w:szCs w:val="22"/>
        </w:rPr>
        <w:t xml:space="preserve">Four isolates of </w:t>
      </w:r>
      <w:r>
        <w:rPr>
          <w:rFonts w:ascii="Calibri" w:hAnsi="Calibri" w:eastAsia="Calibri" w:cs="Calibri"/>
          <w:i/>
          <w:iCs/>
          <w:color w:val="000000"/>
          <w:sz w:val="22"/>
          <w:szCs w:val="22"/>
        </w:rPr>
        <w:t xml:space="preserve">P. omnivora</w:t>
      </w:r>
      <w:r>
        <w:rPr>
          <w:rFonts w:ascii="Calibri" w:hAnsi="Calibri" w:eastAsia="Calibri" w:cs="Calibri"/>
          <w:color w:val="000000"/>
          <w:sz w:val="22"/>
          <w:szCs w:val="22"/>
        </w:rPr>
        <w:t xml:space="preserve"> have been sequenced (Mattupalli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Interestingly, the draft genome assemblies of the four isolates sequenced revealed that </w:t>
      </w:r>
      <w:r>
        <w:rPr>
          <w:rFonts w:ascii="Calibri" w:hAnsi="Calibri" w:eastAsia="Calibri" w:cs="Calibri"/>
          <w:i/>
          <w:iCs/>
          <w:color w:val="000000"/>
          <w:sz w:val="22"/>
          <w:szCs w:val="22"/>
        </w:rPr>
        <w:t xml:space="preserve">P. omnivora</w:t>
      </w:r>
      <w:r>
        <w:rPr>
          <w:rFonts w:ascii="Calibri" w:hAnsi="Calibri" w:eastAsia="Calibri" w:cs="Calibri"/>
          <w:color w:val="000000"/>
          <w:sz w:val="22"/>
          <w:szCs w:val="22"/>
        </w:rPr>
        <w:t xml:space="preserve"> genome is bigger than most other fungal genomes. The genome size among </w:t>
      </w:r>
      <w:r>
        <w:rPr>
          <w:rFonts w:ascii="Calibri" w:hAnsi="Calibri" w:eastAsia="Calibri" w:cs="Calibri"/>
          <w:i/>
          <w:iCs/>
          <w:color w:val="000000"/>
          <w:sz w:val="22"/>
          <w:szCs w:val="22"/>
        </w:rPr>
        <w:t xml:space="preserve">P. omnivora </w:t>
      </w:r>
      <w:r>
        <w:rPr>
          <w:rFonts w:ascii="Calibri" w:hAnsi="Calibri" w:eastAsia="Calibri" w:cs="Calibri"/>
          <w:color w:val="000000"/>
          <w:sz w:val="22"/>
          <w:szCs w:val="22"/>
        </w:rPr>
        <w:t xml:space="preserve">isolates ranged from</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107 to 109 Mb. Approximately 38% to 40% of the genome of </w:t>
      </w:r>
      <w:r>
        <w:rPr>
          <w:rFonts w:ascii="Calibri" w:hAnsi="Calibri" w:eastAsia="Calibri" w:cs="Calibri"/>
          <w:i/>
          <w:iCs/>
          <w:color w:val="000000"/>
          <w:sz w:val="22"/>
          <w:szCs w:val="22"/>
        </w:rPr>
        <w:t xml:space="preserve">P. omnivora</w:t>
      </w:r>
      <w:r>
        <w:rPr>
          <w:rFonts w:ascii="Calibri" w:hAnsi="Calibri" w:eastAsia="Calibri" w:cs="Calibri"/>
          <w:color w:val="000000"/>
          <w:sz w:val="22"/>
          <w:szCs w:val="22"/>
        </w:rPr>
        <w:t xml:space="preserve"> are repeat sequences.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In general, the yellow-brown parallel strands of mycelium visible with a hand-lens on rotted roots of host plants are characteristic. PCR- and real-time PCR-based methods have been developed to detect the pathogen in root tissues for ease of detection (Arif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Mattupalli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Under natural conditions, as a soilborne pathogen, </w:t>
      </w:r>
      <w:r>
        <w:rPr>
          <w:rFonts w:ascii="Calibri" w:hAnsi="Calibri" w:eastAsia="Calibri" w:cs="Calibri"/>
          <w:i/>
          <w:iCs/>
          <w:color w:val="000000"/>
          <w:sz w:val="22"/>
          <w:szCs w:val="22"/>
        </w:rPr>
        <w:t xml:space="preserve">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omnivora</w:t>
      </w:r>
      <w:r>
        <w:rPr>
          <w:rFonts w:ascii="Calibri" w:hAnsi="Calibri" w:eastAsia="Calibri" w:cs="Calibri"/>
          <w:color w:val="000000"/>
          <w:sz w:val="22"/>
          <w:szCs w:val="22"/>
        </w:rPr>
        <w:t xml:space="preserve"> has low dispersal potential. It persists at certain locations where soil conditions are favourable and does not readily spread beyond the vicinity of the host plant. </w:t>
      </w:r>
      <w:r>
        <w:rPr>
          <w:rFonts w:ascii="Calibri" w:hAnsi="Calibri" w:eastAsia="Calibri" w:cs="Calibri"/>
          <w:i/>
          <w:iCs/>
          <w:color w:val="000000"/>
          <w:sz w:val="22"/>
          <w:szCs w:val="22"/>
        </w:rPr>
        <w:t xml:space="preserve">P. omnivora</w:t>
      </w:r>
      <w:r>
        <w:rPr>
          <w:rFonts w:ascii="Calibri" w:hAnsi="Calibri" w:eastAsia="Calibri" w:cs="Calibri"/>
          <w:color w:val="000000"/>
          <w:sz w:val="22"/>
          <w:szCs w:val="22"/>
        </w:rPr>
        <w:t xml:space="preserve"> could be transported by human-assisted means, with soil or on roots of infected host plants. Locally, it may be spread with soil associated to agricultural machinery. In North America, internal quarantine measures have been applied to prevent spread into non-infested areas, but it is likely that the fungus has reached its natural limits in any case. The risk of intercontinental introduction is mainly with trade of hosts other than cotton since cotton plants are not usually moved in trade. Seeds are not a pathway as </w:t>
      </w:r>
      <w:r>
        <w:rPr>
          <w:rFonts w:ascii="Calibri" w:hAnsi="Calibri" w:eastAsia="Calibri" w:cs="Calibri"/>
          <w:i/>
          <w:iCs/>
          <w:color w:val="000000"/>
          <w:sz w:val="22"/>
          <w:szCs w:val="22"/>
        </w:rPr>
        <w:t xml:space="preserve">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omnivora </w:t>
      </w:r>
      <w:r>
        <w:rPr>
          <w:rFonts w:ascii="Calibri" w:hAnsi="Calibri" w:eastAsia="Calibri" w:cs="Calibri"/>
          <w:color w:val="000000"/>
          <w:sz w:val="22"/>
          <w:szCs w:val="22"/>
        </w:rPr>
        <w:t xml:space="preserve">is not seed-borne, and traded seeds should be free from soil. There are no records of the fungus being intercepted in internationally traded consignments, at least in the EU (EFSA PHL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 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The fungus is most serious on cotton and on this host it kills plants before maturity, reduces yield and quality by killing partly developed bolls and reduces lint quality in plants which survive until harvest. Mulrean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have analysed the elements of yield loss in cotton. Each year, it is estimated that 2% of the cotton yield in Texas (USA) is lost to root rot (Watkins, 1981). Cotton cultivation has been abandoned in some cases on soils that are most favourable to the fungus. </w:t>
      </w:r>
      <w:r>
        <w:rPr>
          <w:rFonts w:ascii="Calibri" w:hAnsi="Calibri" w:eastAsia="Calibri" w:cs="Calibri"/>
          <w:i/>
          <w:iCs/>
          <w:color w:val="000000"/>
          <w:sz w:val="22"/>
          <w:szCs w:val="22"/>
        </w:rPr>
        <w:t xml:space="preserve">P. omnivora</w:t>
      </w:r>
      <w:r>
        <w:rPr>
          <w:rFonts w:ascii="Calibri" w:hAnsi="Calibri" w:eastAsia="Calibri" w:cs="Calibri"/>
          <w:color w:val="000000"/>
          <w:sz w:val="22"/>
          <w:szCs w:val="22"/>
        </w:rPr>
        <w:t xml:space="preserve"> also causes significant economic losses to alfalfa cultivation in Southern Oklahoma and Northern Texas (Uppalapati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Unlike cotton, alfalfa is a perennial crop, and the root rot disease persists year after year and the disease areas increase over time (Mattupalli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Because of this disease, farmers are reluctant to grow alfalfa in affected areas of Oklahoma and Texas.</w:t>
      </w:r>
    </w:p>
    <w:p>
      <w:pPr>
        <w:widowControl w:val="on"/>
        <w:pBdr/>
        <w:spacing w:before="220" w:after="220" w:line="240" w:lineRule="auto"/>
        <w:ind w:left="0" w:right="0"/>
        <w:jc w:val="both"/>
      </w:pPr>
      <w:r>
        <w:rPr>
          <w:rFonts w:ascii="Calibri" w:hAnsi="Calibri" w:eastAsia="Calibri" w:cs="Calibri"/>
          <w:color w:val="000000"/>
          <w:sz w:val="22"/>
          <w:szCs w:val="22"/>
        </w:rPr>
        <w:t xml:space="preserve">On sunflowers, </w:t>
      </w:r>
      <w:r>
        <w:rPr>
          <w:rFonts w:ascii="Calibri" w:hAnsi="Calibri" w:eastAsia="Calibri" w:cs="Calibri"/>
          <w:i/>
          <w:iCs/>
          <w:color w:val="000000"/>
          <w:sz w:val="22"/>
          <w:szCs w:val="22"/>
        </w:rPr>
        <w:t xml:space="preserve">P. omnivora </w:t>
      </w:r>
      <w:r>
        <w:rPr>
          <w:rFonts w:ascii="Calibri" w:hAnsi="Calibri" w:eastAsia="Calibri" w:cs="Calibri"/>
          <w:color w:val="000000"/>
          <w:sz w:val="22"/>
          <w:szCs w:val="22"/>
        </w:rPr>
        <w:t xml:space="preserve">delays seed germination, and this combined with late planting may result in significant losses (Orellana, 1973). The references to </w:t>
      </w:r>
      <w:r>
        <w:rPr>
          <w:rFonts w:ascii="Calibri" w:hAnsi="Calibri" w:eastAsia="Calibri" w:cs="Calibri"/>
          <w:i/>
          <w:iCs/>
          <w:color w:val="000000"/>
          <w:sz w:val="22"/>
          <w:szCs w:val="22"/>
        </w:rPr>
        <w:t xml:space="preserve">P. omnivora</w:t>
      </w:r>
      <w:r>
        <w:rPr>
          <w:rFonts w:ascii="Calibri" w:hAnsi="Calibri" w:eastAsia="Calibri" w:cs="Calibri"/>
          <w:color w:val="000000"/>
          <w:sz w:val="22"/>
          <w:szCs w:val="22"/>
        </w:rPr>
        <w:t xml:space="preserve"> in the APS Compendia of Plant Diseases (Riggs 2001; Young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give a partial view of the situation on other crops. Winter-grown annual crops (such as sugarbeet) escape disease. Apples, peaches, pecans, grapes, and in Mexico, mangoes and avocados, suffer significant losses. </w:t>
      </w:r>
      <w:r>
        <w:rPr>
          <w:rFonts w:ascii="Calibri" w:hAnsi="Calibri" w:eastAsia="Calibri" w:cs="Calibri"/>
          <w:i/>
          <w:iCs/>
          <w:color w:val="000000"/>
          <w:sz w:val="22"/>
          <w:szCs w:val="22"/>
        </w:rPr>
        <w:t xml:space="preserve">P. omnivora</w:t>
      </w:r>
      <w:r>
        <w:rPr>
          <w:rFonts w:ascii="Calibri" w:hAnsi="Calibri" w:eastAsia="Calibri" w:cs="Calibri"/>
          <w:color w:val="000000"/>
          <w:sz w:val="22"/>
          <w:szCs w:val="22"/>
        </w:rPr>
        <w:t xml:space="preserve"> is a major constraint to apple cultivation in Texas. </w:t>
      </w:r>
      <w:r>
        <w:rPr>
          <w:rFonts w:ascii="Calibri" w:hAnsi="Calibri" w:eastAsia="Calibri" w:cs="Calibri"/>
          <w:i/>
          <w:iCs/>
          <w:color w:val="000000"/>
          <w:sz w:val="22"/>
          <w:szCs w:val="22"/>
        </w:rPr>
        <w:t xml:space="preserve">Ulmus</w:t>
      </w:r>
      <w:r>
        <w:rPr>
          <w:rFonts w:ascii="Calibri" w:hAnsi="Calibri" w:eastAsia="Calibri" w:cs="Calibri"/>
          <w:color w:val="000000"/>
          <w:sz w:val="22"/>
          <w:szCs w:val="22"/>
        </w:rPr>
        <w:t xml:space="preserve"> spp. have been severely attacked. The disease is only minor on citrus, roses and Rhododendron. It is not damaging on sweet potatoes or groundnuts. In general, there is relatively little information on hosts other than cotton and alfalfa in the research literature, which suggests that, though many are attacked by the fungus, relatively few suffer significant economic loss.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The disease occurs particularly on heavy calcareous soils.</w:t>
      </w:r>
    </w:p>
    <w:p>
      <w:pPr>
        <w:widowControl w:val="on"/>
        <w:pBdr/>
        <w:spacing w:before="220" w:after="220" w:line="240" w:lineRule="auto"/>
        <w:ind w:left="0" w:right="0"/>
        <w:jc w:val="both"/>
      </w:pPr>
      <w:r>
        <w:rPr>
          <w:rFonts w:ascii="Calibri" w:hAnsi="Calibri" w:eastAsia="Calibri" w:cs="Calibri"/>
          <w:color w:val="000000"/>
          <w:sz w:val="22"/>
          <w:szCs w:val="22"/>
        </w:rPr>
        <w:t xml:space="preserve">Heavy nitrogenous manuring and deep cultivation reduce losses. The disease on cotton is mainly controlled by rotation with non-host plants (e.g. with sorghum) and cultural practices such as early planting, to allow the crop to establish and start boll formation before root rot becomes significant. </w:t>
      </w:r>
    </w:p>
    <w:p>
      <w:pPr>
        <w:widowControl w:val="on"/>
        <w:pBdr/>
        <w:spacing w:before="220" w:after="220" w:line="240" w:lineRule="auto"/>
        <w:ind w:left="0" w:right="0"/>
        <w:jc w:val="both"/>
      </w:pPr>
      <w:r>
        <w:rPr>
          <w:rFonts w:ascii="Calibri" w:hAnsi="Calibri" w:eastAsia="Calibri" w:cs="Calibri"/>
          <w:color w:val="000000"/>
          <w:sz w:val="22"/>
          <w:szCs w:val="22"/>
        </w:rPr>
        <w:t xml:space="preserve">Chemicals can be used to control the fungus in the soil. The standard soil treatments have been reported to be effective as have drenches with fungicides such as the benzimidazoles. Such treatments would be too costly for field crops but might be suitable for land on which a high-value horticultural crop was to be grown. Only the soil directly treated is affected, and experience shows that after a certain time this soil is recontaminated by </w:t>
      </w:r>
      <w:r>
        <w:rPr>
          <w:rFonts w:ascii="Calibri" w:hAnsi="Calibri" w:eastAsia="Calibri" w:cs="Calibri"/>
          <w:i/>
          <w:iCs/>
          <w:color w:val="000000"/>
          <w:sz w:val="22"/>
          <w:szCs w:val="22"/>
        </w:rPr>
        <w:t xml:space="preserve">P. omnivora</w:t>
      </w:r>
      <w:r>
        <w:rPr>
          <w:rFonts w:ascii="Calibri" w:hAnsi="Calibri" w:eastAsia="Calibri" w:cs="Calibri"/>
          <w:color w:val="000000"/>
          <w:sz w:val="22"/>
          <w:szCs w:val="22"/>
        </w:rPr>
        <w:t xml:space="preserve"> coming from deeper soil layers. Thus, it is doubtful whether such treatments would be effective enough to be used for eradication (Uppalapati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Recently, flutriafol (triazole fungicide) has been used to successfully control </w:t>
      </w:r>
      <w:r>
        <w:rPr>
          <w:rFonts w:ascii="Calibri" w:hAnsi="Calibri" w:eastAsia="Calibri" w:cs="Calibri"/>
          <w:i/>
          <w:iCs/>
          <w:color w:val="000000"/>
          <w:sz w:val="22"/>
          <w:szCs w:val="22"/>
        </w:rPr>
        <w:t xml:space="preserve">P. omnivora</w:t>
      </w:r>
      <w:r>
        <w:rPr>
          <w:rFonts w:ascii="Calibri" w:hAnsi="Calibri" w:eastAsia="Calibri" w:cs="Calibri"/>
          <w:color w:val="000000"/>
          <w:sz w:val="22"/>
          <w:szCs w:val="22"/>
        </w:rPr>
        <w:t xml:space="preserve"> in cotton fields in the USA (Chitrampalam &amp; Olsen, 2014; Isakeit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Norton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This fungicide is applied in the furrows while planting cotton seeds (Isakeit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Norton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Yang, 2020). It has also been approved in 2020 for use in alfalfa in the USA. This is the only chemical active substance on the market labelled for management of </w:t>
      </w:r>
      <w:r>
        <w:rPr>
          <w:rFonts w:ascii="Calibri" w:hAnsi="Calibri" w:eastAsia="Calibri" w:cs="Calibri"/>
          <w:i/>
          <w:iCs/>
          <w:color w:val="000000"/>
          <w:sz w:val="22"/>
          <w:szCs w:val="22"/>
        </w:rPr>
        <w:t xml:space="preserve">P. omnivora</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Identification of varietal resistance has not been found in the major hosts. There is considerable research interest in antagonistic fungi which colonize and destroy </w:t>
      </w:r>
      <w:r>
        <w:rPr>
          <w:rFonts w:ascii="Calibri" w:hAnsi="Calibri" w:eastAsia="Calibri" w:cs="Calibri"/>
          <w:i/>
          <w:iCs/>
          <w:color w:val="000000"/>
          <w:sz w:val="22"/>
          <w:szCs w:val="22"/>
        </w:rPr>
        <w:t xml:space="preserve">P. omnivora</w:t>
      </w:r>
      <w:r>
        <w:rPr>
          <w:rFonts w:ascii="Calibri" w:hAnsi="Calibri" w:eastAsia="Calibri" w:cs="Calibri"/>
          <w:color w:val="000000"/>
          <w:sz w:val="22"/>
          <w:szCs w:val="22"/>
        </w:rPr>
        <w:t xml:space="preserve"> sclerotia (e.g. Kenerley &amp; Stack, 1987, Martínez-Escudero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but this is not yet applied in practice.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omnivora</w:t>
      </w:r>
      <w:r>
        <w:rPr>
          <w:rFonts w:ascii="Calibri" w:hAnsi="Calibri" w:eastAsia="Calibri" w:cs="Calibri"/>
          <w:color w:val="000000"/>
          <w:sz w:val="22"/>
          <w:szCs w:val="22"/>
        </w:rPr>
        <w:t xml:space="preserve"> is a polyphagous pathogen which causes important damage on crops such as cotton, alfalfa, apple, peach and grapevine. It would be very difficult to control if introduced in the EPPO region. EFSA PHL Panel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concluded that it met the criteria to be a quarantine pest for the EU. In view of the temperature and soil factors which appear to limit the distribution of the pest in North America (see Biology), potential distribution in other continents would mainly be in the warmer wetter areas (South America, Africa, India). In the EPPO region, the cotton-growing countries of the Mediterranean basin would be more likely to be affected than the more continental areas e.g. of Central Asia. With respect to other host plants, the risk is much greater for North Africa and Southern Europe than for Northern or Eastern Europe.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It is recommended to prohibit the importation of soil from areas where </w:t>
      </w:r>
      <w:r>
        <w:rPr>
          <w:rFonts w:ascii="Calibri" w:hAnsi="Calibri" w:eastAsia="Calibri" w:cs="Calibri"/>
          <w:i/>
          <w:iCs/>
          <w:color w:val="000000"/>
          <w:sz w:val="22"/>
          <w:szCs w:val="22"/>
        </w:rPr>
        <w:t xml:space="preserve">P. omnivora</w:t>
      </w:r>
      <w:r>
        <w:rPr>
          <w:rFonts w:ascii="Calibri" w:hAnsi="Calibri" w:eastAsia="Calibri" w:cs="Calibri"/>
          <w:color w:val="000000"/>
          <w:sz w:val="22"/>
          <w:szCs w:val="22"/>
        </w:rPr>
        <w:t xml:space="preserve"> occurs. This implies that no soil should accompany plants for planting imported from those areas. However, inorganic or sterilized growing media could, if necessary, be accepted, or other safeguards to ensure that there is no possibility that </w:t>
      </w:r>
      <w:r>
        <w:rPr>
          <w:rFonts w:ascii="Calibri" w:hAnsi="Calibri" w:eastAsia="Calibri" w:cs="Calibri"/>
          <w:i/>
          <w:iCs/>
          <w:color w:val="000000"/>
          <w:sz w:val="22"/>
          <w:szCs w:val="22"/>
        </w:rPr>
        <w:t xml:space="preserve">P. omnivora</w:t>
      </w:r>
      <w:r>
        <w:rPr>
          <w:rFonts w:ascii="Calibri" w:hAnsi="Calibri" w:eastAsia="Calibri" w:cs="Calibri"/>
          <w:color w:val="000000"/>
          <w:sz w:val="22"/>
          <w:szCs w:val="22"/>
        </w:rPr>
        <w:t xml:space="preserve"> could be present in the growing medium. EPPO Standard PM 8/1 on potato notes that </w:t>
      </w:r>
      <w:r>
        <w:rPr>
          <w:rFonts w:ascii="Calibri" w:hAnsi="Calibri" w:eastAsia="Calibri" w:cs="Calibri"/>
          <w:i/>
          <w:iCs/>
          <w:color w:val="000000"/>
          <w:sz w:val="22"/>
          <w:szCs w:val="22"/>
        </w:rPr>
        <w:t xml:space="preserve">P. omnivora</w:t>
      </w:r>
      <w:r>
        <w:rPr>
          <w:rFonts w:ascii="Calibri" w:hAnsi="Calibri" w:eastAsia="Calibri" w:cs="Calibri"/>
          <w:color w:val="000000"/>
          <w:sz w:val="22"/>
          <w:szCs w:val="22"/>
        </w:rPr>
        <w:t xml:space="preserve"> can be present in soil attached to potato tubers and recommends that tubers should be free from plant debris and from soil. This is also valid for bulbs and root vegetables.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Arif M, Dobhal S, Garrido P, Orquera G, Espindola A, Young C, Ochoa-Corona F, Marek S, Garzon C (2014) Highly sensitive end-point PCR and SYBR Green qPCR detection of </w:t>
      </w:r>
      <w:r>
        <w:rPr>
          <w:rFonts w:ascii="Calibri" w:hAnsi="Calibri" w:eastAsia="Calibri" w:cs="Calibri"/>
          <w:i/>
          <w:iCs/>
          <w:color w:val="000000"/>
          <w:sz w:val="22"/>
          <w:szCs w:val="22"/>
        </w:rPr>
        <w:t xml:space="preserve">Phymatotrichopsis omnivora</w:t>
      </w:r>
      <w:r>
        <w:rPr>
          <w:rFonts w:ascii="Calibri" w:hAnsi="Calibri" w:eastAsia="Calibri" w:cs="Calibri"/>
          <w:color w:val="000000"/>
          <w:sz w:val="22"/>
          <w:szCs w:val="22"/>
        </w:rPr>
        <w:t xml:space="preserve">, causal fungus of cotton root rot.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 (9), 1205-1212.</w:t>
      </w:r>
    </w:p>
    <w:p>
      <w:pPr>
        <w:widowControl w:val="on"/>
        <w:pBdr/>
        <w:spacing w:before="220" w:after="220" w:line="240" w:lineRule="auto"/>
        <w:ind w:left="0" w:right="0"/>
        <w:jc w:val="left"/>
      </w:pPr>
      <w:r>
        <w:rPr>
          <w:rFonts w:ascii="Calibri" w:hAnsi="Calibri" w:eastAsia="Calibri" w:cs="Calibri"/>
          <w:color w:val="000000"/>
          <w:sz w:val="22"/>
          <w:szCs w:val="22"/>
        </w:rPr>
        <w:t xml:space="preserve">Chitrampalam P, Olsen MW (2014) Genetic diversity and fungicide sensitivity of </w:t>
      </w:r>
      <w:r>
        <w:rPr>
          <w:rFonts w:ascii="Calibri" w:hAnsi="Calibri" w:eastAsia="Calibri" w:cs="Calibri"/>
          <w:i/>
          <w:iCs/>
          <w:color w:val="000000"/>
          <w:sz w:val="22"/>
          <w:szCs w:val="22"/>
        </w:rPr>
        <w:t xml:space="preserve">Phymatotrichopsis omnivora </w:t>
      </w:r>
      <w:r>
        <w:rPr>
          <w:rFonts w:ascii="Calibri" w:hAnsi="Calibri" w:eastAsia="Calibri" w:cs="Calibri"/>
          <w:color w:val="000000"/>
          <w:sz w:val="22"/>
          <w:szCs w:val="22"/>
        </w:rPr>
        <w:t xml:space="preserve">isolates from cotton in Arizona. </w:t>
      </w:r>
      <w:r>
        <w:rPr>
          <w:rFonts w:ascii="Calibri" w:hAnsi="Calibri" w:eastAsia="Calibri" w:cs="Calibri"/>
          <w:i/>
          <w:iCs/>
          <w:color w:val="000000"/>
          <w:sz w:val="22"/>
          <w:szCs w:val="22"/>
        </w:rPr>
        <w:t xml:space="preserve">University of Arizona Cooperative Extension Report</w:t>
      </w:r>
      <w:r>
        <w:rPr>
          <w:rFonts w:ascii="Calibri" w:hAnsi="Calibri" w:eastAsia="Calibri" w:cs="Calibri"/>
          <w:color w:val="000000"/>
          <w:sz w:val="22"/>
          <w:szCs w:val="22"/>
        </w:rPr>
        <w:t xml:space="preserve">, az1655.</w:t>
      </w:r>
    </w:p>
    <w:p>
      <w:pPr>
        <w:widowControl w:val="on"/>
        <w:pBdr/>
        <w:spacing w:before="220" w:after="220" w:line="240" w:lineRule="auto"/>
        <w:ind w:left="0" w:right="0"/>
        <w:jc w:val="left"/>
      </w:pPr>
      <w:r>
        <w:rPr>
          <w:rFonts w:ascii="Calibri" w:hAnsi="Calibri" w:eastAsia="Calibri" w:cs="Calibri"/>
          <w:color w:val="000000"/>
          <w:sz w:val="22"/>
          <w:szCs w:val="22"/>
        </w:rPr>
        <w:t xml:space="preserve">Colmenares CAM (2016) Peach root rot-</w:t>
      </w:r>
      <w:r>
        <w:rPr>
          <w:rFonts w:ascii="Calibri" w:hAnsi="Calibri" w:eastAsia="Calibri" w:cs="Calibri"/>
          <w:i/>
          <w:iCs/>
          <w:color w:val="000000"/>
          <w:sz w:val="22"/>
          <w:szCs w:val="22"/>
        </w:rPr>
        <w:t xml:space="preserve">Phymatotrichopsis omnivora</w:t>
      </w:r>
      <w:r>
        <w:rPr>
          <w:rFonts w:ascii="Calibri" w:hAnsi="Calibri" w:eastAsia="Calibri" w:cs="Calibri"/>
          <w:color w:val="000000"/>
          <w:sz w:val="22"/>
          <w:szCs w:val="22"/>
        </w:rPr>
        <w:t xml:space="preserve">. Available online: </w:t>
      </w:r>
      <w:hyperlink r:id="rId56766a8258e4559a7" w:history="1">
        <w:r>
          <w:rPr>
            <w:rFonts w:ascii="Calibri" w:hAnsi="Calibri" w:eastAsia="Calibri" w:cs="Calibri"/>
            <w:color w:val="0000CC"/>
            <w:sz w:val="22"/>
            <w:szCs w:val="22"/>
            <w:u w:val="single"/>
          </w:rPr>
          <w:t xml:space="preserve">https://www.engormix.com/agricultura/articulos/peach-root-rot-phymatotrichopsis-t39833.htm</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PLH Panel (EFSA Panel on Plant Health), Bragard C, Dehnen-Schmutz K, Di Serio F, Gonthier P, Jacques M-A, Jaques Miret JA, Justesen AF, MacLeod A, Sven Magnusson C, Milonas P, Navas-Cortes JA, Parnell S, Potting R, Reignault PL, Thulke H-H, Van der Werf W, Yuen J, Zappal_a L, Jeger M, Vloutoglou I, Bottex B, Vicent Civera A (2019) Scientific Opinion on the pest categorisation of </w:t>
      </w:r>
      <w:r>
        <w:rPr>
          <w:rFonts w:ascii="Calibri" w:hAnsi="Calibri" w:eastAsia="Calibri" w:cs="Calibri"/>
          <w:i/>
          <w:iCs/>
          <w:color w:val="000000"/>
          <w:sz w:val="22"/>
          <w:szCs w:val="22"/>
        </w:rPr>
        <w:t xml:space="preserve">Phymatotrichopsis omnivora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(3):5619, 33 pp. </w:t>
      </w:r>
      <w:hyperlink r:id="rId52076a8258e455a43" w:history="1">
        <w:r>
          <w:rPr>
            <w:rFonts w:ascii="Calibri" w:hAnsi="Calibri" w:eastAsia="Calibri" w:cs="Calibri"/>
            <w:color w:val="0000CC"/>
            <w:sz w:val="22"/>
            <w:szCs w:val="22"/>
            <w:u w:val="single"/>
          </w:rPr>
          <w:t xml:space="preserve">https://doi.org/10.2903/j.efsa.2019.5619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(2017) EPPO standard PM 8/1 Commodity-specific phytosanitary measures for potato. Available at </w:t>
      </w:r>
      <w:hyperlink r:id="rId59096a8258e455a77" w:history="1">
        <w:r>
          <w:rPr>
            <w:rFonts w:ascii="Calibri" w:hAnsi="Calibri" w:eastAsia="Calibri" w:cs="Calibri"/>
            <w:color w:val="0000CC"/>
            <w:sz w:val="22"/>
            <w:szCs w:val="22"/>
            <w:u w:val="single"/>
          </w:rPr>
          <w:t xml:space="preserve">https://gd.eppo.int/standards/PM8/</w:t>
        </w:r>
        <w:r>
          <w:rPr>
            <w:rFonts w:ascii="Calibri" w:hAnsi="Calibri" w:eastAsia="Calibri" w:cs="Calibri"/>
            <w:i/>
            <w:iCs/>
            <w:color w:val="0000CC"/>
            <w:sz w:val="22"/>
            <w:szCs w:val="22"/>
            <w:u w:val="single"/>
          </w:rPr>
          <w:t xml:space="preserve"> </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Farr DF, Rossman AY (2021) Fungal Databases, U.S. National Fungus Collections, ARS, USDA. Retrieved December 2, 2021, from </w:t>
      </w:r>
      <w:hyperlink r:id="rId12676a8258e455ac0" w:history="1">
        <w:r>
          <w:rPr>
            <w:rFonts w:ascii="Calibri" w:hAnsi="Calibri" w:eastAsia="Calibri" w:cs="Calibri"/>
            <w:color w:val="0000CC"/>
            <w:sz w:val="22"/>
            <w:szCs w:val="22"/>
            <w:u w:val="single"/>
          </w:rPr>
          <w:t xml:space="preserve">https://nt.ars-grin.gov/fungaldatabases/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Isakeit T, Minzenmayer RR, Drake DR, Morgan GD, Mott DA, Fromme DD, Multer W L, Jungman M, Abrameit A (2012) Fungicide management of cotton root rot (</w:t>
      </w:r>
      <w:r>
        <w:rPr>
          <w:rFonts w:ascii="Calibri" w:hAnsi="Calibri" w:eastAsia="Calibri" w:cs="Calibri"/>
          <w:i/>
          <w:iCs/>
          <w:color w:val="000000"/>
          <w:sz w:val="22"/>
          <w:szCs w:val="22"/>
        </w:rPr>
        <w:t xml:space="preserve">Phymatotrichopsis omnivora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Beltwide Cotton Prod. Res. Conf.</w:t>
      </w:r>
      <w:r>
        <w:rPr>
          <w:rFonts w:ascii="Calibri" w:hAnsi="Calibri" w:eastAsia="Calibri" w:cs="Calibri"/>
          <w:color w:val="000000"/>
          <w:sz w:val="22"/>
          <w:szCs w:val="22"/>
        </w:rPr>
        <w:t xml:space="preserve">, 235–237.</w:t>
      </w:r>
    </w:p>
    <w:p>
      <w:pPr>
        <w:widowControl w:val="on"/>
        <w:pBdr/>
        <w:spacing w:before="220" w:after="220" w:line="240" w:lineRule="auto"/>
        <w:ind w:left="0" w:right="0"/>
        <w:jc w:val="left"/>
      </w:pPr>
      <w:r>
        <w:rPr>
          <w:rFonts w:ascii="Calibri" w:hAnsi="Calibri" w:eastAsia="Calibri" w:cs="Calibri"/>
          <w:color w:val="000000"/>
          <w:sz w:val="22"/>
          <w:szCs w:val="22"/>
        </w:rPr>
        <w:t xml:space="preserve">Jeger MJ, Lyda SD (1986) Epidemics of </w:t>
      </w:r>
      <w:r>
        <w:rPr>
          <w:rFonts w:ascii="Calibri" w:hAnsi="Calibri" w:eastAsia="Calibri" w:cs="Calibri"/>
          <w:i/>
          <w:iCs/>
          <w:color w:val="000000"/>
          <w:sz w:val="22"/>
          <w:szCs w:val="22"/>
        </w:rPr>
        <w:t xml:space="preserve">Phymatotrichum</w:t>
      </w:r>
      <w:r>
        <w:rPr>
          <w:rFonts w:ascii="Calibri" w:hAnsi="Calibri" w:eastAsia="Calibri" w:cs="Calibri"/>
          <w:color w:val="000000"/>
          <w:sz w:val="22"/>
          <w:szCs w:val="22"/>
        </w:rPr>
        <w:t xml:space="preserve"> root rot in cotton: environmental correlates of final incidence and forecasting criteria.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109</w:t>
      </w:r>
      <w:r>
        <w:rPr>
          <w:rFonts w:ascii="Calibri" w:hAnsi="Calibri" w:eastAsia="Calibri" w:cs="Calibri"/>
          <w:color w:val="000000"/>
          <w:sz w:val="22"/>
          <w:szCs w:val="22"/>
        </w:rPr>
        <w:t xml:space="preserve">(3), 523-534.</w:t>
      </w:r>
    </w:p>
    <w:p>
      <w:pPr>
        <w:widowControl w:val="on"/>
        <w:pBdr/>
        <w:spacing w:before="220" w:after="220" w:line="240" w:lineRule="auto"/>
        <w:ind w:left="0" w:right="0"/>
        <w:jc w:val="left"/>
      </w:pPr>
      <w:r>
        <w:rPr>
          <w:rFonts w:ascii="Calibri" w:hAnsi="Calibri" w:eastAsia="Calibri" w:cs="Calibri"/>
          <w:color w:val="000000"/>
          <w:sz w:val="22"/>
          <w:szCs w:val="22"/>
        </w:rPr>
        <w:t xml:space="preserve">Kankanala P, Jones P, Nandety RS, Jacobson DA, Mysore KS (2020) Plasticity of </w:t>
      </w:r>
      <w:r>
        <w:rPr>
          <w:rFonts w:ascii="Calibri" w:hAnsi="Calibri" w:eastAsia="Calibri" w:cs="Calibri"/>
          <w:i/>
          <w:iCs/>
          <w:color w:val="000000"/>
          <w:sz w:val="22"/>
          <w:szCs w:val="22"/>
        </w:rPr>
        <w:t xml:space="preserve">Phymatotrichopsis omnivora</w:t>
      </w:r>
      <w:r>
        <w:rPr>
          <w:rFonts w:ascii="Calibri" w:hAnsi="Calibri" w:eastAsia="Calibri" w:cs="Calibri"/>
          <w:color w:val="000000"/>
          <w:sz w:val="22"/>
          <w:szCs w:val="22"/>
        </w:rPr>
        <w:t xml:space="preserve"> infection strategies is dependent on host and nonhost plant responses</w:t>
      </w:r>
      <w:r>
        <w:rPr>
          <w:rFonts w:ascii="Calibri" w:hAnsi="Calibri" w:eastAsia="Calibri" w:cs="Calibri"/>
          <w:i/>
          <w:iCs/>
          <w:color w:val="000000"/>
          <w:sz w:val="22"/>
          <w:szCs w:val="22"/>
        </w:rPr>
        <w:t xml:space="preserve">. Plant Cell and Environment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1084–1101.</w:t>
      </w:r>
    </w:p>
    <w:p>
      <w:pPr>
        <w:widowControl w:val="on"/>
        <w:pBdr/>
        <w:spacing w:before="220" w:after="220" w:line="240" w:lineRule="auto"/>
        <w:ind w:left="0" w:right="0"/>
        <w:jc w:val="left"/>
      </w:pPr>
      <w:r>
        <w:rPr>
          <w:rFonts w:ascii="Calibri" w:hAnsi="Calibri" w:eastAsia="Calibri" w:cs="Calibri"/>
          <w:color w:val="000000"/>
          <w:sz w:val="22"/>
          <w:szCs w:val="22"/>
        </w:rPr>
        <w:t xml:space="preserve">Kenerley CM, Stack JP (1987) Influence of assessment methods on selection of fungal antagonists of the sclerotium-forming fungus </w:t>
      </w:r>
      <w:r>
        <w:rPr>
          <w:rFonts w:ascii="Calibri" w:hAnsi="Calibri" w:eastAsia="Calibri" w:cs="Calibri"/>
          <w:i/>
          <w:iCs/>
          <w:color w:val="000000"/>
          <w:sz w:val="22"/>
          <w:szCs w:val="22"/>
        </w:rPr>
        <w:t xml:space="preserve">Phymatotrichum omnivorum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Canadian Journal of Microbiology</w:t>
      </w:r>
      <w:r>
        <w:rPr>
          <w:rFonts w:ascii="Calibri" w:hAnsi="Calibri" w:eastAsia="Calibri" w:cs="Calibri"/>
          <w:color w:val="000000"/>
          <w:sz w:val="22"/>
          <w:szCs w:val="22"/>
        </w:rPr>
        <w:t xml:space="preserve"> 33, 632-635.</w:t>
      </w:r>
    </w:p>
    <w:p>
      <w:pPr>
        <w:widowControl w:val="on"/>
        <w:pBdr/>
        <w:spacing w:before="220" w:after="220" w:line="240" w:lineRule="auto"/>
        <w:ind w:left="0" w:right="0"/>
        <w:jc w:val="left"/>
      </w:pPr>
      <w:r>
        <w:rPr>
          <w:rFonts w:ascii="Calibri" w:hAnsi="Calibri" w:eastAsia="Calibri" w:cs="Calibri"/>
          <w:color w:val="000000"/>
          <w:sz w:val="22"/>
          <w:szCs w:val="22"/>
        </w:rPr>
        <w:t xml:space="preserve">Lyda SD (1972) Root rot of cotton in the United States and West Pakistan. </w:t>
      </w:r>
      <w:r>
        <w:rPr>
          <w:rFonts w:ascii="Calibri" w:hAnsi="Calibri" w:eastAsia="Calibri" w:cs="Calibri"/>
          <w:i/>
          <w:iCs/>
          <w:color w:val="000000"/>
          <w:sz w:val="22"/>
          <w:szCs w:val="22"/>
        </w:rPr>
        <w:t xml:space="preserve">Proc. Beltwide Cotton Prod. Res. Conf.</w:t>
      </w:r>
      <w:r>
        <w:rPr>
          <w:rFonts w:ascii="Calibri" w:hAnsi="Calibri" w:eastAsia="Calibri" w:cs="Calibri"/>
          <w:color w:val="000000"/>
          <w:sz w:val="22"/>
          <w:szCs w:val="22"/>
        </w:rPr>
        <w:t xml:space="preserve"> 32, 22-23.</w:t>
      </w:r>
    </w:p>
    <w:p>
      <w:pPr>
        <w:widowControl w:val="on"/>
        <w:pBdr/>
        <w:spacing w:before="220" w:after="220" w:line="240" w:lineRule="auto"/>
        <w:ind w:left="0" w:right="0"/>
        <w:jc w:val="left"/>
      </w:pPr>
      <w:r>
        <w:rPr>
          <w:rFonts w:ascii="Calibri" w:hAnsi="Calibri" w:eastAsia="Calibri" w:cs="Calibri"/>
          <w:color w:val="000000"/>
          <w:sz w:val="22"/>
          <w:szCs w:val="22"/>
        </w:rPr>
        <w:t xml:space="preserve">Marek SM, Hansen K, Romanish M, Thorn RG (2009) Molecular systematics of the cotton root rot pathogen, </w:t>
      </w:r>
      <w:r>
        <w:rPr>
          <w:rFonts w:ascii="Calibri" w:hAnsi="Calibri" w:eastAsia="Calibri" w:cs="Calibri"/>
          <w:i/>
          <w:iCs/>
          <w:color w:val="000000"/>
          <w:sz w:val="22"/>
          <w:szCs w:val="22"/>
        </w:rPr>
        <w:t xml:space="preserve">Phymatotrichopsis omnivora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Persoonia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63-74.</w:t>
      </w:r>
    </w:p>
    <w:p>
      <w:pPr>
        <w:widowControl w:val="on"/>
        <w:pBdr/>
        <w:spacing w:before="220" w:after="220" w:line="240" w:lineRule="auto"/>
        <w:ind w:left="0" w:right="0"/>
        <w:jc w:val="left"/>
      </w:pPr>
      <w:r>
        <w:rPr>
          <w:rFonts w:ascii="Calibri" w:hAnsi="Calibri" w:eastAsia="Calibri" w:cs="Calibri"/>
          <w:color w:val="000000"/>
          <w:sz w:val="22"/>
          <w:szCs w:val="22"/>
        </w:rPr>
        <w:t xml:space="preserve">Martínez-Escudero LE, Melgoza-Castillo A, Pérez-Leal R, Ortega-Rodríguez A, Villalobos-Pérez E (2016) Estado del arte Phymatotrichopsis omnivora (SHEAR) duggar, revisión y actualidad. Revista Biológico Agropecuaria Tuxpan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(1), 103-114.</w:t>
      </w:r>
    </w:p>
    <w:p>
      <w:pPr>
        <w:widowControl w:val="on"/>
        <w:pBdr/>
        <w:spacing w:before="220" w:after="220" w:line="240" w:lineRule="auto"/>
        <w:ind w:left="0" w:right="0"/>
        <w:jc w:val="left"/>
      </w:pPr>
      <w:r>
        <w:rPr>
          <w:rFonts w:ascii="Calibri" w:hAnsi="Calibri" w:eastAsia="Calibri" w:cs="Calibri"/>
          <w:color w:val="000000"/>
          <w:sz w:val="22"/>
          <w:szCs w:val="22"/>
        </w:rPr>
        <w:t xml:space="preserve">Mattupalli C, Moffet C, Shah K, Young CA (2018) Supervised classification of RGB aerial imagery acquired by manned and unmanned aircrafts to evaluate a root rot disease. </w:t>
      </w:r>
      <w:r>
        <w:rPr>
          <w:rFonts w:ascii="Calibri" w:hAnsi="Calibri" w:eastAsia="Calibri" w:cs="Calibri"/>
          <w:i/>
          <w:iCs/>
          <w:color w:val="000000"/>
          <w:sz w:val="22"/>
          <w:szCs w:val="22"/>
        </w:rPr>
        <w:t xml:space="preserve">Remote Sensing</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917. DOI:org/10.3390/rs10060917 </w:t>
      </w:r>
    </w:p>
    <w:p>
      <w:pPr>
        <w:widowControl w:val="on"/>
        <w:pBdr/>
        <w:spacing w:before="220" w:after="220" w:line="240" w:lineRule="auto"/>
        <w:ind w:left="0" w:right="0"/>
        <w:jc w:val="left"/>
      </w:pPr>
      <w:r>
        <w:rPr>
          <w:rFonts w:ascii="Calibri" w:hAnsi="Calibri" w:eastAsia="Calibri" w:cs="Calibri"/>
          <w:color w:val="000000"/>
          <w:sz w:val="22"/>
          <w:szCs w:val="22"/>
        </w:rPr>
        <w:t xml:space="preserve">Mattupalli C, Seethepalli A, York LM, Young CA (2019) Digital imaging to evaluate root system architectural changes associated with soil biotic factors. </w:t>
      </w:r>
      <w:r>
        <w:rPr>
          <w:rFonts w:ascii="Calibri" w:hAnsi="Calibri" w:eastAsia="Calibri" w:cs="Calibri"/>
          <w:i/>
          <w:iCs/>
          <w:color w:val="000000"/>
          <w:sz w:val="22"/>
          <w:szCs w:val="22"/>
        </w:rPr>
        <w:t xml:space="preserve">Phytobiomes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102-11 </w:t>
      </w:r>
      <w:hyperlink r:id="rId50816a8258e455e3b" w:history="1">
        <w:r>
          <w:rPr>
            <w:rFonts w:ascii="Calibri" w:hAnsi="Calibri" w:eastAsia="Calibri" w:cs="Calibri"/>
            <w:color w:val="0000CC"/>
            <w:sz w:val="22"/>
            <w:szCs w:val="22"/>
            <w:u w:val="single"/>
          </w:rPr>
          <w:t xml:space="preserve">https://doi.org/10.1094/PBIOMES-12-18-0062-R</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Mattupalli C, Shiller J, Kankanala P, Krom ND, Marek S, Mysore KS, Young C (2021) The first genomic resources for </w:t>
      </w:r>
      <w:r>
        <w:rPr>
          <w:rFonts w:ascii="Calibri" w:hAnsi="Calibri" w:eastAsia="Calibri" w:cs="Calibri"/>
          <w:i/>
          <w:iCs/>
          <w:color w:val="000000"/>
          <w:sz w:val="22"/>
          <w:szCs w:val="22"/>
        </w:rPr>
        <w:t xml:space="preserve">Phymatotrichopsis omnivora</w:t>
      </w:r>
      <w:r>
        <w:rPr>
          <w:rFonts w:ascii="Calibri" w:hAnsi="Calibri" w:eastAsia="Calibri" w:cs="Calibri"/>
          <w:color w:val="000000"/>
          <w:sz w:val="22"/>
          <w:szCs w:val="22"/>
        </w:rPr>
        <w:t xml:space="preserve">, a soilborne pezizomycete pathogen with a broad host range.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(early view) </w:t>
      </w:r>
      <w:hyperlink r:id="rId29926a8258e455ebe" w:history="1">
        <w:r>
          <w:rPr>
            <w:rFonts w:ascii="Calibri" w:hAnsi="Calibri" w:eastAsia="Calibri" w:cs="Calibri"/>
            <w:color w:val="0000CC"/>
            <w:sz w:val="22"/>
            <w:szCs w:val="22"/>
            <w:u w:val="single"/>
          </w:rPr>
          <w:t xml:space="preserve">https://doi.org/10.1094/PHYTO-01-21-0014-A</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Mulrean EN, Hine RB, Mueller JP (1984) Effect of </w:t>
      </w:r>
      <w:r>
        <w:rPr>
          <w:rFonts w:ascii="Calibri" w:hAnsi="Calibri" w:eastAsia="Calibri" w:cs="Calibri"/>
          <w:i/>
          <w:iCs/>
          <w:color w:val="000000"/>
          <w:sz w:val="22"/>
          <w:szCs w:val="22"/>
        </w:rPr>
        <w:t xml:space="preserve">Phymatotrichum</w:t>
      </w:r>
      <w:r>
        <w:rPr>
          <w:rFonts w:ascii="Calibri" w:hAnsi="Calibri" w:eastAsia="Calibri" w:cs="Calibri"/>
          <w:color w:val="000000"/>
          <w:sz w:val="22"/>
          <w:szCs w:val="22"/>
        </w:rPr>
        <w:t xml:space="preserve"> root rot on yield and seed and lint quality in </w:t>
      </w:r>
      <w:r>
        <w:rPr>
          <w:rFonts w:ascii="Calibri" w:hAnsi="Calibri" w:eastAsia="Calibri" w:cs="Calibri"/>
          <w:i/>
          <w:iCs/>
          <w:color w:val="000000"/>
          <w:sz w:val="22"/>
          <w:szCs w:val="22"/>
        </w:rPr>
        <w:t xml:space="preserve">Gossypium hirsutum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G. barbadense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(5), 381-383.</w:t>
      </w:r>
    </w:p>
    <w:p>
      <w:pPr>
        <w:widowControl w:val="on"/>
        <w:pBdr/>
        <w:spacing w:before="220" w:after="220" w:line="240" w:lineRule="auto"/>
        <w:ind w:left="0" w:right="0"/>
        <w:jc w:val="left"/>
      </w:pPr>
      <w:r>
        <w:rPr>
          <w:rFonts w:ascii="Calibri" w:hAnsi="Calibri" w:eastAsia="Calibri" w:cs="Calibri"/>
          <w:color w:val="000000"/>
          <w:sz w:val="22"/>
          <w:szCs w:val="22"/>
        </w:rPr>
        <w:t xml:space="preserve">Norton R, Olsen MW, Mostafa A (2014) Efficacy of flutriafol fungicide for control of cotton root rot in Arizona in 2012 and 2013 field trials. </w:t>
      </w:r>
      <w:r>
        <w:rPr>
          <w:rFonts w:ascii="Calibri" w:hAnsi="Calibri" w:eastAsia="Calibri" w:cs="Calibri"/>
          <w:i/>
          <w:iCs/>
          <w:color w:val="000000"/>
          <w:sz w:val="22"/>
          <w:szCs w:val="22"/>
        </w:rPr>
        <w:t xml:space="preserve">Beltwide Cotton Prod. Res. Conf.</w:t>
      </w:r>
      <w:r>
        <w:rPr>
          <w:rFonts w:ascii="Calibri" w:hAnsi="Calibri" w:eastAsia="Calibri" w:cs="Calibri"/>
          <w:color w:val="000000"/>
          <w:sz w:val="22"/>
          <w:szCs w:val="22"/>
        </w:rPr>
        <w:t xml:space="preserve"> poster abstract.</w:t>
      </w:r>
    </w:p>
    <w:p>
      <w:pPr>
        <w:widowControl w:val="on"/>
        <w:pBdr/>
        <w:spacing w:before="220" w:after="220" w:line="240" w:lineRule="auto"/>
        <w:ind w:left="0" w:right="0"/>
        <w:jc w:val="left"/>
      </w:pPr>
      <w:r>
        <w:rPr>
          <w:rFonts w:ascii="Calibri" w:hAnsi="Calibri" w:eastAsia="Calibri" w:cs="Calibri"/>
          <w:color w:val="000000"/>
          <w:sz w:val="22"/>
          <w:szCs w:val="22"/>
        </w:rPr>
        <w:t xml:space="preserve">Orellana RG (1973) Sources of resistance to a soilborne fungal disease complex of sunflowers. </w:t>
      </w:r>
      <w:r>
        <w:rPr>
          <w:rFonts w:ascii="Calibri" w:hAnsi="Calibri" w:eastAsia="Calibri" w:cs="Calibri"/>
          <w:i/>
          <w:iCs/>
          <w:color w:val="000000"/>
          <w:sz w:val="22"/>
          <w:szCs w:val="22"/>
        </w:rPr>
        <w:t xml:space="preserve">Plant Disease Reporter</w:t>
      </w:r>
      <w:r>
        <w:rPr>
          <w:rFonts w:ascii="Calibri" w:hAnsi="Calibri" w:eastAsia="Calibri" w:cs="Calibri"/>
          <w:color w:val="000000"/>
          <w:sz w:val="22"/>
          <w:szCs w:val="22"/>
        </w:rPr>
        <w:t xml:space="preserve"> 57, 318-320.</w:t>
      </w:r>
    </w:p>
    <w:p>
      <w:pPr>
        <w:widowControl w:val="on"/>
        <w:pBdr/>
        <w:spacing w:before="220" w:after="220" w:line="240" w:lineRule="auto"/>
        <w:ind w:left="0" w:right="0"/>
        <w:jc w:val="left"/>
      </w:pPr>
      <w:r>
        <w:rPr>
          <w:rFonts w:ascii="Calibri" w:hAnsi="Calibri" w:eastAsia="Calibri" w:cs="Calibri"/>
          <w:color w:val="000000"/>
          <w:sz w:val="22"/>
          <w:szCs w:val="22"/>
        </w:rPr>
        <w:t xml:space="preserve">Percy RG (1983) Potential range of </w:t>
      </w:r>
      <w:r>
        <w:rPr>
          <w:rFonts w:ascii="Calibri" w:hAnsi="Calibri" w:eastAsia="Calibri" w:cs="Calibri"/>
          <w:i/>
          <w:iCs/>
          <w:color w:val="000000"/>
          <w:sz w:val="22"/>
          <w:szCs w:val="22"/>
        </w:rPr>
        <w:t xml:space="preserve">Phymatotrichum omnivorum</w:t>
      </w:r>
      <w:r>
        <w:rPr>
          <w:rFonts w:ascii="Calibri" w:hAnsi="Calibri" w:eastAsia="Calibri" w:cs="Calibri"/>
          <w:color w:val="000000"/>
          <w:sz w:val="22"/>
          <w:szCs w:val="22"/>
        </w:rPr>
        <w:t xml:space="preserve"> as determined by edaphic factors.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67</w:t>
      </w:r>
      <w:r>
        <w:rPr>
          <w:rFonts w:ascii="Calibri" w:hAnsi="Calibri" w:eastAsia="Calibri" w:cs="Calibri"/>
          <w:color w:val="000000"/>
          <w:sz w:val="22"/>
          <w:szCs w:val="22"/>
        </w:rPr>
        <w:t xml:space="preserve">(9), 981-983.</w:t>
      </w:r>
    </w:p>
    <w:p>
      <w:pPr>
        <w:widowControl w:val="on"/>
        <w:pBdr/>
        <w:spacing w:before="220" w:after="220" w:line="240" w:lineRule="auto"/>
        <w:ind w:left="0" w:right="0"/>
        <w:jc w:val="left"/>
      </w:pPr>
      <w:r>
        <w:rPr>
          <w:rFonts w:ascii="Calibri" w:hAnsi="Calibri" w:eastAsia="Calibri" w:cs="Calibri"/>
          <w:color w:val="000000"/>
          <w:sz w:val="22"/>
          <w:szCs w:val="22"/>
        </w:rPr>
        <w:t xml:space="preserve">Riggs JL (2001) </w:t>
      </w:r>
      <w:r>
        <w:rPr>
          <w:rFonts w:ascii="Calibri" w:hAnsi="Calibri" w:eastAsia="Calibri" w:cs="Calibri"/>
          <w:i/>
          <w:iCs/>
          <w:color w:val="000000"/>
          <w:sz w:val="22"/>
          <w:szCs w:val="22"/>
        </w:rPr>
        <w:t xml:space="preserve">Phymatotrichum</w:t>
      </w:r>
      <w:r>
        <w:rPr>
          <w:rFonts w:ascii="Calibri" w:hAnsi="Calibri" w:eastAsia="Calibri" w:cs="Calibri"/>
          <w:color w:val="000000"/>
          <w:sz w:val="22"/>
          <w:szCs w:val="22"/>
        </w:rPr>
        <w:t xml:space="preserve"> root rot. In: Kirkpatrick, T.L.; Rothrock, C.S. (Editors) </w:t>
      </w:r>
      <w:r>
        <w:rPr>
          <w:rFonts w:ascii="Calibri" w:hAnsi="Calibri" w:eastAsia="Calibri" w:cs="Calibri"/>
          <w:i/>
          <w:iCs/>
          <w:color w:val="000000"/>
          <w:sz w:val="22"/>
          <w:szCs w:val="22"/>
        </w:rPr>
        <w:t xml:space="preserve">Compendium of Cotton Diseases</w:t>
      </w:r>
      <w:r>
        <w:rPr>
          <w:rFonts w:ascii="Calibri" w:hAnsi="Calibri" w:eastAsia="Calibri" w:cs="Calibri"/>
          <w:color w:val="000000"/>
          <w:sz w:val="22"/>
          <w:szCs w:val="22"/>
        </w:rPr>
        <w:t xml:space="preserve">. pp. 31-33, APS Press, St Paul, USA.</w:t>
      </w:r>
    </w:p>
    <w:p>
      <w:pPr>
        <w:widowControl w:val="on"/>
        <w:pBdr/>
        <w:spacing w:before="220" w:after="220" w:line="240" w:lineRule="auto"/>
        <w:ind w:left="0" w:right="0"/>
        <w:jc w:val="left"/>
      </w:pPr>
      <w:r>
        <w:rPr>
          <w:rFonts w:ascii="Calibri" w:hAnsi="Calibri" w:eastAsia="Calibri" w:cs="Calibri"/>
          <w:color w:val="000000"/>
          <w:sz w:val="22"/>
          <w:szCs w:val="22"/>
        </w:rPr>
        <w:t xml:space="preserve">Rush CM, Gerik TJ, Lyda SD (1984 a) Factors affecting symptom appearance and development of </w:t>
      </w:r>
      <w:r>
        <w:rPr>
          <w:rFonts w:ascii="Calibri" w:hAnsi="Calibri" w:eastAsia="Calibri" w:cs="Calibri"/>
          <w:i/>
          <w:iCs/>
          <w:color w:val="000000"/>
          <w:sz w:val="22"/>
          <w:szCs w:val="22"/>
        </w:rPr>
        <w:t xml:space="preserve">Phymatotrichum</w:t>
      </w:r>
      <w:r>
        <w:rPr>
          <w:rFonts w:ascii="Calibri" w:hAnsi="Calibri" w:eastAsia="Calibri" w:cs="Calibri"/>
          <w:color w:val="000000"/>
          <w:sz w:val="22"/>
          <w:szCs w:val="22"/>
        </w:rPr>
        <w:t xml:space="preserve"> root rot of cotton.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74</w:t>
      </w:r>
      <w:r>
        <w:rPr>
          <w:rFonts w:ascii="Calibri" w:hAnsi="Calibri" w:eastAsia="Calibri" w:cs="Calibri"/>
          <w:color w:val="000000"/>
          <w:sz w:val="22"/>
          <w:szCs w:val="22"/>
        </w:rPr>
        <w:t xml:space="preserve">(12), 1466-1469.</w:t>
      </w:r>
    </w:p>
    <w:p>
      <w:pPr>
        <w:widowControl w:val="on"/>
        <w:pBdr/>
        <w:spacing w:before="220" w:after="220" w:line="240" w:lineRule="auto"/>
        <w:ind w:left="0" w:right="0"/>
        <w:jc w:val="left"/>
      </w:pPr>
      <w:r>
        <w:rPr>
          <w:rFonts w:ascii="Calibri" w:hAnsi="Calibri" w:eastAsia="Calibri" w:cs="Calibri"/>
          <w:color w:val="000000"/>
          <w:sz w:val="22"/>
          <w:szCs w:val="22"/>
        </w:rPr>
        <w:t xml:space="preserve">Rush CM, Gerik TJ, Lyda SD (1984 b) Interactions between </w:t>
      </w:r>
      <w:r>
        <w:rPr>
          <w:rFonts w:ascii="Calibri" w:hAnsi="Calibri" w:eastAsia="Calibri" w:cs="Calibri"/>
          <w:i/>
          <w:iCs/>
          <w:color w:val="000000"/>
          <w:sz w:val="22"/>
          <w:szCs w:val="22"/>
        </w:rPr>
        <w:t xml:space="preserve">Phymatotrichum omnivorum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Sorghum bicolor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68(6), 500-501.</w:t>
      </w:r>
    </w:p>
    <w:p>
      <w:pPr>
        <w:widowControl w:val="on"/>
        <w:pBdr/>
        <w:spacing w:before="220" w:after="220" w:line="240" w:lineRule="auto"/>
        <w:ind w:left="0" w:right="0"/>
        <w:jc w:val="left"/>
      </w:pPr>
      <w:r>
        <w:rPr>
          <w:rFonts w:ascii="Calibri" w:hAnsi="Calibri" w:eastAsia="Calibri" w:cs="Calibri"/>
          <w:color w:val="000000"/>
          <w:sz w:val="22"/>
          <w:szCs w:val="22"/>
        </w:rPr>
        <w:t xml:space="preserve">Rush CM, Lyda SD, Gerik TJ (1984 c) The relationship between time of cortical senescence and foliar symptom development of </w:t>
      </w:r>
      <w:r>
        <w:rPr>
          <w:rFonts w:ascii="Calibri" w:hAnsi="Calibri" w:eastAsia="Calibri" w:cs="Calibri"/>
          <w:i/>
          <w:iCs/>
          <w:color w:val="000000"/>
          <w:sz w:val="22"/>
          <w:szCs w:val="22"/>
        </w:rPr>
        <w:t xml:space="preserve">Phymatotrichum</w:t>
      </w:r>
      <w:r>
        <w:rPr>
          <w:rFonts w:ascii="Calibri" w:hAnsi="Calibri" w:eastAsia="Calibri" w:cs="Calibri"/>
          <w:color w:val="000000"/>
          <w:sz w:val="22"/>
          <w:szCs w:val="22"/>
        </w:rPr>
        <w:t xml:space="preserve"> root rot of cotton.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74, 1464-1466.</w:t>
      </w:r>
    </w:p>
    <w:p>
      <w:pPr>
        <w:widowControl w:val="on"/>
        <w:pBdr/>
        <w:spacing w:before="220" w:after="220" w:line="240" w:lineRule="auto"/>
        <w:ind w:left="0" w:right="0"/>
        <w:jc w:val="left"/>
      </w:pPr>
      <w:r>
        <w:rPr>
          <w:rFonts w:ascii="Calibri" w:hAnsi="Calibri" w:eastAsia="Calibri" w:cs="Calibri"/>
          <w:color w:val="000000"/>
          <w:sz w:val="22"/>
          <w:szCs w:val="22"/>
        </w:rPr>
        <w:t xml:space="preserve">Streets RB (1937) </w:t>
      </w:r>
      <w:r>
        <w:rPr>
          <w:rFonts w:ascii="Calibri" w:hAnsi="Calibri" w:eastAsia="Calibri" w:cs="Calibri"/>
          <w:i/>
          <w:iCs/>
          <w:color w:val="000000"/>
          <w:sz w:val="22"/>
          <w:szCs w:val="22"/>
        </w:rPr>
        <w:t xml:space="preserve">Phymatotrichum</w:t>
      </w:r>
      <w:r>
        <w:rPr>
          <w:rFonts w:ascii="Calibri" w:hAnsi="Calibri" w:eastAsia="Calibri" w:cs="Calibri"/>
          <w:color w:val="000000"/>
          <w:sz w:val="22"/>
          <w:szCs w:val="22"/>
        </w:rPr>
        <w:t xml:space="preserve"> (cotton or Texas) root rot in Arizona. </w:t>
      </w:r>
      <w:r>
        <w:rPr>
          <w:rFonts w:ascii="Calibri" w:hAnsi="Calibri" w:eastAsia="Calibri" w:cs="Calibri"/>
          <w:i/>
          <w:iCs/>
          <w:color w:val="000000"/>
          <w:sz w:val="22"/>
          <w:szCs w:val="22"/>
        </w:rPr>
        <w:t xml:space="preserve">Technical Bulletin, Arizona University College of Agriculture</w:t>
      </w:r>
      <w:r>
        <w:rPr>
          <w:rFonts w:ascii="Calibri" w:hAnsi="Calibri" w:eastAsia="Calibri" w:cs="Calibri"/>
          <w:color w:val="000000"/>
          <w:sz w:val="22"/>
          <w:szCs w:val="22"/>
        </w:rPr>
        <w:t xml:space="preserve"> No. 71. Available from </w:t>
      </w:r>
      <w:hyperlink r:id="rId92126a8258e45629f" w:history="1">
        <w:r>
          <w:rPr>
            <w:rFonts w:ascii="Calibri" w:hAnsi="Calibri" w:eastAsia="Calibri" w:cs="Calibri"/>
            <w:color w:val="0000CC"/>
            <w:sz w:val="22"/>
            <w:szCs w:val="22"/>
            <w:u w:val="single"/>
          </w:rPr>
          <w:t xml:space="preserve">https://repository.arizona.edu/handle/10150/190524</w:t>
        </w:r>
      </w:hyperlink>
      <w:r>
        <w:rPr>
          <w:rFonts w:ascii="Calibri" w:hAnsi="Calibri" w:eastAsia="Calibri" w:cs="Calibri"/>
          <w:color w:val="000000"/>
          <w:sz w:val="22"/>
          <w:szCs w:val="22"/>
        </w:rPr>
        <w:t xml:space="preserve"> (last accessed in 2021-12-10)</w:t>
      </w:r>
    </w:p>
    <w:p>
      <w:pPr>
        <w:widowControl w:val="on"/>
        <w:pBdr/>
        <w:spacing w:before="220" w:after="220" w:line="240" w:lineRule="auto"/>
        <w:ind w:left="0" w:right="0"/>
        <w:jc w:val="left"/>
      </w:pPr>
      <w:r>
        <w:rPr>
          <w:rFonts w:ascii="Calibri" w:hAnsi="Calibri" w:eastAsia="Calibri" w:cs="Calibri"/>
          <w:color w:val="000000"/>
          <w:sz w:val="22"/>
          <w:szCs w:val="22"/>
        </w:rPr>
        <w:t xml:space="preserve">Streets RB, Bloss HE (1973) Phymatotrichum root rot. </w:t>
      </w:r>
      <w:r>
        <w:rPr>
          <w:rFonts w:ascii="Calibri" w:hAnsi="Calibri" w:eastAsia="Calibri" w:cs="Calibri"/>
          <w:i/>
          <w:iCs/>
          <w:color w:val="000000"/>
          <w:sz w:val="22"/>
          <w:szCs w:val="22"/>
        </w:rPr>
        <w:t xml:space="preserve">Monographs of the American Phytopathological Society</w:t>
      </w:r>
      <w:r>
        <w:rPr>
          <w:rFonts w:ascii="Calibri" w:hAnsi="Calibri" w:eastAsia="Calibri" w:cs="Calibri"/>
          <w:color w:val="000000"/>
          <w:sz w:val="22"/>
          <w:szCs w:val="22"/>
        </w:rPr>
        <w:t xml:space="preserve"> No. 8, 38 pp.</w:t>
      </w:r>
    </w:p>
    <w:p>
      <w:pPr>
        <w:widowControl w:val="on"/>
        <w:pBdr/>
        <w:spacing w:before="220" w:after="220" w:line="240" w:lineRule="auto"/>
        <w:ind w:left="0" w:right="0"/>
        <w:jc w:val="left"/>
      </w:pPr>
      <w:r>
        <w:rPr>
          <w:rFonts w:ascii="Calibri" w:hAnsi="Calibri" w:eastAsia="Calibri" w:cs="Calibri"/>
          <w:color w:val="000000"/>
          <w:sz w:val="22"/>
          <w:szCs w:val="22"/>
        </w:rPr>
        <w:t xml:space="preserve">Uppalapati SR, Young CA, Marek SM, Mysore KS (2010) </w:t>
      </w:r>
      <w:r>
        <w:rPr>
          <w:rFonts w:ascii="Calibri" w:hAnsi="Calibri" w:eastAsia="Calibri" w:cs="Calibri"/>
          <w:i/>
          <w:iCs/>
          <w:color w:val="000000"/>
          <w:sz w:val="22"/>
          <w:szCs w:val="22"/>
        </w:rPr>
        <w:t xml:space="preserve">Phymatotrichum</w:t>
      </w:r>
      <w:r>
        <w:rPr>
          <w:rFonts w:ascii="Calibri" w:hAnsi="Calibri" w:eastAsia="Calibri" w:cs="Calibri"/>
          <w:color w:val="000000"/>
          <w:sz w:val="22"/>
          <w:szCs w:val="22"/>
        </w:rPr>
        <w:t xml:space="preserve"> (cotton) root rot caused by </w:t>
      </w:r>
      <w:r>
        <w:rPr>
          <w:rFonts w:ascii="Calibri" w:hAnsi="Calibri" w:eastAsia="Calibri" w:cs="Calibri"/>
          <w:i/>
          <w:iCs/>
          <w:color w:val="000000"/>
          <w:sz w:val="22"/>
          <w:szCs w:val="22"/>
        </w:rPr>
        <w:t xml:space="preserve">Phymatotrichopsis omnivora</w:t>
      </w:r>
      <w:r>
        <w:rPr>
          <w:rFonts w:ascii="Calibri" w:hAnsi="Calibri" w:eastAsia="Calibri" w:cs="Calibri"/>
          <w:color w:val="000000"/>
          <w:sz w:val="22"/>
          <w:szCs w:val="22"/>
        </w:rPr>
        <w:t xml:space="preserve">: Retrospects and prospects. </w:t>
      </w:r>
      <w:r>
        <w:rPr>
          <w:rFonts w:ascii="Calibri" w:hAnsi="Calibri" w:eastAsia="Calibri" w:cs="Calibri"/>
          <w:i/>
          <w:iCs/>
          <w:color w:val="000000"/>
          <w:sz w:val="22"/>
          <w:szCs w:val="22"/>
        </w:rPr>
        <w:t xml:space="preserve">Molecular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(3</w:t>
      </w:r>
      <w:r>
        <w:rPr>
          <w:rFonts w:ascii="Calibri" w:hAnsi="Calibri" w:eastAsia="Calibri" w:cs="Calibri"/>
          <w:b/>
          <w:bCs/>
          <w:color w:val="000000"/>
          <w:sz w:val="22"/>
          <w:szCs w:val="22"/>
        </w:rPr>
        <w:t xml:space="preserve">)</w:t>
      </w:r>
      <w:r>
        <w:rPr>
          <w:rFonts w:ascii="Calibri" w:hAnsi="Calibri" w:eastAsia="Calibri" w:cs="Calibri"/>
          <w:color w:val="000000"/>
          <w:sz w:val="22"/>
          <w:szCs w:val="22"/>
        </w:rPr>
        <w:t xml:space="preserve">, 325-334.</w:t>
      </w:r>
    </w:p>
    <w:p>
      <w:pPr>
        <w:widowControl w:val="on"/>
        <w:pBdr/>
        <w:spacing w:before="220" w:after="220" w:line="240" w:lineRule="auto"/>
        <w:ind w:left="0" w:right="0"/>
        <w:jc w:val="left"/>
      </w:pPr>
      <w:r>
        <w:rPr>
          <w:rFonts w:ascii="Calibri" w:hAnsi="Calibri" w:eastAsia="Calibri" w:cs="Calibri"/>
          <w:color w:val="000000"/>
          <w:sz w:val="22"/>
          <w:szCs w:val="22"/>
        </w:rPr>
        <w:t xml:space="preserve">Watkins, G.M. (Editor) (1981) </w:t>
      </w:r>
      <w:r>
        <w:rPr>
          <w:rFonts w:ascii="Calibri" w:hAnsi="Calibri" w:eastAsia="Calibri" w:cs="Calibri"/>
          <w:i/>
          <w:iCs/>
          <w:color w:val="000000"/>
          <w:sz w:val="22"/>
          <w:szCs w:val="22"/>
        </w:rPr>
        <w:t xml:space="preserve">Compendium of cotton diseases</w:t>
      </w:r>
      <w:r>
        <w:rPr>
          <w:rFonts w:ascii="Calibri" w:hAnsi="Calibri" w:eastAsia="Calibri" w:cs="Calibri"/>
          <w:color w:val="000000"/>
          <w:sz w:val="22"/>
          <w:szCs w:val="22"/>
        </w:rPr>
        <w:t xml:space="preserve">. APS Press, St Paul, USA.</w:t>
      </w:r>
    </w:p>
    <w:p>
      <w:pPr>
        <w:widowControl w:val="on"/>
        <w:pBdr/>
        <w:spacing w:before="220" w:after="220" w:line="240" w:lineRule="auto"/>
        <w:ind w:left="0" w:right="0"/>
        <w:jc w:val="left"/>
      </w:pPr>
      <w:r>
        <w:rPr>
          <w:rFonts w:ascii="Calibri" w:hAnsi="Calibri" w:eastAsia="Calibri" w:cs="Calibri"/>
          <w:color w:val="000000"/>
          <w:sz w:val="22"/>
          <w:szCs w:val="22"/>
        </w:rPr>
        <w:t xml:space="preserve">Wheeler JE, Hine RB (1972) Influence of soil temperature and moisture on survival and growth of strands of </w:t>
      </w:r>
      <w:r>
        <w:rPr>
          <w:rFonts w:ascii="Calibri" w:hAnsi="Calibri" w:eastAsia="Calibri" w:cs="Calibri"/>
          <w:i/>
          <w:iCs/>
          <w:color w:val="000000"/>
          <w:sz w:val="22"/>
          <w:szCs w:val="22"/>
        </w:rPr>
        <w:t xml:space="preserve">Phymatotrichum omnivorum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62</w:t>
      </w:r>
      <w:r>
        <w:rPr>
          <w:rFonts w:ascii="Calibri" w:hAnsi="Calibri" w:eastAsia="Calibri" w:cs="Calibri"/>
          <w:color w:val="000000"/>
          <w:sz w:val="22"/>
          <w:szCs w:val="22"/>
        </w:rPr>
        <w:t xml:space="preserve">, 828-832.</w:t>
      </w:r>
    </w:p>
    <w:p>
      <w:pPr>
        <w:widowControl w:val="on"/>
        <w:pBdr/>
        <w:spacing w:before="220" w:after="220" w:line="240" w:lineRule="auto"/>
        <w:ind w:left="0" w:right="0"/>
        <w:jc w:val="left"/>
      </w:pPr>
      <w:r>
        <w:rPr>
          <w:rFonts w:ascii="Calibri" w:hAnsi="Calibri" w:eastAsia="Calibri" w:cs="Calibri"/>
          <w:color w:val="000000"/>
          <w:sz w:val="22"/>
          <w:szCs w:val="22"/>
        </w:rPr>
        <w:t xml:space="preserve">Whitson RS, Hine RB (1986) Activity of propiconazole and other sterol-inhibiting fungicides against </w:t>
      </w:r>
      <w:r>
        <w:rPr>
          <w:rFonts w:ascii="Calibri" w:hAnsi="Calibri" w:eastAsia="Calibri" w:cs="Calibri"/>
          <w:i/>
          <w:iCs/>
          <w:color w:val="000000"/>
          <w:sz w:val="22"/>
          <w:szCs w:val="22"/>
        </w:rPr>
        <w:t xml:space="preserve">Phymatotrichum omnivorum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70</w:t>
      </w:r>
      <w:r>
        <w:rPr>
          <w:rFonts w:ascii="Calibri" w:hAnsi="Calibri" w:eastAsia="Calibri" w:cs="Calibri"/>
          <w:color w:val="000000"/>
          <w:sz w:val="22"/>
          <w:szCs w:val="22"/>
        </w:rPr>
        <w:t xml:space="preserve">(2), 130-133.</w:t>
      </w:r>
    </w:p>
    <w:p>
      <w:pPr>
        <w:widowControl w:val="on"/>
        <w:pBdr/>
        <w:spacing w:before="220" w:after="220" w:line="240" w:lineRule="auto"/>
        <w:ind w:left="0" w:right="0"/>
        <w:jc w:val="left"/>
      </w:pPr>
      <w:r>
        <w:rPr>
          <w:rFonts w:ascii="Calibri" w:hAnsi="Calibri" w:eastAsia="Calibri" w:cs="Calibri"/>
          <w:color w:val="000000"/>
          <w:sz w:val="22"/>
          <w:szCs w:val="22"/>
        </w:rPr>
        <w:t xml:space="preserve">Yang C (2020) Remote sensing and precision agriculture technologies for crop disease detection and management with a practical application example. </w:t>
      </w:r>
      <w:r>
        <w:rPr>
          <w:rFonts w:ascii="Calibri" w:hAnsi="Calibri" w:eastAsia="Calibri" w:cs="Calibri"/>
          <w:i/>
          <w:iCs/>
          <w:color w:val="000000"/>
          <w:sz w:val="22"/>
          <w:szCs w:val="22"/>
        </w:rPr>
        <w:t xml:space="preserve">Engineering</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(5), 528-532.</w:t>
      </w:r>
    </w:p>
    <w:p>
      <w:pPr>
        <w:widowControl w:val="on"/>
        <w:pBdr/>
        <w:spacing w:before="220" w:after="220" w:line="240" w:lineRule="auto"/>
        <w:ind w:left="0" w:right="0"/>
        <w:jc w:val="left"/>
      </w:pPr>
      <w:r>
        <w:rPr>
          <w:rFonts w:ascii="Calibri" w:hAnsi="Calibri" w:eastAsia="Calibri" w:cs="Calibri"/>
          <w:color w:val="000000"/>
          <w:sz w:val="22"/>
          <w:szCs w:val="22"/>
        </w:rPr>
        <w:t xml:space="preserve">Young CA, Uppalapati SR, Mysore KS, Marek SM (2014) </w:t>
      </w:r>
      <w:r>
        <w:rPr>
          <w:rFonts w:ascii="Calibri" w:hAnsi="Calibri" w:eastAsia="Calibri" w:cs="Calibri"/>
          <w:i/>
          <w:iCs/>
          <w:color w:val="000000"/>
          <w:sz w:val="22"/>
          <w:szCs w:val="22"/>
        </w:rPr>
        <w:t xml:space="preserve">Phymatotrichopsis</w:t>
      </w:r>
      <w:r>
        <w:rPr>
          <w:rFonts w:ascii="Calibri" w:hAnsi="Calibri" w:eastAsia="Calibri" w:cs="Calibri"/>
          <w:color w:val="000000"/>
          <w:sz w:val="22"/>
          <w:szCs w:val="22"/>
        </w:rPr>
        <w:t xml:space="preserve"> root rot. In </w:t>
      </w:r>
      <w:r>
        <w:rPr>
          <w:rFonts w:ascii="Calibri" w:hAnsi="Calibri" w:eastAsia="Calibri" w:cs="Calibri"/>
          <w:i/>
          <w:iCs/>
          <w:color w:val="000000"/>
          <w:sz w:val="22"/>
          <w:szCs w:val="22"/>
        </w:rPr>
        <w:t xml:space="preserve">Compendium of Alfalfa Diseases and Pests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Third Edition</w:t>
      </w:r>
      <w:r>
        <w:rPr>
          <w:rFonts w:ascii="Calibri" w:hAnsi="Calibri" w:eastAsia="Calibri" w:cs="Calibri"/>
          <w:color w:val="000000"/>
          <w:sz w:val="22"/>
          <w:szCs w:val="22"/>
        </w:rPr>
        <w:t xml:space="preserve">, Deborah Samac, Landon Rhodes, and William Lamp (Editors), APS Press, St. Paul, MN, P. 44-46.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2022 by Kirankumar S. Mysore (Oklahoma State University), Stephen Marek (Oklahoma State University) and Carolyn Young (Oklahoma State University).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Phymatotrichopsis omnivora</w:t>
      </w:r>
      <w:r>
        <w:rPr>
          <w:rFonts w:ascii="Calibri" w:hAnsi="Calibri" w:eastAsia="Calibri" w:cs="Calibri"/>
          <w:color w:val="000000"/>
          <w:sz w:val="22"/>
          <w:szCs w:val="22"/>
        </w:rPr>
        <w:t xml:space="preserve">. EPPO datasheets on pests recommended for regulation. Available online. </w:t>
      </w:r>
      <w:hyperlink r:id="rId48156a8258e456675"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1979, revised in the two editions of 'Quarantine Pests for Europe' in 1992 and 1997, as well as in 2022.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OEPP/EPPO (1979) Data sheets on quarantine organisms No. 21, </w:t>
      </w:r>
      <w:r>
        <w:rPr>
          <w:rFonts w:ascii="Calibri" w:hAnsi="Calibri" w:eastAsia="Calibri" w:cs="Calibri"/>
          <w:i/>
          <w:iCs/>
          <w:color w:val="000000"/>
          <w:sz w:val="22"/>
          <w:szCs w:val="22"/>
        </w:rPr>
        <w:t xml:space="preserve">Phymatotrichum omnivorum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(2), 91-95. </w:t>
      </w:r>
      <w:hyperlink r:id="rId58946a8258e45676f" w:history="1">
        <w:r>
          <w:rPr>
            <w:rFonts w:ascii="Calibri" w:hAnsi="Calibri" w:eastAsia="Calibri" w:cs="Calibri"/>
            <w:color w:val="0000CC"/>
            <w:sz w:val="22"/>
            <w:szCs w:val="22"/>
            <w:u w:val="single"/>
          </w:rPr>
          <w:t xml:space="preserve">https://onlinelibrary.wiley.com/doi/epdf/10.1111/j.1365-2338.1979.tb02455.x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r>
        <w:drawing>
          <wp:inline distT="0" distB="0" distL="0" distR="0">
            <wp:extent cx="1800000" cy="604800"/>
            <wp:docPr id="43529002" name="name39256a8258e4568ab"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22156a8258e4568aa"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3633493">
    <w:multiLevelType w:val="hybridMultilevel"/>
    <w:lvl w:ilvl="0" w:tplc="81830305">
      <w:start w:val="1"/>
      <w:numFmt w:val="decimal"/>
      <w:lvlText w:val="%1."/>
      <w:lvlJc w:val="left"/>
      <w:pPr>
        <w:ind w:left="720" w:hanging="360"/>
      </w:pPr>
    </w:lvl>
    <w:lvl w:ilvl="1" w:tplc="81830305" w:tentative="1">
      <w:start w:val="1"/>
      <w:numFmt w:val="lowerLetter"/>
      <w:lvlText w:val="%2."/>
      <w:lvlJc w:val="left"/>
      <w:pPr>
        <w:ind w:left="1440" w:hanging="360"/>
      </w:pPr>
    </w:lvl>
    <w:lvl w:ilvl="2" w:tplc="81830305" w:tentative="1">
      <w:start w:val="1"/>
      <w:numFmt w:val="lowerRoman"/>
      <w:lvlText w:val="%3."/>
      <w:lvlJc w:val="right"/>
      <w:pPr>
        <w:ind w:left="2160" w:hanging="180"/>
      </w:pPr>
    </w:lvl>
    <w:lvl w:ilvl="3" w:tplc="81830305" w:tentative="1">
      <w:start w:val="1"/>
      <w:numFmt w:val="decimal"/>
      <w:lvlText w:val="%4."/>
      <w:lvlJc w:val="left"/>
      <w:pPr>
        <w:ind w:left="2880" w:hanging="360"/>
      </w:pPr>
    </w:lvl>
    <w:lvl w:ilvl="4" w:tplc="81830305" w:tentative="1">
      <w:start w:val="1"/>
      <w:numFmt w:val="lowerLetter"/>
      <w:lvlText w:val="%5."/>
      <w:lvlJc w:val="left"/>
      <w:pPr>
        <w:ind w:left="3600" w:hanging="360"/>
      </w:pPr>
    </w:lvl>
    <w:lvl w:ilvl="5" w:tplc="81830305" w:tentative="1">
      <w:start w:val="1"/>
      <w:numFmt w:val="lowerRoman"/>
      <w:lvlText w:val="%6."/>
      <w:lvlJc w:val="right"/>
      <w:pPr>
        <w:ind w:left="4320" w:hanging="180"/>
      </w:pPr>
    </w:lvl>
    <w:lvl w:ilvl="6" w:tplc="81830305" w:tentative="1">
      <w:start w:val="1"/>
      <w:numFmt w:val="decimal"/>
      <w:lvlText w:val="%7."/>
      <w:lvlJc w:val="left"/>
      <w:pPr>
        <w:ind w:left="5040" w:hanging="360"/>
      </w:pPr>
    </w:lvl>
    <w:lvl w:ilvl="7" w:tplc="81830305" w:tentative="1">
      <w:start w:val="1"/>
      <w:numFmt w:val="lowerLetter"/>
      <w:lvlText w:val="%8."/>
      <w:lvlJc w:val="left"/>
      <w:pPr>
        <w:ind w:left="5760" w:hanging="360"/>
      </w:pPr>
    </w:lvl>
    <w:lvl w:ilvl="8" w:tplc="81830305" w:tentative="1">
      <w:start w:val="1"/>
      <w:numFmt w:val="lowerRoman"/>
      <w:lvlText w:val="%9."/>
      <w:lvlJc w:val="right"/>
      <w:pPr>
        <w:ind w:left="6480" w:hanging="180"/>
      </w:pPr>
    </w:lvl>
  </w:abstractNum>
  <w:abstractNum w:abstractNumId="53633492">
    <w:multiLevelType w:val="hybridMultilevel"/>
    <w:lvl w:ilvl="0" w:tplc="5876936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3633492">
    <w:abstractNumId w:val="53633492"/>
  </w:num>
  <w:num w:numId="53633493">
    <w:abstractNumId w:val="53633493"/>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83343591" Type="http://schemas.microsoft.com/office/2011/relationships/commentsExtended" Target="commentsExtended.xml"/><Relationship Id="rId335618788" Type="http://schemas.microsoft.com/office/2011/relationships/people" Target="people.xml"/><Relationship Id="rId15996a8258e44e4df" Type="http://schemas.openxmlformats.org/officeDocument/2006/relationships/hyperlink" Target="https://gd.eppo.int/taxon/PHMPOM/" TargetMode="External"/><Relationship Id="rId21846a8258e44e54d" Type="http://schemas.openxmlformats.org/officeDocument/2006/relationships/hyperlink" Target="https://gd.eppo.int/taxon/PHMPOM/categorization" TargetMode="External"/><Relationship Id="rId39216a8258e44eeb0" Type="http://schemas.openxmlformats.org/officeDocument/2006/relationships/hyperlink" Target="https://gd.eppo.int/taxon/PHMPOM/photos" TargetMode="External"/><Relationship Id="rId56766a8258e4559a7" Type="http://schemas.openxmlformats.org/officeDocument/2006/relationships/hyperlink" Target="https://www.engormix.com/agricultura/articulos/peach-root-rot-phymatotrichopsis-t39833.htm" TargetMode="External"/><Relationship Id="rId52076a8258e455a43" Type="http://schemas.openxmlformats.org/officeDocument/2006/relationships/hyperlink" Target="https://doi.org/10.2903/j.efsa.2019.5619" TargetMode="External"/><Relationship Id="rId59096a8258e455a77" Type="http://schemas.openxmlformats.org/officeDocument/2006/relationships/hyperlink" Target="https://gd.eppo.int/standards/PM8/" TargetMode="External"/><Relationship Id="rId12676a8258e455ac0" Type="http://schemas.openxmlformats.org/officeDocument/2006/relationships/hyperlink" Target="https://nt.ars-grin.gov/fungaldatabases/" TargetMode="External"/><Relationship Id="rId50816a8258e455e3b" Type="http://schemas.openxmlformats.org/officeDocument/2006/relationships/hyperlink" Target="https://doi.org/10.1094/PBIOMES-12-18-0062-R" TargetMode="External"/><Relationship Id="rId29926a8258e455ebe" Type="http://schemas.openxmlformats.org/officeDocument/2006/relationships/hyperlink" Target="https://doi.org/10.1094/PHYTO-01-21-0014-A" TargetMode="External"/><Relationship Id="rId92126a8258e45629f" Type="http://schemas.openxmlformats.org/officeDocument/2006/relationships/hyperlink" Target="https://repository.arizona.edu/handle/10150/190524" TargetMode="External"/><Relationship Id="rId48156a8258e456675" Type="http://schemas.openxmlformats.org/officeDocument/2006/relationships/hyperlink" Target="https://gd.eppo.int" TargetMode="External"/><Relationship Id="rId58946a8258e45676f" Type="http://schemas.openxmlformats.org/officeDocument/2006/relationships/hyperlink" Target="https://onlinelibrary.wiley.com/doi/epdf/10.1111/j.1365-2338.1979.tb02455.x" TargetMode="External"/><Relationship Id="rId37556a8258e44ed5f" Type="http://schemas.openxmlformats.org/officeDocument/2006/relationships/image" Target="media/imgrId37556a8258e44ed5f.jpg"/><Relationship Id="rId63866a8258e454bc0" Type="http://schemas.openxmlformats.org/officeDocument/2006/relationships/image" Target="media/imgrId63866a8258e454bc0.jpg"/><Relationship Id="rId22156a8258e4568aa" Type="http://schemas.openxmlformats.org/officeDocument/2006/relationships/image" Target="media/imgrId22156a8258e4568aa.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