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Phymatotrichopsis omnivora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Phymatotrichopsis omnivora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(Shear) Hennebert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Pezizomycetes: Pezizales: Rhizinaceae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Ozonium omnivorum</w:t>
            </w:r>
            <w:r>
              <w:rPr>
                <w:rFonts w:ascii="Calibri" w:hAnsi="Calibri" w:eastAsia="Calibri" w:cs="Calibri"/>
                <w:color w:val="000000"/>
                <w:position w:val="-3"/>
                <w:sz w:val="22"/>
                <w:szCs w:val="22"/>
              </w:rPr>
              <w:t xml:space="preserve"> Shear, </w:t>
            </w:r>
            <w:r>
              <w:rPr>
                <w:rFonts w:ascii="Calibri" w:hAnsi="Calibri" w:eastAsia="Calibri" w:cs="Calibri"/>
                <w:i/>
                <w:iCs/>
                <w:color w:val="000000"/>
                <w:position w:val="-3"/>
                <w:sz w:val="22"/>
                <w:szCs w:val="22"/>
              </w:rPr>
              <w:t xml:space="preserve">Phymatotrichum omnivorum</w:t>
            </w:r>
            <w:r>
              <w:rPr>
                <w:rFonts w:ascii="Calibri" w:hAnsi="Calibri" w:eastAsia="Calibri" w:cs="Calibri"/>
                <w:color w:val="000000"/>
                <w:position w:val="-3"/>
                <w:sz w:val="22"/>
                <w:szCs w:val="22"/>
              </w:rPr>
              <w:t xml:space="preserve"> (Shear) Duggar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Ozonium root rot, Phymatotrichopsis root rot (US), Texas root rot of alfalfa, Texas root rot of bean, Texas root rot of cotton, Texas root rot of grapevine, cotton root rot (US), phymatotrichum root rot, root rot of conifers, root rot of soybean, soft rot of cotton</w:t>
            </w:r>
            <w:hyperlink r:id="rId42696697e2741634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2386697e274163a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PHMPOM</w:t>
            </w:r>
          </w:p>
        </w:tc>
        <w:tc>
          <w:tcPr>
            <w:tcW w:w="2000" w:type="pct"/>
            <w:tcMar>
              <w:top w:w="15" w:type="dxa"/>
              <w:left w:w="15" w:type="dxa"/>
              <w:bottom w:w="15" w:type="dxa"/>
              <w:right w:w="15" w:type="dxa"/>
            </w:tcMar>
            <w:vAlign w:val="center"/>
          </w:tcPr>
          <w:p>
            <w:r>
              <w:rPr>
                <w:position w:val="8"/>
              </w:rPr>
              <w:drawing>
                <wp:inline distT="0" distB="0" distL="0" distR="0">
                  <wp:extent cx="2160000" cy="0"/>
                  <wp:docPr id="36515851" name="name86466697e274164e0" descr="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jpg"/>
                          <pic:cNvPicPr/>
                        </pic:nvPicPr>
                        <pic:blipFill>
                          <a:blip r:embed="rId51116697e274164de" cstate="print"/>
                          <a:stretch>
                            <a:fillRect/>
                          </a:stretch>
                        </pic:blipFill>
                        <pic:spPr>
                          <a:xfrm>
                            <a:off x="0" y="0"/>
                            <a:ext cx="2160000" cy="0"/>
                          </a:xfrm>
                          <a:prstGeom prst="rect">
                            <a:avLst/>
                          </a:prstGeom>
                          <a:ln w="0">
                            <a:noFill/>
                          </a:ln>
                        </pic:spPr>
                      </pic:pic>
                    </a:graphicData>
                  </a:graphic>
                </wp:inline>
              </w:drawing>
            </w:r>
            <w:hyperlink r:id="rId54136697e274293b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organism,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Ozonium omnivorum</w:t>
      </w:r>
      <w:r>
        <w:rPr>
          <w:rFonts w:ascii="Calibri" w:hAnsi="Calibri" w:eastAsia="Calibri" w:cs="Calibri"/>
          <w:color w:val="000000"/>
          <w:sz w:val="22"/>
          <w:szCs w:val="22"/>
        </w:rPr>
        <w:t xml:space="preserve">), is known only as an asexual (mitosporic) fungus and produces noninfectious microconidia on epigeous spore mats of hyaline conidiophores resembling those of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and mycelial cords on infected roots resembling the </w:t>
      </w:r>
      <w:r>
        <w:rPr>
          <w:rFonts w:ascii="Calibri" w:hAnsi="Calibri" w:eastAsia="Calibri" w:cs="Calibri"/>
          <w:i/>
          <w:iCs/>
          <w:color w:val="000000"/>
          <w:sz w:val="22"/>
          <w:szCs w:val="22"/>
        </w:rPr>
        <w:t xml:space="preserve">Ozonium </w:t>
      </w:r>
      <w:r>
        <w:rPr>
          <w:rFonts w:ascii="Calibri" w:hAnsi="Calibri" w:eastAsia="Calibri" w:cs="Calibri"/>
          <w:color w:val="000000"/>
          <w:sz w:val="22"/>
          <w:szCs w:val="22"/>
        </w:rPr>
        <w:t xml:space="preserve">stage of </w:t>
      </w:r>
      <w:r>
        <w:rPr>
          <w:rFonts w:ascii="Calibri" w:hAnsi="Calibri" w:eastAsia="Calibri" w:cs="Calibri"/>
          <w:i/>
          <w:iCs/>
          <w:color w:val="000000"/>
          <w:sz w:val="22"/>
          <w:szCs w:val="22"/>
        </w:rPr>
        <w:t xml:space="preserve">Coprinellus</w:t>
      </w:r>
      <w:r>
        <w:rPr>
          <w:rFonts w:ascii="Calibri" w:hAnsi="Calibri" w:eastAsia="Calibri" w:cs="Calibri"/>
          <w:color w:val="000000"/>
          <w:sz w:val="22"/>
          <w:szCs w:val="22"/>
        </w:rPr>
        <w:t xml:space="preserve"> (Psathyrellaceae). Although the corticoid basidiomycetes </w:t>
      </w:r>
      <w:r>
        <w:rPr>
          <w:rFonts w:ascii="Calibri" w:hAnsi="Calibri" w:eastAsia="Calibri" w:cs="Calibri"/>
          <w:i/>
          <w:iCs/>
          <w:color w:val="000000"/>
          <w:sz w:val="22"/>
          <w:szCs w:val="22"/>
        </w:rPr>
        <w:t xml:space="preserve">Hydnophlebia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Phanerochaete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omnivora</w:t>
      </w:r>
      <w:r>
        <w:rPr>
          <w:rFonts w:ascii="Calibri" w:hAnsi="Calibri" w:eastAsia="Calibri" w:cs="Calibri"/>
          <w:color w:val="000000"/>
          <w:sz w:val="22"/>
          <w:szCs w:val="22"/>
        </w:rPr>
        <w:t xml:space="preserve"> (Meruliaceae) and </w:t>
      </w:r>
      <w:r>
        <w:rPr>
          <w:rFonts w:ascii="Calibri" w:hAnsi="Calibri" w:eastAsia="Calibri" w:cs="Calibri"/>
          <w:i/>
          <w:iCs/>
          <w:color w:val="000000"/>
          <w:sz w:val="22"/>
          <w:szCs w:val="22"/>
        </w:rPr>
        <w:t xml:space="preserve">Sistotrema brinkmannii</w:t>
      </w:r>
      <w:r>
        <w:rPr>
          <w:rFonts w:ascii="Calibri" w:hAnsi="Calibri" w:eastAsia="Calibri" w:cs="Calibri"/>
          <w:color w:val="000000"/>
          <w:sz w:val="22"/>
          <w:szCs w:val="22"/>
        </w:rPr>
        <w:t xml:space="preserve"> (Corticiacea) have been suggested as teleomorphs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phylogenetic analyses of multiple isolates indicate that it is neither a basidiomycete nor closely related to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(Sclerotiniaceae, Leotiomycetes).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is a member of the family Rhizinaceae, Pezizales (Ascomycota: Pezizomycetes) allied to </w:t>
      </w:r>
      <w:r>
        <w:rPr>
          <w:rFonts w:ascii="Calibri" w:hAnsi="Calibri" w:eastAsia="Calibri" w:cs="Calibri"/>
          <w:i/>
          <w:iCs/>
          <w:color w:val="000000"/>
          <w:sz w:val="22"/>
          <w:szCs w:val="22"/>
        </w:rPr>
        <w:t xml:space="preserve">Psilopezia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Rhizina </w:t>
      </w:r>
      <w:r>
        <w:rPr>
          <w:rFonts w:ascii="Calibri" w:hAnsi="Calibri" w:eastAsia="Calibri" w:cs="Calibri"/>
          <w:color w:val="000000"/>
          <w:sz w:val="22"/>
          <w:szCs w:val="22"/>
        </w:rPr>
        <w:t xml:space="preserve">(Marek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 is cotton, including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The fungus can also infect more than 2000 species of dicots including 31 economic field crops, 58 vegetable crops, 18 fruits and berries including citrus, 35 forest trees and shrubs, 7 herbaceous ornamentals and 20 weeds (Streets, 1937; Streets &amp; Bloss, 1973). When endemic, the fungus causes significant economic losses on many field crops, such as cotton, alfalfa and peanuts. Phymatotrichopsis Root Rot (PRR) can also cause losses on horticultural crops, such as pecans, apples and ornamental trees and shrubs. Monocots are thought to be immune, but fungal strands and sclerotia have been reported on such hosts in nature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1984b) and in the laboratory (Kankanala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potential host range in the EPPO region is presumably just as wide.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pavia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Agrimonia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x tamariscinus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bidentata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Anethum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cotula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Apios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androsaemifolium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Araucaria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stoechadifolia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platyceras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Argyreia nervosa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Baptisia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 subsp. rapifera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gongylodes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Buglossoides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gilliesii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Caragana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reniformis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 fasciculata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Chelidonium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Chilopsis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Cicuta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Claytonia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texanus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carolinus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boissieri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 var.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monanthogynus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texensis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Cynoglossum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ajacis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Dichondra repens var.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Diervilla lonicera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Dipsacus fullonum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Dolichandra unguis-cati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Echinocactus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 sieboldianus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Ephedra 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atropurpureus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corollata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cyparissias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milii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Eysenhardtia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Forestiera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Fouquieria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Franseria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Froelichia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Gelsemium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aleppicum var. strictum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bipinnatifida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Gordonia lasianthus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Gymnocladus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autumnale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Helianthemum nummularium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maximiliani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 var.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Houstonia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Hydrastis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cassine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vomitoria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nil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quamoclit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deppeana var. pachyphloea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 var. silicicola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Krameria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horrida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Lappula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Lesquerella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Leucophyllum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pycnostachya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lewisii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rigidum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sulcatum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Lippia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Lithospermum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inflata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siphilitica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morrowii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tatarica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subcarnosus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carolineanum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Malvaviscus arboreus var.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Malvella leprosa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Mammillaria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 var.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Mentzelia laevicaulis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nyctaginea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Nandina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gaura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suffrutescens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cobaea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Philadelphus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Pilosella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Pimpinella anisum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Platycladus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Plectocephalus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 louisianica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tenuiflora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phellos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Ratibida columnifera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copallinum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Rivina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racemosa subsp. pubens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vesicaria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Sesuvium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Shepherdia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lanuginosum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antirrhina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Silphium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secundiflora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Stillingia linearifolia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 var. mandschurica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stans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Triodanis perfoliata subsp.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thomasii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 subsp.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blattaria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encelioides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Veronicastrum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 subsp.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Vincetoxicum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Weigela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saccharatum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 widespread in the alkaline, calcareous soils of the Southwestern USA and Northern Mexico (Percy, 1983). The fungus is prevalent throughout much of the cotton-growing area of Texas (except for the Caprock escarpment of the Panhandle), and hence the disease is often referred to as ‘cotton root rot’ or ‘Texas root rot’. Other records include recent reports in Venezuela (Colmenares, 2016), as well as older records for the Dominican Republic, India, Libya, Malawi and Pakistan (Lyda, 1972; Mishra, 1953;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Farr &amp; Rossman, 2021). As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 difficult to isolate and identify morphologically, previous reports of distribution outside of the USA and Mexico are considered doubtful and should be confirmed molecularly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0"/>
            <wp:docPr id="59328184" name="name40056697e27430140" descr="PHMPO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POM_distribution_map.jpg"/>
                    <pic:cNvPicPr/>
                  </pic:nvPicPr>
                  <pic:blipFill>
                    <a:blip r:embed="rId85436697e2743013b"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Louisiana, Nevada,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not seedborne. The primary inoculum is sclerotia, or strands surviving on roots of host plants. The fungus spreads as fine mycelial strands which traverse the soil and infect other roots. Experiments have shown that strands did not survive for more than 1 year on roots of killed cotton plants remaining in the soil, and strands buried 25 cm deep in the rhizosphere of cotton plants in the field did not survive for more than 3 months. Strands require live cotton roots for overwintering as experiments have shown that strands have poor survival on dead cotton plants. Sclerotia, on the other hand, have been shown to survive for at least 5 years in soil. Strands and sclerotia have been found at depths of 2 m and 2.6 m, respectively (although most occur at 0.5-0.9 m), thus demonstrating that they can tolerate high levels of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The fungus was not eliminated in soil flooded for 120 days. After heavy summer rain, the fungus may come to the soil surface and form large tawny mycelial mats, 10-20 cm in diameter and 0.6 cm thick, on which conidia are borne. These spores probably play no part in dissemination as they rarely germinate. Nothing is known about the possible role of the teleomorph, but recent genome sequencing has shown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heterothallic fungus based on the presence of the mating type genes, MAT1-1-1 or MAT1-2-1, in an isolate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which indicates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may have a yet to be identified sexual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 is an important factor in pathogen survival with relatively high winter temperatures being favourable (Wheeler &amp; Hine, 1972).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analyzed the factors which affect symptom appearance and concluded that root rot is favoured by temperatures over 22°C and relatively high soil moisture. Jeger &amp; Lyda (1986) looked for environmental factors correlating to disease incidence, and identified cumulative precipitation up to the end of the growing season and (inversely) temperatures above 34°C. A threshold criterion based on cumulative precipitation and mean maximum temperature during the preceding 10 days could be used to forecast annual disease incidence. Percy (1983) assessed soil base exchange capacity, pH, sodium content, calcium content and clay fraction, and mean annual air temperature, as factors limiting the occurrence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 map of the potential distribution of the fungus in North America, based on this analysis, was mostly coterminous with the known distribution. In addition, the fungus cannot tolerate soil temperatures below freezing for any appreciable time. Thus, temperature and soil requirements appear to be the factors restricting the natural distribution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Streets (1937) and Streets &amp; Bloss (1973),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cotton appears in patches in the field and these areas do not necessarily produce a diseased crop the next year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infection of the root system early in the season does not cause above-ground symptoms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1984c). Symptoms only become conspicuous during the summer, as a sudden wilting of the plant, with or without a prior chlorosis of the leaves. The foliage droops, turns brown and may remain hanging on the branches for a few days before dropping off to leave a bare, dead stalk. At this stage, the roots are dead and their surface is covered with a network of yellow-brown fungal strands. If there is abundant water, brown to black wart-like sclerotia are also seen on the surface roots. The cortex of the killed roots is soft and readily peels. The conidial stage develops on the ground, near the margin of the zone of dying plants in the form of cushion-like, creamy yellowish masses. These spore mats are not, however, often found in cotton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In a perennial crop such as alfalfa, the disease will continue to spread throughout each sequential growing season, with up to 30% stand loss occurring over a single year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Surviving alfalfa plants compensated for damage or loss to the taproot through the development of more lateral and crown roots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unicellular, hyaline, globose (4.8-5.5 µm in diameter) or ovate (6-8 x 5-6 µm). Mycelial strands about 200 µm in diameter, bearing acicular hyphae, with distinctive cruciform branches emanating from the peripheral mycelium. Sclerotia irregular in shape, brown to black, 1-5 mm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detailed information is given by Streets (1937) and Streets &amp; Bloss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Genome</w:t>
      </w:r>
    </w:p>
    <w:p>
      <w:pPr>
        <w:widowControl w:val="on"/>
        <w:pBdr/>
        <w:spacing w:before="220" w:after="220" w:line="240" w:lineRule="auto"/>
        <w:ind w:left="0" w:right="0"/>
        <w:jc w:val="both"/>
      </w:pPr>
      <w:r>
        <w:rPr>
          <w:rFonts w:ascii="Calibri" w:hAnsi="Calibri" w:eastAsia="Calibri" w:cs="Calibri"/>
          <w:color w:val="000000"/>
          <w:sz w:val="22"/>
          <w:szCs w:val="22"/>
        </w:rPr>
        <w:t xml:space="preserve">Four isolates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have been sequenced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Interestingly, the draft genome assemblies of the four isolates sequenced revealed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genome is bigger than most other fungal genomes. The genome size among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isolates ranged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107 to 109 Mb. Approximately 38% to 40% of the genome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are repeat sequences.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yellow-brown parallel strands of mycelium visible with a hand-lens on rotted roots of host plants are characteristic. PCR- and real-time PCR-based methods have been developed to detect the pathogen in root tissues for ease of detection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as a soilborne pathogen,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w:t>
      </w:r>
      <w:r>
        <w:rPr>
          <w:rFonts w:ascii="Calibri" w:hAnsi="Calibri" w:eastAsia="Calibri" w:cs="Calibri"/>
          <w:color w:val="000000"/>
          <w:sz w:val="22"/>
          <w:szCs w:val="22"/>
        </w:rPr>
        <w:t xml:space="preserve"> has low dispersal potential. It persists at certain locations where soil conditions are favourable and does not readily spread beyond the vicinity of the host plant.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transported by human-assisted means, with soil or on roots of infected host plants. Locally, it may be spread with soil associated to agricultural machinery. In North America, internal quarantine measures have been applied to prevent spread into non-infested areas, but it is likely that the fungus has reached its natural limits in any case. The risk of intercontinental introduction is mainly with trade of hosts other than cotton since cotton plants are not usually moved in trade. Seeds are not a pathway as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 </w:t>
      </w:r>
      <w:r>
        <w:rPr>
          <w:rFonts w:ascii="Calibri" w:hAnsi="Calibri" w:eastAsia="Calibri" w:cs="Calibri"/>
          <w:color w:val="000000"/>
          <w:sz w:val="22"/>
          <w:szCs w:val="22"/>
        </w:rPr>
        <w:t xml:space="preserve">is not seed-borne, and traded seeds should be free from soil. There are no records of the fungus being intercepted in internationally traded consignments, at least in the EU (EFSA PHL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 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most serious on cotton and on this host it kills plants before maturity, reduces yield and quality by killing partly developed bolls and reduces lint quality in plants which survive until harvest. Mulrean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have analysed the elements of yield loss in cotton. Each year, it is estimated that 2% of the cotton yield in Texas (USA) is lost to root rot (Watkins, 1981). Cotton cultivation has been abandoned in some cases on soils that are most favourable to the fungus.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also causes significant economic losses to alfalfa cultivation in Southern Oklahoma and Northern Texas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Unlike cotton, alfalfa is a perennial crop, and the root rot disease persists year after year and the disease areas increase over time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Because of this disease, farmers are reluctant to grow alfalfa in affected areas of Oklahoma and Texas.</w:t>
      </w:r>
    </w:p>
    <w:p>
      <w:pPr>
        <w:widowControl w:val="on"/>
        <w:pBdr/>
        <w:spacing w:before="220" w:after="220" w:line="240" w:lineRule="auto"/>
        <w:ind w:left="0" w:right="0"/>
        <w:jc w:val="both"/>
      </w:pPr>
      <w:r>
        <w:rPr>
          <w:rFonts w:ascii="Calibri" w:hAnsi="Calibri" w:eastAsia="Calibri" w:cs="Calibri"/>
          <w:color w:val="000000"/>
          <w:sz w:val="22"/>
          <w:szCs w:val="22"/>
        </w:rPr>
        <w:t xml:space="preserve">On sunflowers,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delays seed germination, and this combined with late planting may result in significant losses (Orellana, 1973). The references to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the APS Compendia of Plant Diseases (Riggs 2001;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give a partial view of the situation on other crops. Winter-grown annual crops (such as sugarbeet) escape disease. Apples, peaches, pecans, grapes, and in Mexico, mangoes and avocados, suffer significant losses.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major constraint to apple cultivation in Texas.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have been severely attacked. The disease is only minor on citrus, roses and Rhododendron. It is not damaging on sweet potatoes or groundnuts. In general, there is relatively little information on hosts other than cotton and alfalfa in the research literature, which suggests that, though many are attacked by the fungus, relatively few suffer significant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occurs particularly on heavy calcareous soils.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nitrogenous manuring and deep cultivation reduce losses. The disease on cotton is mainly controlled by rotation with non-host plants (e.g. with sorghum) and cultural practices such as early planting, to allow the crop to establish and start boll formation before root rot becomes significant.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Chemicals can be used to control the fungus in the soil. The standard soil treatments have been reported to be effective as have drenches with fungicides such as the benzimidazoles. Such treatments would be too costly for field crops but might be suitable for land on which a high-value horticultural crop was to be grown. Only the soil directly treated is affected, and experience shows that after a certain time this soil is recontaminated by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coming from deeper soil layers. Thus, it is doubtful whether such treatments would be effective enough to be used for eradication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Recently, flutriafol (triazole fungicide) has been used to successfully control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cotton fields in the USA (Chitrampalam &amp; Olsen, 2014;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fungicide is applied in the furrows while planting cotton seeds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Yang, 2020). It has also been approved in 2020 for use in alfalfa in the USA. This is the only chemical active substance on the market labelled for management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varietal resistance has not been found in the major hosts. There is considerable research interest in antagonistic fungi which colonize and destroy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sclerotia (e.g. Kenerley &amp; Stack, 1987, Martínez-Escudero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but this is not yet applied in practice.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polyphagous pathogen which causes important damage on crops such as cotton, alfalfa, apple, peach and grapevine. It would be very difficult to control if introduced in the EPPO region.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it met the criteria to be a quarantine pest for the EU. In view of the temperature and soil factors which appear to limit the distribution of the pest in North America (see Biology), potential distribution in other continents would mainly be in the warmer wetter areas (South America, Africa, India). In the EPPO region, the cotton-growing countries of the Mediterranean basin would be more likely to be affected than the more continental areas e.g. of Central Asia. With respect to other host plants, the risk is much greater for North Africa and Southern Europe than for Northern or Eastern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prohibit the importation of soil from areas where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occurs. This implies that no soil should accompany plants for planting imported from those areas. However, inorganic or sterilized growing media could, if necessary, be accepted, or other safeguards to ensure that there is no possibility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present in the growing medium. EPPO Standard PM 8/1 on potato notes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can be present in soil attached to potato tubers and recommends that tubers should be free from plant debris and from soil. This is also valid for bulbs and root vegetables.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Arif M, Dobhal S, Garrido P, Orquera G, Espindola A, Young C, Ochoa-Corona F, Marek S, Garzon C (2014) Highly sensitive end-point PCR and SYBR Green qPCR detection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causal fungus of cotton root 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 1205-1212.</w:t>
      </w:r>
    </w:p>
    <w:p>
      <w:pPr>
        <w:widowControl w:val="on"/>
        <w:pBdr/>
        <w:spacing w:before="220" w:after="220" w:line="240" w:lineRule="auto"/>
        <w:ind w:left="0" w:right="0"/>
        <w:jc w:val="left"/>
      </w:pPr>
      <w:r>
        <w:rPr>
          <w:rFonts w:ascii="Calibri" w:hAnsi="Calibri" w:eastAsia="Calibri" w:cs="Calibri"/>
          <w:color w:val="000000"/>
          <w:sz w:val="22"/>
          <w:szCs w:val="22"/>
        </w:rPr>
        <w:t xml:space="preserve">Chitrampalam P, Olsen MW (2014) Genetic diversity and fungicide sensitivity of </w:t>
      </w: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isolates from cotton in Arizona. </w:t>
      </w:r>
      <w:r>
        <w:rPr>
          <w:rFonts w:ascii="Calibri" w:hAnsi="Calibri" w:eastAsia="Calibri" w:cs="Calibri"/>
          <w:i/>
          <w:iCs/>
          <w:color w:val="000000"/>
          <w:sz w:val="22"/>
          <w:szCs w:val="22"/>
        </w:rPr>
        <w:t xml:space="preserve">University of Arizona Cooperative Extension Report</w:t>
      </w:r>
      <w:r>
        <w:rPr>
          <w:rFonts w:ascii="Calibri" w:hAnsi="Calibri" w:eastAsia="Calibri" w:cs="Calibri"/>
          <w:color w:val="000000"/>
          <w:sz w:val="22"/>
          <w:szCs w:val="22"/>
        </w:rPr>
        <w:t xml:space="preserve">, az1655.</w:t>
      </w:r>
    </w:p>
    <w:p>
      <w:pPr>
        <w:widowControl w:val="on"/>
        <w:pBdr/>
        <w:spacing w:before="220" w:after="220" w:line="240" w:lineRule="auto"/>
        <w:ind w:left="0" w:right="0"/>
        <w:jc w:val="left"/>
      </w:pPr>
      <w:r>
        <w:rPr>
          <w:rFonts w:ascii="Calibri" w:hAnsi="Calibri" w:eastAsia="Calibri" w:cs="Calibri"/>
          <w:color w:val="000000"/>
          <w:sz w:val="22"/>
          <w:szCs w:val="22"/>
        </w:rPr>
        <w:t xml:space="preserve">Colmenares CAM (2016) Peach root rot-</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Available online: </w:t>
      </w:r>
      <w:hyperlink r:id="rId51806697e27442eb5" w:history="1">
        <w:r>
          <w:rPr>
            <w:rFonts w:ascii="Calibri" w:hAnsi="Calibri" w:eastAsia="Calibri" w:cs="Calibri"/>
            <w:color w:val="0000CC"/>
            <w:sz w:val="22"/>
            <w:szCs w:val="22"/>
            <w:u w:val="single"/>
          </w:rPr>
          <w:t xml:space="preserve">https://www.engormix.com/agricultura/articulos/peach-root-rot-phymatotrichopsis-t39833.htm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Sven Magnusson C, Milonas P, Navas-Cortes JA, Parnell S, Potting R, Reignault PL, Thulke H-H, Van der Werf W, Yuen J, Zappal_a L, Jeger M, Vloutoglou I, Bottex B, Vicent Civera A (2019) Scientific Opinion on the pest categorisation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(3):5619, 33 pp. </w:t>
      </w:r>
      <w:hyperlink r:id="rId57836697e27442f57" w:history="1">
        <w:r>
          <w:rPr>
            <w:rFonts w:ascii="Calibri" w:hAnsi="Calibri" w:eastAsia="Calibri" w:cs="Calibri"/>
            <w:color w:val="0000CC"/>
            <w:sz w:val="22"/>
            <w:szCs w:val="22"/>
            <w:u w:val="single"/>
          </w:rPr>
          <w:t xml:space="preserve">https://doi.org/10.2903/j.efsa.2019.5619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Commodity-specific phytosanitary measures for potato. Available at </w:t>
      </w:r>
      <w:hyperlink r:id="rId23246697e27442f8b" w:history="1">
        <w:r>
          <w:rPr>
            <w:rFonts w:ascii="Calibri" w:hAnsi="Calibri" w:eastAsia="Calibri" w:cs="Calibri"/>
            <w:color w:val="0000CC"/>
            <w:sz w:val="22"/>
            <w:szCs w:val="22"/>
            <w:u w:val="single"/>
          </w:rPr>
          <w:t xml:space="preserve">https://gd.eppo.int/standards/PM8/</w:t>
        </w:r>
        <w:r>
          <w:rPr>
            <w:rFonts w:ascii="Calibri" w:hAnsi="Calibri" w:eastAsia="Calibri" w:cs="Calibri"/>
            <w:i/>
            <w:iCs/>
            <w:color w:val="0000CC"/>
            <w:sz w:val="22"/>
            <w:szCs w:val="22"/>
            <w:u w:val="single"/>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Rossman AY (2021) Fungal Databases, U.S. National Fungus Collections, ARS, USDA. Retrieved December 2, 2021, from </w:t>
      </w:r>
      <w:hyperlink r:id="rId45536697e27442fd5" w:history="1">
        <w:r>
          <w:rPr>
            <w:rFonts w:ascii="Calibri" w:hAnsi="Calibri" w:eastAsia="Calibri" w:cs="Calibri"/>
            <w:color w:val="0000CC"/>
            <w:sz w:val="22"/>
            <w:szCs w:val="22"/>
            <w:u w:val="single"/>
          </w:rPr>
          <w:t xml:space="preserve">https://nt.ars-grin.gov/fungaldatabases/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Minzenmayer RR, Drake DR, Morgan GD, Mott DA, Fromme DD, Multer W L, Jungman M, Abrameit A (2012) Fungicide management of cotton root rot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MJ, Lyda SD (1986) Epidemics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cotton: environmental correlates of final incidence and forecasting criteria.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523-534.</w:t>
      </w:r>
    </w:p>
    <w:p>
      <w:pPr>
        <w:widowControl w:val="on"/>
        <w:pBdr/>
        <w:spacing w:before="220" w:after="220" w:line="240" w:lineRule="auto"/>
        <w:ind w:left="0" w:right="0"/>
        <w:jc w:val="left"/>
      </w:pPr>
      <w:r>
        <w:rPr>
          <w:rFonts w:ascii="Calibri" w:hAnsi="Calibri" w:eastAsia="Calibri" w:cs="Calibri"/>
          <w:color w:val="000000"/>
          <w:sz w:val="22"/>
          <w:szCs w:val="22"/>
        </w:rPr>
        <w:t xml:space="preserve">Kankanala P, Jones P, Nandety RS, Jacobson DA, Mysore KS (2020) Plasticity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infection strategies is dependent on host and nonhost plant responses</w:t>
      </w:r>
      <w:r>
        <w:rPr>
          <w:rFonts w:ascii="Calibri" w:hAnsi="Calibri" w:eastAsia="Calibri" w:cs="Calibri"/>
          <w:i/>
          <w:iCs/>
          <w:color w:val="000000"/>
          <w:sz w:val="22"/>
          <w:szCs w:val="22"/>
        </w:rPr>
        <w:t xml:space="preserve">. Plant Cell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1084–1101.</w:t>
      </w:r>
    </w:p>
    <w:p>
      <w:pPr>
        <w:widowControl w:val="on"/>
        <w:pBdr/>
        <w:spacing w:before="220" w:after="220" w:line="240" w:lineRule="auto"/>
        <w:ind w:left="0" w:right="0"/>
        <w:jc w:val="left"/>
      </w:pPr>
      <w:r>
        <w:rPr>
          <w:rFonts w:ascii="Calibri" w:hAnsi="Calibri" w:eastAsia="Calibri" w:cs="Calibri"/>
          <w:color w:val="000000"/>
          <w:sz w:val="22"/>
          <w:szCs w:val="22"/>
        </w:rPr>
        <w:t xml:space="preserve">Kenerley CM, Stack JP (1987) Influence of assessment methods on selection of fungal antagonists of the sclerotium-forming fungus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33, 632-635.</w:t>
      </w:r>
    </w:p>
    <w:p>
      <w:pPr>
        <w:widowControl w:val="on"/>
        <w:pBdr/>
        <w:spacing w:before="220" w:after="220" w:line="240" w:lineRule="auto"/>
        <w:ind w:left="0" w:right="0"/>
        <w:jc w:val="left"/>
      </w:pPr>
      <w:r>
        <w:rPr>
          <w:rFonts w:ascii="Calibri" w:hAnsi="Calibri" w:eastAsia="Calibri" w:cs="Calibri"/>
          <w:color w:val="000000"/>
          <w:sz w:val="22"/>
          <w:szCs w:val="22"/>
        </w:rPr>
        <w:t xml:space="preserve">Lyda SD (1972) Root rot of cotton in the United States and West Pakistan. </w:t>
      </w:r>
      <w:r>
        <w:rPr>
          <w:rFonts w:ascii="Calibri" w:hAnsi="Calibri" w:eastAsia="Calibri" w:cs="Calibri"/>
          <w:i/>
          <w:iCs/>
          <w:color w:val="000000"/>
          <w:sz w:val="22"/>
          <w:szCs w:val="22"/>
        </w:rPr>
        <w:t xml:space="preserve">Proc. Beltwide Cotton Prod. Res. Conf.</w:t>
      </w:r>
      <w:r>
        <w:rPr>
          <w:rFonts w:ascii="Calibri" w:hAnsi="Calibri" w:eastAsia="Calibri" w:cs="Calibri"/>
          <w:color w:val="000000"/>
          <w:sz w:val="22"/>
          <w:szCs w:val="22"/>
        </w:rPr>
        <w:t xml:space="preserve"> 32, 22-23.</w:t>
      </w:r>
    </w:p>
    <w:p>
      <w:pPr>
        <w:widowControl w:val="on"/>
        <w:pBdr/>
        <w:spacing w:before="220" w:after="220" w:line="240" w:lineRule="auto"/>
        <w:ind w:left="0" w:right="0"/>
        <w:jc w:val="left"/>
      </w:pPr>
      <w:r>
        <w:rPr>
          <w:rFonts w:ascii="Calibri" w:hAnsi="Calibri" w:eastAsia="Calibri" w:cs="Calibri"/>
          <w:color w:val="000000"/>
          <w:sz w:val="22"/>
          <w:szCs w:val="22"/>
        </w:rPr>
        <w:t xml:space="preserve">Marek SM, Hansen K, Romanish M, Thorn RG (2009) Molecular systematics of the cotton root rot pathogen,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63-74.</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Martínez-Escudero LE, Melgoza-Castillo A, Pérez-Leal R, Ortega-Rodríguez A, Villalobos-Pérez E (2016) Estado del arte Phymatotrichopsis omnivora (SHEAR) duggar, revisión y actualidad. Revista Biológico Agropecuaria Tuxpan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103-114.</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Moffet C, Shah K, Young CA (2018) Supervised classification of RGB aerial imagery acquired by manned and unmanned aircrafts to evaluate a root rot disease. </w:t>
      </w:r>
      <w:r>
        <w:rPr>
          <w:rFonts w:ascii="Calibri" w:hAnsi="Calibri" w:eastAsia="Calibri" w:cs="Calibri"/>
          <w:i/>
          <w:iCs/>
          <w:color w:val="000000"/>
          <w:sz w:val="22"/>
          <w:szCs w:val="22"/>
        </w:rPr>
        <w:t xml:space="preserve">Remote Sensing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917. DOI:org/10.3390/rs10060917 </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Seethepalli A, York LM, Young CA (2019) Digital imaging to evaluate root system architectural changes associated with soil biotic factors.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102-11 </w:t>
      </w:r>
      <w:hyperlink r:id="rId38896697e2744334c" w:history="1">
        <w:r>
          <w:rPr>
            <w:rFonts w:ascii="Calibri" w:hAnsi="Calibri" w:eastAsia="Calibri" w:cs="Calibri"/>
            <w:color w:val="0000CC"/>
            <w:sz w:val="22"/>
            <w:szCs w:val="22"/>
            <w:u w:val="single"/>
          </w:rPr>
          <w:t xml:space="preserve">https://doi.org/10.1094/PBIOMES-12-18-0062-R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Shiller J, Kankanala P, Krom ND, Marek S, Mysore KS, Young C (2021) The first genomic resources for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 soilborne pezizomycete pathogen with a broad host 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(early view) </w:t>
      </w:r>
      <w:hyperlink r:id="rId94796697e274433bd" w:history="1">
        <w:r>
          <w:rPr>
            <w:rFonts w:ascii="Calibri" w:hAnsi="Calibri" w:eastAsia="Calibri" w:cs="Calibri"/>
            <w:color w:val="0000CC"/>
            <w:sz w:val="22"/>
            <w:szCs w:val="22"/>
            <w:u w:val="single"/>
          </w:rPr>
          <w:t xml:space="preserve">https://doi.org/10.1094/PHYTO-01-21-0014-A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Mulrean EN, Hine RB, Mueller JP (1984) Effect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on yield and seed and lint quality in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381-383.</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R, Olsen MW, Mostafa A (2014) Efficacy of flutriafol fungicide for control of cotton root rot in Arizona in 2012 and 2013 field trials.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poster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Orellana RG (1973) Sources of resistance to a soilborne fungal disease complex of sunflowers.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57, 318-320.</w:t>
      </w:r>
    </w:p>
    <w:p>
      <w:pPr>
        <w:widowControl w:val="on"/>
        <w:pBdr/>
        <w:spacing w:before="220" w:after="220" w:line="240" w:lineRule="auto"/>
        <w:ind w:left="0" w:right="0"/>
        <w:jc w:val="left"/>
      </w:pPr>
      <w:r>
        <w:rPr>
          <w:rFonts w:ascii="Calibri" w:hAnsi="Calibri" w:eastAsia="Calibri" w:cs="Calibri"/>
          <w:color w:val="000000"/>
          <w:sz w:val="22"/>
          <w:szCs w:val="22"/>
        </w:rPr>
        <w:t xml:space="preserve">Percy RG (1983) Potential range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as determined by edaphic factors.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(9), 981-983.</w:t>
      </w:r>
    </w:p>
    <w:p>
      <w:pPr>
        <w:widowControl w:val="on"/>
        <w:pBdr/>
        <w:spacing w:before="220" w:after="220" w:line="240" w:lineRule="auto"/>
        <w:ind w:left="0" w:right="0"/>
        <w:jc w:val="left"/>
      </w:pPr>
      <w:r>
        <w:rPr>
          <w:rFonts w:ascii="Calibri" w:hAnsi="Calibri" w:eastAsia="Calibri" w:cs="Calibri"/>
          <w:color w:val="000000"/>
          <w:sz w:val="22"/>
          <w:szCs w:val="22"/>
        </w:rPr>
        <w:t xml:space="preserve">Riggs JL (2001)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Kirkpatrick, T.L.; Rothrock, C.S. (Editors)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pp. 31-33,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a) Factors affecting symptom appearance and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(12), 1466-1469.</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b) Interactions between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68(6),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Lyda SD, Gerik TJ (1984 c) The relationship between time of cortical senescence and foliar symptom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1464-1466.</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(1937)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or Texas) root rot in Arizona. </w:t>
      </w:r>
      <w:r>
        <w:rPr>
          <w:rFonts w:ascii="Calibri" w:hAnsi="Calibri" w:eastAsia="Calibri" w:cs="Calibri"/>
          <w:i/>
          <w:iCs/>
          <w:color w:val="000000"/>
          <w:sz w:val="22"/>
          <w:szCs w:val="22"/>
        </w:rPr>
        <w:t xml:space="preserve">Technical Bulletin, Arizona University College of Agriculture</w:t>
      </w:r>
      <w:r>
        <w:rPr>
          <w:rFonts w:ascii="Calibri" w:hAnsi="Calibri" w:eastAsia="Calibri" w:cs="Calibri"/>
          <w:color w:val="000000"/>
          <w:sz w:val="22"/>
          <w:szCs w:val="22"/>
        </w:rPr>
        <w:t xml:space="preserve"> No. 71. Available from </w:t>
      </w:r>
      <w:hyperlink r:id="rId72426697e274437a2" w:history="1">
        <w:r>
          <w:rPr>
            <w:rFonts w:ascii="Calibri" w:hAnsi="Calibri" w:eastAsia="Calibri" w:cs="Calibri"/>
            <w:color w:val="0000CC"/>
            <w:sz w:val="22"/>
            <w:szCs w:val="22"/>
            <w:u w:val="single"/>
          </w:rPr>
          <w:t xml:space="preserve">https://repository.arizona.edu/handle/10150/190524</w:t>
        </w:r>
      </w:hyperlink>
      <w:r>
        <w:rPr>
          <w:rFonts w:ascii="Calibri" w:hAnsi="Calibri" w:eastAsia="Calibri" w:cs="Calibri"/>
          <w:color w:val="000000"/>
          <w:sz w:val="22"/>
          <w:szCs w:val="22"/>
        </w:rPr>
        <w:t xml:space="preserve"> (last accessed in 2021-12-10)</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Bloss HE (1973) Phymatotrichum root rot. </w:t>
      </w:r>
      <w:r>
        <w:rPr>
          <w:rFonts w:ascii="Calibri" w:hAnsi="Calibri" w:eastAsia="Calibri" w:cs="Calibri"/>
          <w:i/>
          <w:iCs/>
          <w:color w:val="000000"/>
          <w:sz w:val="22"/>
          <w:szCs w:val="22"/>
        </w:rPr>
        <w:t xml:space="preserve">Monographs of the American Phytopathological Society</w:t>
      </w:r>
      <w:r>
        <w:rPr>
          <w:rFonts w:ascii="Calibri" w:hAnsi="Calibri" w:eastAsia="Calibri" w:cs="Calibri"/>
          <w:color w:val="000000"/>
          <w:sz w:val="22"/>
          <w:szCs w:val="22"/>
        </w:rPr>
        <w:t xml:space="preserve"> No. 8, 38 pp.</w:t>
      </w:r>
    </w:p>
    <w:p>
      <w:pPr>
        <w:widowControl w:val="on"/>
        <w:pBdr/>
        <w:spacing w:before="220" w:after="220" w:line="240" w:lineRule="auto"/>
        <w:ind w:left="0" w:right="0"/>
        <w:jc w:val="left"/>
      </w:pPr>
      <w:r>
        <w:rPr>
          <w:rFonts w:ascii="Calibri" w:hAnsi="Calibri" w:eastAsia="Calibri" w:cs="Calibri"/>
          <w:color w:val="000000"/>
          <w:sz w:val="22"/>
          <w:szCs w:val="22"/>
        </w:rPr>
        <w:t xml:space="preserve">Uppalapati SR, Young CA, Marek SM, Mysore KS (2010)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root rot caused by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Retrospects and prospects.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325-334.</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(Editor)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JE, Hine RB (1972) Influence of soil temperature and moisture on survival and growth of strands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Whitson RS, Hine RB (1986) Activity of propiconazole and other sterol-inhibiting fungicides against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(2), 130-133.</w:t>
      </w:r>
    </w:p>
    <w:p>
      <w:pPr>
        <w:widowControl w:val="on"/>
        <w:pBdr/>
        <w:spacing w:before="220" w:after="220" w:line="240" w:lineRule="auto"/>
        <w:ind w:left="0" w:right="0"/>
        <w:jc w:val="left"/>
      </w:pPr>
      <w:r>
        <w:rPr>
          <w:rFonts w:ascii="Calibri" w:hAnsi="Calibri" w:eastAsia="Calibri" w:cs="Calibri"/>
          <w:color w:val="000000"/>
          <w:sz w:val="22"/>
          <w:szCs w:val="22"/>
        </w:rPr>
        <w:t xml:space="preserve">Yang C (2020) Remote sensing and precision agriculture technologies for crop disease detection and management with a practical application example. </w:t>
      </w:r>
      <w:r>
        <w:rPr>
          <w:rFonts w:ascii="Calibri" w:hAnsi="Calibri" w:eastAsia="Calibri" w:cs="Calibri"/>
          <w:i/>
          <w:iCs/>
          <w:color w:val="000000"/>
          <w:sz w:val="22"/>
          <w:szCs w:val="22"/>
        </w:rPr>
        <w:t xml:space="preserve">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528-532.</w:t>
      </w:r>
    </w:p>
    <w:p>
      <w:pPr>
        <w:widowControl w:val="on"/>
        <w:pBdr/>
        <w:spacing w:before="220" w:after="220" w:line="240" w:lineRule="auto"/>
        <w:ind w:left="0" w:right="0"/>
        <w:jc w:val="left"/>
      </w:pPr>
      <w:r>
        <w:rPr>
          <w:rFonts w:ascii="Calibri" w:hAnsi="Calibri" w:eastAsia="Calibri" w:cs="Calibri"/>
          <w:color w:val="000000"/>
          <w:sz w:val="22"/>
          <w:szCs w:val="22"/>
        </w:rPr>
        <w:t xml:space="preserve">Young CA, Uppalapati SR, Mysore KS, Marek SM (2014) </w:t>
      </w:r>
      <w:r>
        <w:rPr>
          <w:rFonts w:ascii="Calibri" w:hAnsi="Calibri" w:eastAsia="Calibri" w:cs="Calibri"/>
          <w:i/>
          <w:iCs/>
          <w:color w:val="000000"/>
          <w:sz w:val="22"/>
          <w:szCs w:val="22"/>
        </w:rPr>
        <w:t xml:space="preserve">Phymatotrichopsis</w:t>
      </w:r>
      <w:r>
        <w:rPr>
          <w:rFonts w:ascii="Calibri" w:hAnsi="Calibri" w:eastAsia="Calibri" w:cs="Calibri"/>
          <w:color w:val="000000"/>
          <w:sz w:val="22"/>
          <w:szCs w:val="22"/>
        </w:rPr>
        <w:t xml:space="preserve"> root rot. In </w:t>
      </w:r>
      <w:r>
        <w:rPr>
          <w:rFonts w:ascii="Calibri" w:hAnsi="Calibri" w:eastAsia="Calibri" w:cs="Calibri"/>
          <w:i/>
          <w:iCs/>
          <w:color w:val="000000"/>
          <w:sz w:val="22"/>
          <w:szCs w:val="22"/>
        </w:rPr>
        <w:t xml:space="preserve">Compendium of Alfalfa Diseases and Pests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Third Edition</w:t>
      </w:r>
      <w:r>
        <w:rPr>
          <w:rFonts w:ascii="Calibri" w:hAnsi="Calibri" w:eastAsia="Calibri" w:cs="Calibri"/>
          <w:color w:val="000000"/>
          <w:sz w:val="22"/>
          <w:szCs w:val="22"/>
        </w:rPr>
        <w:t xml:space="preserve">, Deborah Samac, Landon Rhodes, and William Lamp (Editors), APS Press, St. Paul, MN, P. 44-46.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Kirankumar S. Mysore (Oklahoma State University), Stephen Marek (Oklahoma State University) and Carolyn Young (Oklahoma State University).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EPPO datasheets on pests recommended for regulation. Available online. </w:t>
      </w:r>
      <w:hyperlink r:id="rId97466697e27443b8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(1979) Data sheets on quarantine organisms No. 21,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91-95. </w:t>
      </w:r>
      <w:hyperlink r:id="rId42396697e27443c55" w:history="1">
        <w:r>
          <w:rPr>
            <w:rFonts w:ascii="Calibri" w:hAnsi="Calibri" w:eastAsia="Calibri" w:cs="Calibri"/>
            <w:color w:val="0000CC"/>
            <w:sz w:val="22"/>
            <w:szCs w:val="22"/>
            <w:u w:val="single"/>
          </w:rPr>
          <w:t xml:space="preserve">https://onlinelibrary.wiley.com/doi/epdf/10.1111/j.1365-2338.1979.tb02455.x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95983613" name="name30046697e27443ea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416697e27443eac"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006323">
    <w:multiLevelType w:val="hybridMultilevel"/>
    <w:lvl w:ilvl="0" w:tplc="38759634">
      <w:start w:val="1"/>
      <w:numFmt w:val="decimal"/>
      <w:lvlText w:val="%1."/>
      <w:lvlJc w:val="left"/>
      <w:pPr>
        <w:ind w:left="720" w:hanging="360"/>
      </w:pPr>
    </w:lvl>
    <w:lvl w:ilvl="1" w:tplc="38759634" w:tentative="1">
      <w:start w:val="1"/>
      <w:numFmt w:val="lowerLetter"/>
      <w:lvlText w:val="%2."/>
      <w:lvlJc w:val="left"/>
      <w:pPr>
        <w:ind w:left="1440" w:hanging="360"/>
      </w:pPr>
    </w:lvl>
    <w:lvl w:ilvl="2" w:tplc="38759634" w:tentative="1">
      <w:start w:val="1"/>
      <w:numFmt w:val="lowerRoman"/>
      <w:lvlText w:val="%3."/>
      <w:lvlJc w:val="right"/>
      <w:pPr>
        <w:ind w:left="2160" w:hanging="180"/>
      </w:pPr>
    </w:lvl>
    <w:lvl w:ilvl="3" w:tplc="38759634" w:tentative="1">
      <w:start w:val="1"/>
      <w:numFmt w:val="decimal"/>
      <w:lvlText w:val="%4."/>
      <w:lvlJc w:val="left"/>
      <w:pPr>
        <w:ind w:left="2880" w:hanging="360"/>
      </w:pPr>
    </w:lvl>
    <w:lvl w:ilvl="4" w:tplc="38759634" w:tentative="1">
      <w:start w:val="1"/>
      <w:numFmt w:val="lowerLetter"/>
      <w:lvlText w:val="%5."/>
      <w:lvlJc w:val="left"/>
      <w:pPr>
        <w:ind w:left="3600" w:hanging="360"/>
      </w:pPr>
    </w:lvl>
    <w:lvl w:ilvl="5" w:tplc="38759634" w:tentative="1">
      <w:start w:val="1"/>
      <w:numFmt w:val="lowerRoman"/>
      <w:lvlText w:val="%6."/>
      <w:lvlJc w:val="right"/>
      <w:pPr>
        <w:ind w:left="4320" w:hanging="180"/>
      </w:pPr>
    </w:lvl>
    <w:lvl w:ilvl="6" w:tplc="38759634" w:tentative="1">
      <w:start w:val="1"/>
      <w:numFmt w:val="decimal"/>
      <w:lvlText w:val="%7."/>
      <w:lvlJc w:val="left"/>
      <w:pPr>
        <w:ind w:left="5040" w:hanging="360"/>
      </w:pPr>
    </w:lvl>
    <w:lvl w:ilvl="7" w:tplc="38759634" w:tentative="1">
      <w:start w:val="1"/>
      <w:numFmt w:val="lowerLetter"/>
      <w:lvlText w:val="%8."/>
      <w:lvlJc w:val="left"/>
      <w:pPr>
        <w:ind w:left="5760" w:hanging="360"/>
      </w:pPr>
    </w:lvl>
    <w:lvl w:ilvl="8" w:tplc="38759634" w:tentative="1">
      <w:start w:val="1"/>
      <w:numFmt w:val="lowerRoman"/>
      <w:lvlText w:val="%9."/>
      <w:lvlJc w:val="right"/>
      <w:pPr>
        <w:ind w:left="6480" w:hanging="180"/>
      </w:pPr>
    </w:lvl>
  </w:abstractNum>
  <w:abstractNum w:abstractNumId="66006322">
    <w:multiLevelType w:val="hybridMultilevel"/>
    <w:lvl w:ilvl="0" w:tplc="59827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006322">
    <w:abstractNumId w:val="66006322"/>
  </w:num>
  <w:num w:numId="66006323">
    <w:abstractNumId w:val="660063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6190199" Type="http://schemas.microsoft.com/office/2011/relationships/commentsExtended" Target="commentsExtended.xml"/><Relationship Id="rId209522723" Type="http://schemas.microsoft.com/office/2011/relationships/people" Target="people.xml"/><Relationship Id="rId42696697e27416341" Type="http://schemas.openxmlformats.org/officeDocument/2006/relationships/hyperlink" Target="https://gd.eppo.int/taxon/PHMPOM/" TargetMode="External"/><Relationship Id="rId72386697e274163ad" Type="http://schemas.openxmlformats.org/officeDocument/2006/relationships/hyperlink" Target="https://gd.eppo.int/taxon/PHMPOM/categorization" TargetMode="External"/><Relationship Id="rId54136697e274293bc" Type="http://schemas.openxmlformats.org/officeDocument/2006/relationships/hyperlink" Target="https://gd.eppo.int/taxon/PHMPOM/photos" TargetMode="External"/><Relationship Id="rId51806697e27442eb5" Type="http://schemas.openxmlformats.org/officeDocument/2006/relationships/hyperlink" Target="https://www.engormix.com/agricultura/articulos/peach-root-rot-phymatotrichopsis-t39833.htm" TargetMode="External"/><Relationship Id="rId57836697e27442f57" Type="http://schemas.openxmlformats.org/officeDocument/2006/relationships/hyperlink" Target="https://doi.org/10.2903/j.efsa.2019.5619" TargetMode="External"/><Relationship Id="rId23246697e27442f8b" Type="http://schemas.openxmlformats.org/officeDocument/2006/relationships/hyperlink" Target="https://gd.eppo.int/standards/PM8/" TargetMode="External"/><Relationship Id="rId45536697e27442fd5" Type="http://schemas.openxmlformats.org/officeDocument/2006/relationships/hyperlink" Target="https://nt.ars-grin.gov/fungaldatabases/" TargetMode="External"/><Relationship Id="rId38896697e2744334c" Type="http://schemas.openxmlformats.org/officeDocument/2006/relationships/hyperlink" Target="https://doi.org/10.1094/PBIOMES-12-18-0062-R" TargetMode="External"/><Relationship Id="rId94796697e274433bd" Type="http://schemas.openxmlformats.org/officeDocument/2006/relationships/hyperlink" Target="https://doi.org/10.1094/PHYTO-01-21-0014-A" TargetMode="External"/><Relationship Id="rId72426697e274437a2" Type="http://schemas.openxmlformats.org/officeDocument/2006/relationships/hyperlink" Target="https://repository.arizona.edu/handle/10150/190524" TargetMode="External"/><Relationship Id="rId97466697e27443b81" Type="http://schemas.openxmlformats.org/officeDocument/2006/relationships/hyperlink" Target="https://gd.eppo.int" TargetMode="External"/><Relationship Id="rId42396697e27443c55" Type="http://schemas.openxmlformats.org/officeDocument/2006/relationships/hyperlink" Target="https://onlinelibrary.wiley.com/doi/epdf/10.1111/j.1365-2338.1979.tb02455.x" TargetMode="External"/><Relationship Id="rId51116697e274164de" Type="http://schemas.openxmlformats.org/officeDocument/2006/relationships/image" Target="media/imgrId51116697e274164de.jpg"/><Relationship Id="rId85436697e2743013b" Type="http://schemas.openxmlformats.org/officeDocument/2006/relationships/image" Target="media/imgrId85436697e2743013b.jpg"/><Relationship Id="rId78416697e27443eac" Type="http://schemas.openxmlformats.org/officeDocument/2006/relationships/image" Target="media/imgrId78416697e27443ea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