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Maconellicoccus hirsutus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Maconellicoccus hirsutus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Pseudococcidae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Phenacoccus hirsutus</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hibiscus mealybug, pink hibiscus mealybug, pink mealybug</w:t>
            </w:r>
            <w:hyperlink r:id="rId4520662348901639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34166234890163e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PHENHI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9669740" name="name49656623489016782" descr="2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0.jpg"/>
                          <pic:cNvPicPr/>
                        </pic:nvPicPr>
                        <pic:blipFill>
                          <a:blip r:embed="rId48876623489016780" cstate="print"/>
                          <a:stretch>
                            <a:fillRect/>
                          </a:stretch>
                        </pic:blipFill>
                        <pic:spPr>
                          <a:xfrm>
                            <a:off x="0" y="0"/>
                            <a:ext cx="2160000" cy="1281600"/>
                          </a:xfrm>
                          <a:prstGeom prst="rect">
                            <a:avLst/>
                          </a:prstGeom>
                          <a:ln w="0">
                            <a:noFill/>
                          </a:ln>
                        </pic:spPr>
                      </pic:pic>
                    </a:graphicData>
                  </a:graphic>
                </wp:inline>
              </w:drawing>
            </w:r>
            <w:hyperlink r:id="rId3317662348901687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was originally described from specimens collected in India as </w:t>
      </w:r>
      <w:r>
        <w:rPr>
          <w:rFonts w:ascii="Calibri" w:hAnsi="Calibri" w:eastAsia="Calibri" w:cs="Calibri"/>
          <w:i/>
          <w:iCs/>
          <w:color w:val="000000"/>
          <w:sz w:val="22"/>
          <w:szCs w:val="22"/>
        </w:rPr>
        <w:t xml:space="preserve">Phenacoccus hirsutus</w:t>
      </w:r>
      <w:r>
        <w:rPr>
          <w:rFonts w:ascii="Calibri" w:hAnsi="Calibri" w:eastAsia="Calibri" w:cs="Calibri"/>
          <w:color w:val="000000"/>
          <w:sz w:val="22"/>
          <w:szCs w:val="22"/>
        </w:rPr>
        <w:t xml:space="preserve"> by Green (1908). It was subsequently designated as the type species of the genus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 by Ezzat (1958). Eight species are currently recognized in the genus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w:t>
      </w:r>
      <w:r>
        <w:rPr>
          <w:rFonts w:ascii="Calibri" w:hAnsi="Calibri" w:eastAsia="Calibri" w:cs="Calibri"/>
          <w:i/>
          <w:iCs/>
          <w:color w:val="000000"/>
          <w:sz w:val="22"/>
          <w:szCs w:val="22"/>
        </w:rPr>
        <w:t xml:space="preserve">hirsutus</w:t>
      </w:r>
      <w:r>
        <w:rPr>
          <w:rFonts w:ascii="Calibri" w:hAnsi="Calibri" w:eastAsia="Calibri" w:cs="Calibri"/>
          <w:color w:val="000000"/>
          <w:sz w:val="22"/>
          <w:szCs w:val="22"/>
        </w:rPr>
        <w:t xml:space="preserve"> is highly polyphagous, feeding on a wide range of predominantly woody plants assigned to 222 genera in 78 families, including many crops and ornamentals (García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shows some preference for plants in the families Fabaceae, Malvaceae and Moraceae (Mani, 1989; Chang &amp; Miller, 1996; Garland, 1998).  Many of the recorded hosts are tropical plants that are hardly or not cultivated in the EPPO region. Other recorded crop plants which could be of significance for the EPPO region are avocado, banana, cherimoya, citrus, cotton, fig, grapevine, guava, and mulberry.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also been recorded on several rosaceous crops including apple, apricot, peach, pear and plum, but there appears to be no impact recorded on these hosts. The ornamental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is a major host which is often severely affected. A comprehensive list of hosts is provided by García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Centrolobium paraense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mutabilis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schizopetalus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caesalpiniifolia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hostilis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Mussaenda erythrophylla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speciosum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is probably native to Southern Asia, and has spread worldwide in tropical and subtropical regions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25759932" name="name31296623489017ea9" descr="PHENH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NHI_distribution_map.jpg"/>
                    <pic:cNvPicPr/>
                  </pic:nvPicPr>
                  <pic:blipFill>
                    <a:blip r:embed="rId35646623489017ea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Israel, Jordan,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Cameroon, Central African Republic, Chad, Congo, Congo, Democratic republic of the, Cote d'Ivoire, Egypt, Gabon, Gambia, Kenya, Liberia, Niger, Nigeria, Reunion, Senegal, Seychelles, Somalia, Sudan, Tanzania,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(Aomen (Macau), Guangdong, Shanxi, Xianggang (Hong Kong), Xizhang, Yunnan), India (Andaman and Nicobar Islands, Andhra Pradesh, Assam, Bihar, Delhi, Gujarat, Karnataka, Kerala, Madhya Pradesh, Maharashtra, Odisha, Punjab, Tamil Nadu, Telangana, Tripura, Uttar Pradesh, West Bengal), Indonesia (Irian Jaya, Java, Nusa Tenggara, Sulawesi, Sumatra), Iran, Israel, Japan (Ryukyu Archipelago), Jordan, Laos, Lebanon, Malaysia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Hawaii, Louisiana, New York, North Carolina, Oklahoma,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Bahamas, Barbados, Belize, Cayman Islands, Costa Rica, Cuba, Dominica, Grenada, Guadeloupe, Haiti, Jamaica, Martinique, Montserrat, Netherlands Antilles, Nicaragua,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(Alagoas, Bahia, Espirito Santo, Maranhao, Mato Grosso, Para, Pernambuco, Rio Grande do Sul, Roraima, Santa Catarina, Sao Paulo), Colombia,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South Australia, Western Australia), Fiji, Guam, Micronesia, New Caledonia,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 hirsutu</w:t>
      </w:r>
      <w:r>
        <w:rPr>
          <w:rFonts w:ascii="Calibri" w:hAnsi="Calibri" w:eastAsia="Calibri" w:cs="Calibri"/>
          <w:color w:val="000000"/>
          <w:sz w:val="22"/>
          <w:szCs w:val="22"/>
        </w:rPr>
        <w:t xml:space="preserve">s has been studied in India (Mani, 1989). Each adult female lays 150–600 eggs over a period of about one week, and these hatch in 6–9 days. Females have three nymphal instars, and the males have four. The final two male nymph instars (called prepupa and pupa) are usually sessile and do not feed. Temperatures most favorable for the development and reproduction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are 25 to 27 °C, and the thermal thresholds for female development are 14.5 °C (T min) and 29 °C (T max) (Chong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 generation is completed in about five weeks in warm conditions. In countries with a cool winter, the species survives cold conditions as eggs (Bartlett, 1978) or other stages, both on the host plant and in the soil (Pollard, 1995). There may be as many as 15 generations per year (Pollard, 1995). First-instar nymphs, known as ‘crawlers’, disperse by walking to other parts of the same plant or are carried further on the wind or by other means (e.g., animals, humans, vehicles or water). Crawlers settle in cracks and crevices, usually on new growth which becomes severely stunted and distorted, and in which densely packed colonies develop. Reproduction is mostly parthenogenetic in Egypt (Hall, 1921) and Bihar, India (Singh &amp; Ghosh, 1970), or bi-parental in West Bengal, India (Ghose, 1971b; 1972a) and probably in the Caribbean (Williams, 1996).</w:t>
      </w:r>
    </w:p>
    <w:p>
      <w:pPr>
        <w:widowControl w:val="on"/>
        <w:pBdr/>
        <w:spacing w:before="220" w:after="220" w:line="240" w:lineRule="auto"/>
        <w:ind w:left="0" w:right="0"/>
        <w:jc w:val="left"/>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are often associated with attendant ants, which feed on the honeydew egested by the mealybugs (Ghose, 1970; Mani, 1989;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Halaybeh &amp; Katbeh-Bader,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growing points become distorted, stunted, and swollen. These symptoms vary according to the susceptibility of each host species. In highly susceptible plants, even brief probing of unexpanded leaves by the mealybug </w:t>
      </w:r>
      <w:r>
        <w:rPr>
          <w:rFonts w:ascii="Calibri" w:hAnsi="Calibri" w:eastAsia="Calibri" w:cs="Calibri"/>
          <w:i/>
          <w:iCs/>
          <w:color w:val="000000"/>
          <w:sz w:val="22"/>
          <w:szCs w:val="22"/>
        </w:rPr>
        <w:t xml:space="preserve">stylets</w:t>
      </w:r>
      <w:r>
        <w:rPr>
          <w:rFonts w:ascii="Calibri" w:hAnsi="Calibri" w:eastAsia="Calibri" w:cs="Calibri"/>
          <w:color w:val="000000"/>
          <w:sz w:val="22"/>
          <w:szCs w:val="22"/>
        </w:rPr>
        <w:t xml:space="preserve"> causes severe crumpling of the leaves, and heavy infestation can cause defoliation, dieback and even death of the plant. As the plant dies back, the mealybugs migrate to healthy tissue, so the colonies migrate from shoot tips to twigs to branches and finally down the trunk. The mealybugs themselves are in general readily visible, though sometimes they are hidden in the distorted and swollen growth, or beneath the wax ovisacs. Infested plants may also be covered in sticky honeydew egested by the mealybugs, which serves as a medium for the growth of black sooty moulds. The honeydew may also attract attendant ants (Ghose, 1970; Mani,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pink. The first instars or crawlers are 0.3 mm long, pink; immature females and newly matured females greyish-pink, dusted with mealy white wax; adult female 2.5–4 mm long, soft-bodied, elongate oval and slightly flattened. The entire colony tends to become covered by white, waxy ovisac material.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can only be accurately identified by examination of slide-mounted adult females under a compound light microscope. A taxonomic key to all the species of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 is provided by Williams (1996) and there is an EPPO diagnostic protocol available for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(EPPO, 2006).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may be recognized by the presence of the following suite of characters: 9-segmented antennae, anal lobe bars, numerous dorsal oral rim ducts on all parts of the body except the limbs and long, and flagellate dorsal setae. This makes the species fairly easy to recognize in parts of the world where other </w:t>
      </w:r>
      <w:r>
        <w:rPr>
          <w:rFonts w:ascii="Calibri" w:hAnsi="Calibri" w:eastAsia="Calibri" w:cs="Calibri"/>
          <w:i/>
          <w:iCs/>
          <w:color w:val="000000"/>
          <w:sz w:val="22"/>
          <w:szCs w:val="22"/>
        </w:rPr>
        <w:t xml:space="preserve">Maconellicoccus </w:t>
      </w:r>
      <w:r>
        <w:rPr>
          <w:rFonts w:ascii="Calibri" w:hAnsi="Calibri" w:eastAsia="Calibri" w:cs="Calibri"/>
          <w:color w:val="000000"/>
          <w:sz w:val="22"/>
          <w:szCs w:val="22"/>
        </w:rPr>
        <w:t xml:space="preserve">species do not occur, such as Europe and the Americas. Adult males have a single pair of wings, long antennae, a pair of white wax ﬁlaments projecting posteriorly from the abdomen and no mouthparts.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All developmental stages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can be found by visual inspection of plant material, especially on the growing points, buds, flowers, and fruit. Large infestations may become covered by the white, sticky, elastic, woolly, waxy ovisacs. If the sticky wax is parted with a needle and examined with a x10 hand lens, clusters of eggs and females become visible.</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commonest, preferred hosts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and this is a good plant to monitor for early detection of the arrival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by the first instars crawling or being carried by wind, other animals, or machinery, occurs locally and relatively slowly. Faster and long-distance movement is likely to be due to adult females and immature stages being carried with plant material in trade, especially plants for planting.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may be transported with cut flowers and fresh fruit and vegetables, although the pest would have difficulty transferring to a suitable host due to their limited mobility.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is an invasive, highly polyphagous pest that has had a major economic impact in many tropical and subtropical regions. In India,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been recorded causing economic damage to a range of crops including: cotton (Dhawan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Muralidharan &amp; Badaya, 2000); the ﬁbre crops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(Ghose, 1961; 1971a; Singh &amp; Ghosh, 1970; 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grapevine (Manjunath, 1985); mulberry (Rao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pigeonpea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(Balikai &amp; Bagali,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has also had a major economic impact in the Americas. It was first detected in 1993 on the island of Grenada (Michaud &amp; Evans, 2000), where the annual losses were estimated to be 3.5 million USD, before establishment of biological control (François, 1996). Similar losses have been estimated in several other Caribbean islands. Various crops including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okra, mango and sorrel, and ornamentals which are valued by the tourist industry have been attacked, and also important forest trees such as </w:t>
      </w:r>
      <w:r>
        <w:rPr>
          <w:rFonts w:ascii="Calibri" w:hAnsi="Calibri" w:eastAsia="Calibri" w:cs="Calibri"/>
          <w:i/>
          <w:iCs/>
          <w:color w:val="000000"/>
          <w:sz w:val="22"/>
          <w:szCs w:val="22"/>
        </w:rPr>
        <w:t xml:space="preserve">Hibiscus elatus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(Pollard, 1995; Peters &amp; Watson, 1999;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Affected countries suffered serious loss of trade because other countries would not accept shipments of agricultural produce from them (Peters &amp; Watson, 1999). If the mealybug were to spread across the Southern USA, it is estimated that it could cause losses of 750 million USD per year (Mofﬁt, 1999).</w:t>
      </w:r>
    </w:p>
    <w:p>
      <w:pPr>
        <w:widowControl w:val="on"/>
        <w:pBdr/>
        <w:spacing w:before="220" w:after="220" w:line="240" w:lineRule="auto"/>
        <w:ind w:left="0" w:right="0"/>
        <w:jc w:val="both"/>
      </w:pPr>
      <w:r>
        <w:rPr>
          <w:rFonts w:ascii="Calibri" w:hAnsi="Calibri" w:eastAsia="Calibri" w:cs="Calibri"/>
          <w:color w:val="000000"/>
          <w:sz w:val="22"/>
          <w:szCs w:val="22"/>
        </w:rPr>
        <w:t xml:space="preserve">Williams (1996) notes that almost all serious damage by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been recorded between 7° and 30° North, where there are reports of seasonal differences in the incidence of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Plant protection products are of limited effectiveness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because of its habit of hiding in crevices, and the waxy covering of its body (Williams, 1996). In India, most granular insecticides are ineffective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(Mani, 1989); and systemic insecticides are only used to control heavy infestations. Inorganic oil emulsion sprays gave good control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on guava. Any insecticide used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should be carefully selected to avoid injury to its natural enemies. IPM using both coccinellid beetle predators and insecticides (dichlorvos and chlorpyrifos) has been achieved on grapevine (Mani, 1989).</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by release of natural enemies has proved highly effective in the management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The coccinellid predator </w:t>
      </w:r>
      <w:r>
        <w:rPr>
          <w:rFonts w:ascii="Calibri" w:hAnsi="Calibri" w:eastAsia="Calibri" w:cs="Calibri"/>
          <w:i/>
          <w:iCs/>
          <w:color w:val="000000"/>
          <w:sz w:val="22"/>
          <w:szCs w:val="22"/>
        </w:rPr>
        <w:t xml:space="preserve">Cryptolaemus montrouzieri</w:t>
      </w:r>
      <w:r>
        <w:rPr>
          <w:rFonts w:ascii="Calibri" w:hAnsi="Calibri" w:eastAsia="Calibri" w:cs="Calibri"/>
          <w:color w:val="000000"/>
          <w:sz w:val="22"/>
          <w:szCs w:val="22"/>
        </w:rPr>
        <w:t xml:space="preserve"> has been used successfully to reduce large populations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 India (Mani &amp; Krishnamoorthy, 2001) and the Caribbean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Egypt, however, </w:t>
      </w:r>
      <w:r>
        <w:rPr>
          <w:rFonts w:ascii="Calibri" w:hAnsi="Calibri" w:eastAsia="Calibri" w:cs="Calibri"/>
          <w:i/>
          <w:iCs/>
          <w:color w:val="000000"/>
          <w:sz w:val="22"/>
          <w:szCs w:val="22"/>
        </w:rPr>
        <w:t xml:space="preserve">C. montrouzieri</w:t>
      </w:r>
      <w:r>
        <w:rPr>
          <w:rFonts w:ascii="Calibri" w:hAnsi="Calibri" w:eastAsia="Calibri" w:cs="Calibri"/>
          <w:color w:val="000000"/>
          <w:sz w:val="22"/>
          <w:szCs w:val="22"/>
        </w:rPr>
        <w:t xml:space="preserve"> was unable to survive the cold winters in sufﬁcient numbers to be effective over the long term, and the main biological control agents used are the hymenopteran parasitoids </w:t>
      </w:r>
      <w:r>
        <w:rPr>
          <w:rFonts w:ascii="Calibri" w:hAnsi="Calibri" w:eastAsia="Calibri" w:cs="Calibri"/>
          <w:i/>
          <w:iCs/>
          <w:color w:val="000000"/>
          <w:sz w:val="22"/>
          <w:szCs w:val="22"/>
        </w:rPr>
        <w:t xml:space="preserve">Anagyrus kamali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Achrysopophagus</w:t>
      </w:r>
      <w:r>
        <w:rPr>
          <w:rFonts w:ascii="Calibri" w:hAnsi="Calibri" w:eastAsia="Calibri" w:cs="Calibri"/>
          <w:color w:val="000000"/>
          <w:sz w:val="22"/>
          <w:szCs w:val="22"/>
        </w:rPr>
        <w:t xml:space="preserve"> sp. (Bartlett, 1978). The great success of the biological control programmes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 the Caribbean, using </w:t>
      </w:r>
      <w:r>
        <w:rPr>
          <w:rFonts w:ascii="Calibri" w:hAnsi="Calibri" w:eastAsia="Calibri" w:cs="Calibri"/>
          <w:i/>
          <w:iCs/>
          <w:color w:val="000000"/>
          <w:sz w:val="22"/>
          <w:szCs w:val="22"/>
        </w:rPr>
        <w:t xml:space="preserve">C. montrouzieri</w:t>
      </w:r>
      <w:r>
        <w:rPr>
          <w:rFonts w:ascii="Calibri" w:hAnsi="Calibri" w:eastAsia="Calibri" w:cs="Calibri"/>
          <w:color w:val="000000"/>
          <w:sz w:val="22"/>
          <w:szCs w:val="22"/>
        </w:rPr>
        <w:t xml:space="preserve"> and the endoparasitoids </w:t>
      </w:r>
      <w:r>
        <w:rPr>
          <w:rFonts w:ascii="Calibri" w:hAnsi="Calibri" w:eastAsia="Calibri" w:cs="Calibri"/>
          <w:i/>
          <w:iCs/>
          <w:color w:val="000000"/>
          <w:sz w:val="22"/>
          <w:szCs w:val="22"/>
        </w:rPr>
        <w:t xml:space="preserve">A. kamali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Gyranusoidea indica</w:t>
      </w:r>
      <w:r>
        <w:rPr>
          <w:rFonts w:ascii="Calibri" w:hAnsi="Calibri" w:eastAsia="Calibri" w:cs="Calibri"/>
          <w:color w:val="000000"/>
          <w:sz w:val="22"/>
          <w:szCs w:val="22"/>
        </w:rPr>
        <w:t xml:space="preserve">, is largely attributable to these insects reproducing at least twice as fast as the mealybug (Pollard, 1995; Garland, 1998; Michaud &amp; Evans, 2000;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Persad &amp; Khan, 2002; Meyerdirk &amp; DeChi, 2005); populations were reduced by 82-97%, and the parasitoids were found to be effective in tropical, subtropical and semi-desert conditions. It was also important to use public awareness programmes to reduce the use of plant protection products that could adversely affect the biological control agents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Limited information is available on host-plant resistance or on methods of cultural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was added in 2012 to the EPPO A2 list of pests recommended for regulation as a quarantine pest (A2 pests are locally present in the EPPO region), and EPPO member countries at risk are recommended to regulate it as a quarantine pest. It is a quarantine pest in several countries and is also of regulatory interest to other Regional Plant Protection Organizations (e.g. COSAVE, EAEU and NAPPO).</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presents a potential risk to a range of crops, ornamentals and amenity plants including avocado, banana, cherimoya, citrus, cotton, fig, grapevine, guava, hibiscus, and mulberry. There is also a possibility that it could affect glasshouse crops in more northern countries. In addition, its presence in a country may create difficulties for the export of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a range of phytosanitary measures that may be taken to reduce the risk of introduction and spread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including: pre-export inspections to ensure that consignments of plants for planting are pest free; sourcing imports from pest free areas or in a pest-free place of production; phytosanitary certificates and plant passports; chemical treatments on crops including reproductive material; physical treatments on consignments or during processing; heat and cold treatments; and post-entry quarantine (PEQ).</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Balikai RA &amp; Bagali AN (2000) Population density of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on ber (</w:t>
      </w:r>
      <w:r>
        <w:rPr>
          <w:rFonts w:ascii="Calibri" w:hAnsi="Calibri" w:eastAsia="Calibri" w:cs="Calibri"/>
          <w:i/>
          <w:iCs/>
          <w:color w:val="000000"/>
          <w:sz w:val="22"/>
          <w:szCs w:val="22"/>
        </w:rPr>
        <w:t xml:space="preserve">Zizyphus mauritiana</w:t>
      </w:r>
      <w:r>
        <w:rPr>
          <w:rFonts w:ascii="Calibri" w:hAnsi="Calibri" w:eastAsia="Calibri" w:cs="Calibri"/>
          <w:color w:val="000000"/>
          <w:sz w:val="22"/>
          <w:szCs w:val="22"/>
        </w:rPr>
        <w:t xml:space="preserve">) and economic losses. </w:t>
      </w:r>
      <w:r>
        <w:rPr>
          <w:rFonts w:ascii="Calibri" w:hAnsi="Calibri" w:eastAsia="Calibri" w:cs="Calibri"/>
          <w:i/>
          <w:iCs/>
          <w:color w:val="000000"/>
          <w:sz w:val="22"/>
          <w:szCs w:val="22"/>
        </w:rPr>
        <w:t xml:space="preserve">Agricultural Science Digest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62–63.</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BR (1978) </w:t>
      </w:r>
      <w:r>
        <w:rPr>
          <w:rFonts w:ascii="Calibri" w:hAnsi="Calibri" w:eastAsia="Calibri" w:cs="Calibri"/>
          <w:i/>
          <w:iCs/>
          <w:color w:val="000000"/>
          <w:sz w:val="22"/>
          <w:szCs w:val="22"/>
        </w:rPr>
        <w:t xml:space="preserve">Pseudococcidae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Introduced Parasites and Predators of Arthropod Pests and Weeds: a World Review </w:t>
      </w:r>
      <w:r>
        <w:rPr>
          <w:rFonts w:ascii="Calibri" w:hAnsi="Calibri" w:eastAsia="Calibri" w:cs="Calibri"/>
          <w:color w:val="000000"/>
          <w:sz w:val="22"/>
          <w:szCs w:val="22"/>
        </w:rPr>
        <w:t xml:space="preserve">(Ed. Clausen CP), pp. 137–170. Agriculture Handbook no. 480. USDA,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(2004) Maconellicoccus hirsutus.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no. 100.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Chang LWH &amp; Miller CE (1996) Pathway Risk Assessment: Pink mealybug from the Caribbean. Animal and Plant Health Inspection Service, U.S. Dept. of Agriculture 61 pp.</w:t>
      </w:r>
    </w:p>
    <w:p>
      <w:pPr>
        <w:widowControl w:val="on"/>
        <w:pBdr/>
        <w:spacing w:before="220" w:after="220" w:line="240" w:lineRule="auto"/>
        <w:ind w:left="0" w:right="0"/>
        <w:jc w:val="left"/>
      </w:pPr>
      <w:r>
        <w:rPr>
          <w:rFonts w:ascii="Calibri" w:hAnsi="Calibri" w:eastAsia="Calibri" w:cs="Calibri"/>
          <w:color w:val="000000"/>
          <w:sz w:val="22"/>
          <w:szCs w:val="22"/>
        </w:rPr>
        <w:t xml:space="preserve">Chong JH, Roda AL &amp; Mannion CM (2008) Life history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(Hemiptera: Pseudococcidae), at constant temperatures.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323–332. </w:t>
      </w:r>
    </w:p>
    <w:p>
      <w:pPr>
        <w:widowControl w:val="on"/>
        <w:pBdr/>
        <w:spacing w:before="220" w:after="220" w:line="240" w:lineRule="auto"/>
        <w:ind w:left="0" w:right="0"/>
        <w:jc w:val="left"/>
      </w:pPr>
      <w:r>
        <w:rPr>
          <w:rFonts w:ascii="Calibri" w:hAnsi="Calibri" w:eastAsia="Calibri" w:cs="Calibri"/>
          <w:color w:val="000000"/>
          <w:sz w:val="22"/>
          <w:szCs w:val="22"/>
        </w:rPr>
        <w:t xml:space="preserve">Dhawan AK, Joginder Singh &amp; Sidhu AS (1980) </w:t>
      </w:r>
      <w:r>
        <w:rPr>
          <w:rFonts w:ascii="Calibri" w:hAnsi="Calibri" w:eastAsia="Calibri" w:cs="Calibri"/>
          <w:i/>
          <w:iCs/>
          <w:color w:val="000000"/>
          <w:sz w:val="22"/>
          <w:szCs w:val="22"/>
        </w:rPr>
        <w:t xml:space="preserve">Maconellicoccus </w:t>
      </w:r>
      <w:r>
        <w:rPr>
          <w:rFonts w:ascii="Calibri" w:hAnsi="Calibri" w:eastAsia="Calibri" w:cs="Calibri"/>
          <w:color w:val="000000"/>
          <w:sz w:val="22"/>
          <w:szCs w:val="22"/>
        </w:rPr>
        <w:t xml:space="preserve">sp. attacking arboreum cotton in Punjab. </w:t>
      </w:r>
      <w:r>
        <w:rPr>
          <w:rFonts w:ascii="Calibri" w:hAnsi="Calibri" w:eastAsia="Calibri" w:cs="Calibri"/>
          <w:i/>
          <w:iCs/>
          <w:color w:val="000000"/>
          <w:sz w:val="22"/>
          <w:szCs w:val="22"/>
        </w:rPr>
        <w:t xml:space="preserve">Science and Culture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Standards PM 7/70 (1)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Ezzat YM (1958)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a new genus, with redescription of the species [Homoptera: Pseudococcidae-Coccoidea].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,377-383.</w:t>
      </w:r>
    </w:p>
    <w:p>
      <w:pPr>
        <w:widowControl w:val="on"/>
        <w:pBdr/>
        <w:spacing w:before="220" w:after="220" w:line="240" w:lineRule="auto"/>
        <w:ind w:left="0" w:right="0"/>
        <w:jc w:val="left"/>
      </w:pPr>
      <w:r>
        <w:rPr>
          <w:rFonts w:ascii="Calibri" w:hAnsi="Calibri" w:eastAsia="Calibri" w:cs="Calibri"/>
          <w:color w:val="000000"/>
          <w:sz w:val="22"/>
          <w:szCs w:val="22"/>
        </w:rPr>
        <w:t xml:space="preserve">François B (1996) Measuring the impact of mealybug infestation. </w:t>
      </w:r>
      <w:r>
        <w:rPr>
          <w:rFonts w:ascii="Calibri" w:hAnsi="Calibri" w:eastAsia="Calibri" w:cs="Calibri"/>
          <w:i/>
          <w:iCs/>
          <w:color w:val="000000"/>
          <w:sz w:val="22"/>
          <w:szCs w:val="22"/>
        </w:rPr>
        <w:t xml:space="preserve">Proceedings of the First Symposium on the Hibiscus Mealybug in the Caribbean</w:t>
      </w:r>
      <w:r>
        <w:rPr>
          <w:rFonts w:ascii="Calibri" w:hAnsi="Calibri" w:eastAsia="Calibri" w:cs="Calibri"/>
          <w:color w:val="000000"/>
          <w:sz w:val="22"/>
          <w:szCs w:val="22"/>
        </w:rPr>
        <w:t xml:space="preserve">, 24–27 June 1996, Grenada.</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Morales M, Denno BD, Miller DR, Miller GL, Ben-Dov Y, Hardy NB (2016) ScaleNet: a literature-based model of scale insect biology and systematics. Database. </w:t>
      </w:r>
      <w:hyperlink r:id="rId474966234890193fa" w:history="1">
        <w:r>
          <w:rPr>
            <w:rFonts w:ascii="Calibri" w:hAnsi="Calibri" w:eastAsia="Calibri" w:cs="Calibri"/>
            <w:color w:val="0000CC"/>
            <w:sz w:val="22"/>
            <w:szCs w:val="22"/>
            <w:u w:val="single"/>
          </w:rPr>
          <w:t xml:space="preserve">https://doi.org/10.1093/database/bav118</w:t>
        </w:r>
      </w:hyperlink>
      <w:r>
        <w:rPr>
          <w:rFonts w:ascii="Calibri" w:hAnsi="Calibri" w:eastAsia="Calibri" w:cs="Calibri"/>
          <w:color w:val="000000"/>
          <w:sz w:val="22"/>
          <w:szCs w:val="22"/>
        </w:rPr>
        <w:t xml:space="preserve"> - </w:t>
      </w:r>
      <w:hyperlink r:id="rId48936623489019423" w:history="1">
        <w:r>
          <w:rPr>
            <w:rFonts w:ascii="Calibri" w:hAnsi="Calibri" w:eastAsia="Calibri" w:cs="Calibri"/>
            <w:color w:val="0000CC"/>
            <w:sz w:val="22"/>
            <w:szCs w:val="22"/>
            <w:u w:val="single"/>
          </w:rPr>
          <w:t xml:space="preserve">http://scalenet.info</w:t>
        </w:r>
      </w:hyperlink>
      <w:r>
        <w:rPr>
          <w:rFonts w:ascii="Calibri" w:hAnsi="Calibri" w:eastAsia="Calibri" w:cs="Calibri"/>
          <w:color w:val="000000"/>
          <w:sz w:val="22"/>
          <w:szCs w:val="22"/>
        </w:rPr>
        <w:t xml:space="preserve"> (accessed 25 July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Garland JA (1998) Pest Risk Assessment of the pink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(Green), with particular reference to Canadian greenhouses. PRA 96–21. Canadian Food Inspection Agency,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(1961) Studies of some coccids (</w:t>
      </w:r>
      <w:r>
        <w:rPr>
          <w:rFonts w:ascii="Calibri" w:hAnsi="Calibri" w:eastAsia="Calibri" w:cs="Calibri"/>
          <w:i/>
          <w:iCs/>
          <w:color w:val="000000"/>
          <w:sz w:val="22"/>
          <w:szCs w:val="22"/>
        </w:rPr>
        <w:t xml:space="preserve">Coccoidea: Hemiptera</w:t>
      </w:r>
      <w:r>
        <w:rPr>
          <w:rFonts w:ascii="Calibri" w:hAnsi="Calibri" w:eastAsia="Calibri" w:cs="Calibri"/>
          <w:color w:val="000000"/>
          <w:sz w:val="22"/>
          <w:szCs w:val="22"/>
        </w:rPr>
        <w:t xml:space="preserve">) of economic importance in West Bengal, India. </w:t>
      </w:r>
      <w:r>
        <w:rPr>
          <w:rFonts w:ascii="Calibri" w:hAnsi="Calibri" w:eastAsia="Calibri" w:cs="Calibri"/>
          <w:i/>
          <w:iCs/>
          <w:color w:val="000000"/>
          <w:sz w:val="22"/>
          <w:szCs w:val="22"/>
        </w:rPr>
        <w:t xml:space="preserve">Indian Agriculturist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57–78.</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(1970) Predators, parasites and attending ants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Protection Bulletin, India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22–30.</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(1971a) Assessment of loss in yield of seeds of roselle (</w:t>
      </w:r>
      <w:r>
        <w:rPr>
          <w:rFonts w:ascii="Calibri" w:hAnsi="Calibri" w:eastAsia="Calibri" w:cs="Calibri"/>
          <w:i/>
          <w:iCs/>
          <w:color w:val="000000"/>
          <w:sz w:val="22"/>
          <w:szCs w:val="22"/>
        </w:rPr>
        <w:t xml:space="preserve">Hibiscus sabdariffa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altissima</w:t>
      </w:r>
      <w:r>
        <w:rPr>
          <w:rFonts w:ascii="Calibri" w:hAnsi="Calibri" w:eastAsia="Calibri" w:cs="Calibri"/>
          <w:color w:val="000000"/>
          <w:sz w:val="22"/>
          <w:szCs w:val="22"/>
        </w:rPr>
        <w:t xml:space="preserve">) due to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360–362.</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(1971b) Morphology of various instars of both sexes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602–611.</w:t>
      </w:r>
    </w:p>
    <w:p>
      <w:pPr>
        <w:widowControl w:val="on"/>
        <w:pBdr/>
        <w:spacing w:before="220" w:after="220" w:line="240" w:lineRule="auto"/>
        <w:ind w:left="0" w:right="0"/>
        <w:jc w:val="left"/>
      </w:pPr>
      <w:r>
        <w:rPr>
          <w:rFonts w:ascii="Calibri" w:hAnsi="Calibri" w:eastAsia="Calibri" w:cs="Calibri"/>
          <w:color w:val="000000"/>
          <w:sz w:val="22"/>
          <w:szCs w:val="22"/>
        </w:rPr>
        <w:t xml:space="preserve">Green EE (1908) Remarks on Indian scale insects (Coccidae), Part III. With a catalogue of all species hitherto recorded from the Indian continent. Memoirs of the Department of Agriculture in India, Entomology Series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15-46. </w:t>
      </w:r>
    </w:p>
    <w:p>
      <w:pPr>
        <w:widowControl w:val="on"/>
        <w:pBdr/>
        <w:spacing w:before="220" w:after="220" w:line="240" w:lineRule="auto"/>
        <w:ind w:left="0" w:right="0"/>
        <w:jc w:val="left"/>
      </w:pPr>
      <w:r>
        <w:rPr>
          <w:rFonts w:ascii="Calibri" w:hAnsi="Calibri" w:eastAsia="Calibri" w:cs="Calibri"/>
          <w:color w:val="000000"/>
          <w:sz w:val="22"/>
          <w:szCs w:val="22"/>
        </w:rPr>
        <w:t xml:space="preserve">Halayeh M &amp; Katbeh-Bader A (2010) The Pink Hibiscus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a new pest on Guava trees in Jordan (Hemiptera, Sternorrhyncha, Pseudococcidae). Cesa News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67-71</w:t>
      </w:r>
    </w:p>
    <w:p>
      <w:pPr>
        <w:widowControl w:val="on"/>
        <w:pBdr/>
        <w:spacing w:before="220" w:after="220" w:line="240" w:lineRule="auto"/>
        <w:ind w:left="0" w:right="0"/>
        <w:jc w:val="left"/>
      </w:pPr>
      <w:r>
        <w:rPr>
          <w:rFonts w:ascii="Calibri" w:hAnsi="Calibri" w:eastAsia="Calibri" w:cs="Calibri"/>
          <w:color w:val="000000"/>
          <w:sz w:val="22"/>
          <w:szCs w:val="22"/>
        </w:rPr>
        <w:t xml:space="preserve">Hall WJ (1921) The hibiscus mealy bug (</w:t>
      </w:r>
      <w:r>
        <w:rPr>
          <w:rFonts w:ascii="Calibri" w:hAnsi="Calibri" w:eastAsia="Calibri" w:cs="Calibri"/>
          <w:i/>
          <w:iCs/>
          <w:color w:val="000000"/>
          <w:sz w:val="22"/>
          <w:szCs w:val="22"/>
        </w:rPr>
        <w:t xml:space="preserve">Phenacoccus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Ministry of Agriculture Egypt Technical and Scientiﬁc Service Entomological Section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1–28.</w:t>
      </w:r>
    </w:p>
    <w:p>
      <w:pPr>
        <w:widowControl w:val="on"/>
        <w:pBdr/>
        <w:spacing w:before="220" w:after="220" w:line="240" w:lineRule="auto"/>
        <w:ind w:left="0" w:right="0"/>
        <w:jc w:val="left"/>
      </w:pPr>
      <w:r>
        <w:rPr>
          <w:rFonts w:ascii="Calibri" w:hAnsi="Calibri" w:eastAsia="Calibri" w:cs="Calibri"/>
          <w:color w:val="000000"/>
          <w:sz w:val="22"/>
          <w:szCs w:val="22"/>
        </w:rPr>
        <w:t xml:space="preserve">Kairo MTK, Pollard GV, Peterkin DD &amp; Lopez VF (2000) Biological control of the hibiscus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in the Caribbean. </w:t>
      </w:r>
      <w:r>
        <w:rPr>
          <w:rFonts w:ascii="Calibri" w:hAnsi="Calibri" w:eastAsia="Calibri" w:cs="Calibri"/>
          <w:i/>
          <w:iCs/>
          <w:color w:val="000000"/>
          <w:sz w:val="22"/>
          <w:szCs w:val="22"/>
        </w:rPr>
        <w:t xml:space="preserve">Integrated Pest Management Reviews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241–254.</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(1989) A review of the pink mealybug –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 Science and its Application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157–167.</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&amp; Krishnamoorthy A (2001) Suppression of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on guava. </w:t>
      </w:r>
      <w:r>
        <w:rPr>
          <w:rFonts w:ascii="Calibri" w:hAnsi="Calibri" w:eastAsia="Calibri" w:cs="Calibri"/>
          <w:i/>
          <w:iCs/>
          <w:color w:val="000000"/>
          <w:sz w:val="22"/>
          <w:szCs w:val="22"/>
        </w:rPr>
        <w:t xml:space="preserve">Insect Environment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152.</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TM (1985) India –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on grapevine. </w:t>
      </w:r>
      <w:r>
        <w:rPr>
          <w:rFonts w:ascii="Calibri" w:hAnsi="Calibri" w:eastAsia="Calibri" w:cs="Calibri"/>
          <w:i/>
          <w:iCs/>
          <w:color w:val="000000"/>
          <w:sz w:val="22"/>
          <w:szCs w:val="22"/>
        </w:rPr>
        <w:t xml:space="preserve">FAO Plant Protection Bulletin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74.</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DS, Fornazier MJ, Peronti ALBG, Culik MP, Souza, CAS, Taques RC, Zanuncio Junior, JS &amp; Queiroz RB (2019)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(Hemiptera: Pseudococcidae) in Brazil: recent spread, natural enemies, and new hosts.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438-443. </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Meyerdirk DE &amp; DeChi LW (2005) Models for minimizing risks of dangerous pests: the pink hibiscus mealybug and papaya mealybug, In: Proceedings 39th Annual Meeting: "Food Production, Marketing and Safety: Strategies for Caribbean Food Security".July 13-19, 2003, St. Gerorge’s, Grenada, W.I. Pub. Caribbean Food Crops Society,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Michaud JP &amp; Evans GA (2000) Current status of pink hibiscus mealybug in Puerto Rico including a key to parasitoid species.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97–101.</w:t>
      </w:r>
    </w:p>
    <w:p>
      <w:pPr>
        <w:widowControl w:val="on"/>
        <w:pBdr/>
        <w:spacing w:before="220" w:after="220" w:line="240" w:lineRule="auto"/>
        <w:ind w:left="0" w:right="0"/>
        <w:jc w:val="left"/>
      </w:pPr>
      <w:r>
        <w:rPr>
          <w:rFonts w:ascii="Calibri" w:hAnsi="Calibri" w:eastAsia="Calibri" w:cs="Calibri"/>
          <w:color w:val="000000"/>
          <w:sz w:val="22"/>
          <w:szCs w:val="22"/>
        </w:rPr>
        <w:t xml:space="preserve">Mofﬁt LJ (1999) Economic risk to United States agriculture of pink hibiscus mealybug invasion. </w:t>
      </w:r>
      <w:r>
        <w:rPr>
          <w:rFonts w:ascii="Calibri" w:hAnsi="Calibri" w:eastAsia="Calibri" w:cs="Calibri"/>
          <w:i/>
          <w:iCs/>
          <w:color w:val="000000"/>
          <w:sz w:val="22"/>
          <w:szCs w:val="22"/>
        </w:rPr>
        <w:t xml:space="preserve">Report to the Animal and Plant Health Inspection Service, United States Department of Agriculture</w:t>
      </w:r>
      <w:r>
        <w:rPr>
          <w:rFonts w:ascii="Calibri" w:hAnsi="Calibri" w:eastAsia="Calibri" w:cs="Calibri"/>
          <w:color w:val="000000"/>
          <w:sz w:val="22"/>
          <w:szCs w:val="22"/>
        </w:rPr>
        <w:t xml:space="preserve">. USDA/APHIS, Beltsville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Muralidharan CM &amp; Badaya SN (2000)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outbreak on herbaceum cotton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in Wagad cotton belt of Kachch.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705–706.</w:t>
      </w:r>
    </w:p>
    <w:p>
      <w:pPr>
        <w:widowControl w:val="on"/>
        <w:pBdr/>
        <w:spacing w:before="220" w:after="220" w:line="240" w:lineRule="auto"/>
        <w:ind w:left="0" w:right="0"/>
        <w:jc w:val="left"/>
      </w:pPr>
      <w:r>
        <w:rPr>
          <w:rFonts w:ascii="Calibri" w:hAnsi="Calibri" w:eastAsia="Calibri" w:cs="Calibri"/>
          <w:color w:val="000000"/>
          <w:sz w:val="22"/>
          <w:szCs w:val="22"/>
        </w:rPr>
        <w:t xml:space="preserve">Patel IS, Dodia DA &amp; Patel SN (1990) First record of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as a pest of pigeonpea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645.</w:t>
      </w:r>
    </w:p>
    <w:p>
      <w:pPr>
        <w:widowControl w:val="on"/>
        <w:pBdr/>
        <w:spacing w:before="220" w:after="220" w:line="240" w:lineRule="auto"/>
        <w:ind w:left="0" w:right="0"/>
        <w:jc w:val="left"/>
      </w:pPr>
      <w:r>
        <w:rPr>
          <w:rFonts w:ascii="Calibri" w:hAnsi="Calibri" w:eastAsia="Calibri" w:cs="Calibri"/>
          <w:color w:val="000000"/>
          <w:sz w:val="22"/>
          <w:szCs w:val="22"/>
        </w:rPr>
        <w:t xml:space="preserve">Persad A &amp; Khan A (2000) The effect of five insecticides on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(Homoptera: Pseudococcidae) and its natural enemies </w:t>
      </w:r>
      <w:r>
        <w:rPr>
          <w:rFonts w:ascii="Calibri" w:hAnsi="Calibri" w:eastAsia="Calibri" w:cs="Calibri"/>
          <w:i/>
          <w:iCs/>
          <w:color w:val="000000"/>
          <w:sz w:val="22"/>
          <w:szCs w:val="22"/>
        </w:rPr>
        <w:t xml:space="preserve">Anagyrus kamali</w:t>
      </w:r>
      <w:r>
        <w:rPr>
          <w:rFonts w:ascii="Calibri" w:hAnsi="Calibri" w:eastAsia="Calibri" w:cs="Calibri"/>
          <w:color w:val="000000"/>
          <w:sz w:val="22"/>
          <w:szCs w:val="22"/>
        </w:rPr>
        <w:t xml:space="preserve"> Moursi (Hymenoptera: Encyrtidae), and </w:t>
      </w:r>
      <w:r>
        <w:rPr>
          <w:rFonts w:ascii="Calibri" w:hAnsi="Calibri" w:eastAsia="Calibri" w:cs="Calibri"/>
          <w:i/>
          <w:iCs/>
          <w:color w:val="000000"/>
          <w:sz w:val="22"/>
          <w:szCs w:val="22"/>
        </w:rPr>
        <w:t xml:space="preserve">Cryptolaemus montrouzieri</w:t>
      </w:r>
      <w:r>
        <w:rPr>
          <w:rFonts w:ascii="Calibri" w:hAnsi="Calibri" w:eastAsia="Calibri" w:cs="Calibri"/>
          <w:color w:val="000000"/>
          <w:sz w:val="22"/>
          <w:szCs w:val="22"/>
        </w:rPr>
        <w:t xml:space="preserve"> Mulsant and </w:t>
      </w:r>
      <w:r>
        <w:rPr>
          <w:rFonts w:ascii="Calibri" w:hAnsi="Calibri" w:eastAsia="Calibri" w:cs="Calibri"/>
          <w:i/>
          <w:iCs/>
          <w:color w:val="000000"/>
          <w:sz w:val="22"/>
          <w:szCs w:val="22"/>
        </w:rPr>
        <w:t xml:space="preserve">Scymnus coccivora</w:t>
      </w:r>
      <w:r>
        <w:rPr>
          <w:rFonts w:ascii="Calibri" w:hAnsi="Calibri" w:eastAsia="Calibri" w:cs="Calibri"/>
          <w:color w:val="000000"/>
          <w:sz w:val="22"/>
          <w:szCs w:val="22"/>
        </w:rPr>
        <w:t xml:space="preserve"> Aiyar (Coleoptera: Coccinellidae). </w:t>
      </w:r>
      <w:r>
        <w:rPr>
          <w:rFonts w:ascii="Calibri" w:hAnsi="Calibri" w:eastAsia="Calibri" w:cs="Calibri"/>
          <w:i/>
          <w:iCs/>
          <w:color w:val="000000"/>
          <w:sz w:val="22"/>
          <w:szCs w:val="22"/>
        </w:rPr>
        <w:t xml:space="preserve">International Pest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(5), 170-173.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T &amp; Watson GW (1999) The biological control of Hibiscus mealybug in Grenada. In: </w:t>
      </w:r>
      <w:r>
        <w:rPr>
          <w:rFonts w:ascii="Calibri" w:hAnsi="Calibri" w:eastAsia="Calibri" w:cs="Calibri"/>
          <w:i/>
          <w:iCs/>
          <w:color w:val="000000"/>
          <w:sz w:val="22"/>
          <w:szCs w:val="22"/>
        </w:rPr>
        <w:t xml:space="preserve">Paths to Prosperity: Science and Technology in the Commonwealth 1999/2000 </w:t>
      </w:r>
      <w:r>
        <w:rPr>
          <w:rFonts w:ascii="Calibri" w:hAnsi="Calibri" w:eastAsia="Calibri" w:cs="Calibri"/>
          <w:color w:val="000000"/>
          <w:sz w:val="22"/>
          <w:szCs w:val="22"/>
        </w:rPr>
        <w:t xml:space="preserve">(Ed. Bell K), pp. 130–132. Kensington Publications,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Pollard GV (1995) Pink or hibiscus mealybug in the Caribbean. </w:t>
      </w:r>
      <w:r>
        <w:rPr>
          <w:rFonts w:ascii="Calibri" w:hAnsi="Calibri" w:eastAsia="Calibri" w:cs="Calibri"/>
          <w:i/>
          <w:iCs/>
          <w:color w:val="000000"/>
          <w:sz w:val="22"/>
          <w:szCs w:val="22"/>
        </w:rPr>
        <w:t xml:space="preserve">CARAPHIN News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Raju AK, Rao PRM, Apparao RV, Readdy AS &amp; Rao KKP (1988) Note on estimation of losses in yield of mesta due to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Jute Development Journal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Rao AA, Teotia RS, Chauhan SS, Chakraborty S &amp; Rao GS (1993) Studies on the seasonal incidence of the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causing ‘tukra’ on mulberry in West Bengal. </w:t>
      </w:r>
      <w:r>
        <w:rPr>
          <w:rFonts w:ascii="Calibri" w:hAnsi="Calibri" w:eastAsia="Calibri" w:cs="Calibri"/>
          <w:i/>
          <w:iCs/>
          <w:color w:val="000000"/>
          <w:sz w:val="22"/>
          <w:szCs w:val="22"/>
        </w:rPr>
        <w:t xml:space="preserve">Indian Journal of Sericulture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111–113.</w:t>
      </w:r>
    </w:p>
    <w:p>
      <w:pPr>
        <w:widowControl w:val="on"/>
        <w:pBdr/>
        <w:spacing w:before="220" w:after="220" w:line="240" w:lineRule="auto"/>
        <w:ind w:left="0" w:right="0"/>
        <w:jc w:val="left"/>
      </w:pPr>
      <w:r>
        <w:rPr>
          <w:rFonts w:ascii="Calibri" w:hAnsi="Calibri" w:eastAsia="Calibri" w:cs="Calibri"/>
          <w:color w:val="000000"/>
          <w:sz w:val="22"/>
          <w:szCs w:val="22"/>
        </w:rPr>
        <w:t xml:space="preserve">Singh MP &amp; Ghosh SN (1970) Studies on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causing ‘bunchy top’ in mesta. </w:t>
      </w:r>
      <w:r>
        <w:rPr>
          <w:rFonts w:ascii="Calibri" w:hAnsi="Calibri" w:eastAsia="Calibri" w:cs="Calibri"/>
          <w:i/>
          <w:iCs/>
          <w:color w:val="000000"/>
          <w:sz w:val="22"/>
          <w:szCs w:val="22"/>
        </w:rPr>
        <w:t xml:space="preserve">Indian Journal of Science and Industry </w:t>
      </w:r>
      <w:r>
        <w:rPr>
          <w:rFonts w:ascii="Calibri" w:hAnsi="Calibri" w:eastAsia="Calibri" w:cs="Calibri"/>
          <w:color w:val="000000"/>
          <w:sz w:val="22"/>
          <w:szCs w:val="22"/>
        </w:rPr>
        <w:t xml:space="preserve">A 4, 99–105.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(1996) A brief account of the hibiscus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a pest of agriculture and horticulture, with descriptions of two related species from southern Asia.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617–628.</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Maconellicoccus hirsutus. </w:t>
      </w:r>
      <w:hyperlink r:id="rId5662662348901a0e8" w:history="1">
        <w:r>
          <w:rPr>
            <w:rFonts w:ascii="Calibri" w:hAnsi="Calibri" w:eastAsia="Calibri" w:cs="Calibri"/>
            <w:color w:val="0000CC"/>
            <w:sz w:val="22"/>
            <w:szCs w:val="22"/>
            <w:u w:val="single"/>
          </w:rPr>
          <w:t xml:space="preserve">https://www.cabi.org/isc/datasheet/40171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Chris Malumphy, Fera Science Ltd.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EPPO datasheets on pests recommended for regulation. Available online. </w:t>
      </w:r>
      <w:hyperlink r:id="rId7528662348901a1c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413-415. </w:t>
      </w:r>
      <w:hyperlink r:id="rId9258662348901a2b2" w:history="1">
        <w:r>
          <w:rPr>
            <w:rFonts w:ascii="Calibri" w:hAnsi="Calibri" w:eastAsia="Calibri" w:cs="Calibri"/>
            <w:color w:val="0000CC"/>
            <w:sz w:val="22"/>
            <w:szCs w:val="22"/>
            <w:u w:val="single"/>
          </w:rPr>
          <w:t xml:space="preserve">https://doi.org/10.1111/j.1365-2338.2005.00903.x</w:t>
        </w:r>
      </w:hyperlink>
      <w:r>
        <w:rPr>
          <w:rFonts w:ascii="Calibri" w:hAnsi="Calibri" w:eastAsia="Calibri" w:cs="Calibri"/>
          <w:color w:val="000000"/>
          <w:sz w:val="22"/>
          <w:szCs w:val="22"/>
        </w:rPr>
        <w:t xml:space="preserve"> </w:t>
      </w:r>
    </w:p>
    <w:p>
      <w:r>
        <w:drawing>
          <wp:inline distT="0" distB="0" distL="0" distR="0">
            <wp:extent cx="1800000" cy="604800"/>
            <wp:docPr id="80874758" name="name4310662348901a4d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04662348901a4d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474711">
    <w:multiLevelType w:val="hybridMultilevel"/>
    <w:lvl w:ilvl="0" w:tplc="34635445">
      <w:start w:val="1"/>
      <w:numFmt w:val="decimal"/>
      <w:lvlText w:val="%1."/>
      <w:lvlJc w:val="left"/>
      <w:pPr>
        <w:ind w:left="720" w:hanging="360"/>
      </w:pPr>
    </w:lvl>
    <w:lvl w:ilvl="1" w:tplc="34635445" w:tentative="1">
      <w:start w:val="1"/>
      <w:numFmt w:val="lowerLetter"/>
      <w:lvlText w:val="%2."/>
      <w:lvlJc w:val="left"/>
      <w:pPr>
        <w:ind w:left="1440" w:hanging="360"/>
      </w:pPr>
    </w:lvl>
    <w:lvl w:ilvl="2" w:tplc="34635445" w:tentative="1">
      <w:start w:val="1"/>
      <w:numFmt w:val="lowerRoman"/>
      <w:lvlText w:val="%3."/>
      <w:lvlJc w:val="right"/>
      <w:pPr>
        <w:ind w:left="2160" w:hanging="180"/>
      </w:pPr>
    </w:lvl>
    <w:lvl w:ilvl="3" w:tplc="34635445" w:tentative="1">
      <w:start w:val="1"/>
      <w:numFmt w:val="decimal"/>
      <w:lvlText w:val="%4."/>
      <w:lvlJc w:val="left"/>
      <w:pPr>
        <w:ind w:left="2880" w:hanging="360"/>
      </w:pPr>
    </w:lvl>
    <w:lvl w:ilvl="4" w:tplc="34635445" w:tentative="1">
      <w:start w:val="1"/>
      <w:numFmt w:val="lowerLetter"/>
      <w:lvlText w:val="%5."/>
      <w:lvlJc w:val="left"/>
      <w:pPr>
        <w:ind w:left="3600" w:hanging="360"/>
      </w:pPr>
    </w:lvl>
    <w:lvl w:ilvl="5" w:tplc="34635445" w:tentative="1">
      <w:start w:val="1"/>
      <w:numFmt w:val="lowerRoman"/>
      <w:lvlText w:val="%6."/>
      <w:lvlJc w:val="right"/>
      <w:pPr>
        <w:ind w:left="4320" w:hanging="180"/>
      </w:pPr>
    </w:lvl>
    <w:lvl w:ilvl="6" w:tplc="34635445" w:tentative="1">
      <w:start w:val="1"/>
      <w:numFmt w:val="decimal"/>
      <w:lvlText w:val="%7."/>
      <w:lvlJc w:val="left"/>
      <w:pPr>
        <w:ind w:left="5040" w:hanging="360"/>
      </w:pPr>
    </w:lvl>
    <w:lvl w:ilvl="7" w:tplc="34635445" w:tentative="1">
      <w:start w:val="1"/>
      <w:numFmt w:val="lowerLetter"/>
      <w:lvlText w:val="%8."/>
      <w:lvlJc w:val="left"/>
      <w:pPr>
        <w:ind w:left="5760" w:hanging="360"/>
      </w:pPr>
    </w:lvl>
    <w:lvl w:ilvl="8" w:tplc="34635445" w:tentative="1">
      <w:start w:val="1"/>
      <w:numFmt w:val="lowerRoman"/>
      <w:lvlText w:val="%9."/>
      <w:lvlJc w:val="right"/>
      <w:pPr>
        <w:ind w:left="6480" w:hanging="180"/>
      </w:pPr>
    </w:lvl>
  </w:abstractNum>
  <w:abstractNum w:abstractNumId="73474710">
    <w:multiLevelType w:val="hybridMultilevel"/>
    <w:lvl w:ilvl="0" w:tplc="956724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474710">
    <w:abstractNumId w:val="73474710"/>
  </w:num>
  <w:num w:numId="73474711">
    <w:abstractNumId w:val="734747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0701441" Type="http://schemas.microsoft.com/office/2011/relationships/commentsExtended" Target="commentsExtended.xml"/><Relationship Id="rId971355048" Type="http://schemas.microsoft.com/office/2011/relationships/people" Target="people.xml"/><Relationship Id="rId45206623489016399" Type="http://schemas.openxmlformats.org/officeDocument/2006/relationships/hyperlink" Target="https://gd.eppo.int/taxon/PHENHI/" TargetMode="External"/><Relationship Id="rId134166234890163e6" Type="http://schemas.openxmlformats.org/officeDocument/2006/relationships/hyperlink" Target="https://gd.eppo.int/taxon/PHENHI/categorization" TargetMode="External"/><Relationship Id="rId3317662348901687b" Type="http://schemas.openxmlformats.org/officeDocument/2006/relationships/hyperlink" Target="https://gd.eppo.int/taxon/PHENHI/photos" TargetMode="External"/><Relationship Id="rId474966234890193fa" Type="http://schemas.openxmlformats.org/officeDocument/2006/relationships/hyperlink" Target="https://doi.org/10.1093/database/bav118" TargetMode="External"/><Relationship Id="rId48936623489019423" Type="http://schemas.openxmlformats.org/officeDocument/2006/relationships/hyperlink" Target="http://scalenet.info/" TargetMode="External"/><Relationship Id="rId5662662348901a0e8" Type="http://schemas.openxmlformats.org/officeDocument/2006/relationships/hyperlink" Target="https://www.cabi.org/isc/datasheet/40171" TargetMode="External"/><Relationship Id="rId7528662348901a1c4" Type="http://schemas.openxmlformats.org/officeDocument/2006/relationships/hyperlink" Target="https://gd.eppo.int" TargetMode="External"/><Relationship Id="rId9258662348901a2b2" Type="http://schemas.openxmlformats.org/officeDocument/2006/relationships/hyperlink" Target="https://doi.org/10.1111/j.1365-2338.2005.00903.x" TargetMode="External"/><Relationship Id="rId48876623489016780" Type="http://schemas.openxmlformats.org/officeDocument/2006/relationships/image" Target="media/imgrId48876623489016780.jpg"/><Relationship Id="rId35646623489017ea6" Type="http://schemas.openxmlformats.org/officeDocument/2006/relationships/image" Target="media/imgrId35646623489017ea6.jpg"/><Relationship Id="rId8704662348901a4dc" Type="http://schemas.openxmlformats.org/officeDocument/2006/relationships/image" Target="media/imgrId8704662348901a4d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