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Opogona sacchari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Opogona sacchari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(Bojer)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Tineidae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Alucita sacchari</w:t>
            </w:r>
            <w:r>
              <w:rPr>
                <w:rFonts w:ascii="Calibri" w:hAnsi="Calibri" w:eastAsia="Calibri" w:cs="Calibri"/>
                <w:color w:val="000000"/>
                <w:position w:val="-3"/>
                <w:sz w:val="22"/>
                <w:szCs w:val="22"/>
              </w:rPr>
              <w:t xml:space="preserve"> Bojer, </w:t>
            </w:r>
            <w:r>
              <w:rPr>
                <w:rFonts w:ascii="Calibri" w:hAnsi="Calibri" w:eastAsia="Calibri" w:cs="Calibri"/>
                <w:i/>
                <w:iCs/>
                <w:color w:val="000000"/>
                <w:position w:val="-3"/>
                <w:sz w:val="22"/>
                <w:szCs w:val="22"/>
              </w:rPr>
              <w:t xml:space="preserve">Opogona subcervinella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Tinea subcervinella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banana moth, sugarcane borer, sugarcane moth</w:t>
            </w:r>
            <w:hyperlink r:id="rId8837691d0cbb7cc9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5844691d0cbb7cc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OPOGSC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311333" name="name8333691d0cbb7cde5" descr="17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71.jpg"/>
                          <pic:cNvPicPr/>
                        </pic:nvPicPr>
                        <pic:blipFill>
                          <a:blip r:embed="rId4125691d0cbb7cde4" cstate="print"/>
                          <a:stretch>
                            <a:fillRect/>
                          </a:stretch>
                        </pic:blipFill>
                        <pic:spPr>
                          <a:xfrm>
                            <a:off x="0" y="0"/>
                            <a:ext cx="2160000" cy="1281600"/>
                          </a:xfrm>
                          <a:prstGeom prst="rect">
                            <a:avLst/>
                          </a:prstGeom>
                          <a:ln w="0">
                            <a:noFill/>
                          </a:ln>
                        </pic:spPr>
                      </pic:pic>
                    </a:graphicData>
                  </a:graphic>
                </wp:inline>
              </w:drawing>
            </w:r>
            <w:hyperlink r:id="rId2563691d0cbb7cec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Billen (1987) has reviewed the taxonomy, biology, distribution and control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and refers to the existence of several species with similar biology in Africa, possibly to be regarded as members of the same complex. In addition, Robinson and Tuck (1997) examined the morphology and phylogeny of different </w:t>
      </w:r>
      <w:r>
        <w:rPr>
          <w:rFonts w:ascii="Calibri" w:hAnsi="Calibri" w:eastAsia="Calibri" w:cs="Calibri"/>
          <w:i/>
          <w:iCs/>
          <w:color w:val="000000"/>
          <w:sz w:val="22"/>
          <w:szCs w:val="22"/>
        </w:rPr>
        <w:t xml:space="preserve">Opogona</w:t>
      </w:r>
      <w:r>
        <w:rPr>
          <w:rFonts w:ascii="Calibri" w:hAnsi="Calibri" w:eastAsia="Calibri" w:cs="Calibri"/>
          <w:color w:val="000000"/>
          <w:sz w:val="22"/>
          <w:szCs w:val="22"/>
        </w:rPr>
        <w:t xml:space="preserve"> species from museum collections, in their work on the Hieroxestinae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subfamily.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polyphagous insect and has a wide host range. It is found mainly in the tropics on bananas, pineapples, bamboo, maize and sugarcane in the field, and on various stored tubers. In glasshouses in EPPO countries, it has been found infesting a variety of plant species, mainly tropical or subtropical. A list of host plants for which published references are available is provided below but its host range is likely larger considering the plants on which it was intercepted, and unpublished observations.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wentii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x amazonica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comosa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crystallinum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phalerata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 recurvata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Beschorneria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Bromeliaceae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Cattleya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seifrizii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lastellianus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afer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Dimerocostus strobilaceus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pseudopalma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lingulata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vittatum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Lentinula edodes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Leucocasia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tenuis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trifasciata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Stromanthe thalia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Thaumatophyllum bipinnatifidum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Thrinax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harrisii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spathacea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bifurcata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Zamioculcas zamiifolia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originates in the humid tropical and subtropical regions of Africa, where it is not a significant pest. It first attracted attention as a serious pest on bananas in the Canary Islands in the 1920s. In the 1970s, it was introduced into Brazil and Central America, and started to appear in greenhouses in the EPPO region. It was later introduced in Japan in the 1980s, and China and the USA in the 1990s.</w:t>
      </w:r>
    </w:p>
    <w:p>
      <w:r>
        <w:drawing>
          <wp:inline distT="0" distB="0" distL="0" distR="0">
            <wp:extent cx="6120000" cy="3067200"/>
            <wp:docPr id="29047627" name="name4394691d0cbb7f1a7" descr="OPOG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OGSC_distribution_map.jpg"/>
                    <pic:cNvPicPr/>
                  </pic:nvPicPr>
                  <pic:blipFill>
                    <a:blip r:embed="rId3678691d0cbb7f1a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France (mainland), Germany, Israel, Italy (mainland), Morocco, Netherlands, Portugal (mainland, Azores, Madeira), Russian Federation (the) (Central Russia), Spain (Islas Canárias),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Cabo Verde, Madagascar, Mauritius, Morocco, Nigeria, Reunion, Saint Helena, Seychelles,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Hainan, Hebei, Zhejiang), Israel, Japan (Honshu, Kyushu, Ryukyu Archipelago,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Bermuda, Guadeloupe,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(Santa Catarina, Sao Paulo),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At 15°C, the life cycle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lasts approximately 3 months: eggs hatch in 12 days; larval development takes 50 days; the pupal stage lasts 20 days; the adult lives 6 days (Veenenbos, 1981). This period may be considerably reduced under warmer conditions, allowing up to eight generations per year (Giannotti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female lays eggs in crevices in plant tissue, in groups of about five eggs, 50-200 in total, by means of a long ovipositor. The larvae, which burrow in the plant tissue, are extremely mobile and avoid light. They are very voracious.</w:t>
      </w:r>
    </w:p>
    <w:p>
      <w:pPr>
        <w:widowControl w:val="on"/>
        <w:pBdr/>
        <w:spacing w:before="220" w:after="220" w:line="240" w:lineRule="auto"/>
        <w:ind w:left="0" w:right="0"/>
        <w:jc w:val="both"/>
      </w:pPr>
      <w:r>
        <w:rPr>
          <w:rFonts w:ascii="Calibri" w:hAnsi="Calibri" w:eastAsia="Calibri" w:cs="Calibri"/>
          <w:color w:val="000000"/>
          <w:sz w:val="22"/>
          <w:szCs w:val="22"/>
        </w:rPr>
        <w:t xml:space="preserve">In banana, the fruiting head is normally infested (Suplicy &amp; Sampaio, 1982), but in ornamental plants the larvae mostly burrow in the stem (woody or fleshy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or cacti) or sometimes leaves and petioles (</w:t>
      </w:r>
      <w:r>
        <w:rPr>
          <w:rFonts w:ascii="Calibri" w:hAnsi="Calibri" w:eastAsia="Calibri" w:cs="Calibri"/>
          <w:i/>
          <w:iCs/>
          <w:color w:val="000000"/>
          <w:sz w:val="22"/>
          <w:szCs w:val="22"/>
        </w:rPr>
        <w:t xml:space="preserve">Begonia, Saintpaulia</w:t>
      </w:r>
      <w:r>
        <w:rPr>
          <w:rFonts w:ascii="Calibri" w:hAnsi="Calibri" w:eastAsia="Calibri" w:cs="Calibri"/>
          <w:color w:val="000000"/>
          <w:sz w:val="22"/>
          <w:szCs w:val="22"/>
        </w:rPr>
        <w:t xml:space="preserve">). Seedlings may be severely attacked (Aguilar &amp; Martinez, 1982).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stages of larval tunnelling in woody or fleshy stems are practically undetectable. At a later stage, fleshy plants (cacti) may be completely hollowed out. In woody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the larvae live on dead and living portions of the cortex and pith, and infested tissues may feel soft. Leaves wilt because the caterpillars destroy the xylem, and, at an advanced stage, leaves may fall and the plant may collapse. The damage can be also visible at the leaf base, where significant amount of frass and tissue rot can be found (Hrnčić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palms, the larvae typically feed at the base of the plant where the aerial roots enter the soil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extremely difficult to detect. They are very small (0.5–0.55 mm; 0.38 mm diameter), light yellow at oviposition to yellowish brown prior to eclosion. They are deposited in crevices in plant tissue, and may be laid individually or in a small group.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dirty-white and somewhat transparent (so that the intestines can be seen), have a bright reddish-brown head with one lateral ocellus at each side and clearly visible brownish thoracic and abdominal plates. The last instar typically measure 26-35 mm in length with a diameter of 3 mm. The presence of older larvae can be detected by characteristic masses of bore-meal and frass at the openings of bore-holes.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brown and less than 10 mm long and are formed in a cocoon, spun at the end of a mine, measuring 15 mm. As maturation approaches, the pupae work themselves partially out of the tissue to allow emergence of the adult. Two bent hooks, characteristic of the species, show at the end of the abdomen on the abandoned protruding pupal skin.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nocturnal, 11 mm long with a wingspan of 18-25 mm, bright yellowish-brown. The forewings may show longitudinal darker brown banding, and in the male a dark-brown spot towards the apex. The hindwings are paler and brighter (Süss, 1974; Aguilar &amp; Martinez, 1982). At rest, the long antennae point forwards.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the most common method for detecting the pest in consignments and in places of production. Early stages of infestation are not visible, therefore, keeping incoming material in post-entry quarantine with follow up inspections (post-border) is recommended. Later stages of infestation result in wilt, dieback, rot and collapse of the plant. Excessive amount of frass can also be seen on infested plants. Examination of samples usually confirms the presence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Light and pheromone traps can be used to monitor the presence of adult moths and they are recommended for glasshouses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provides recommendations on how to detect and identify the pest (EPPO Standard PM 7/71,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can naturally disperse by flight within glasshouses or over short distances in the field. In international trade eggs and larvae are liable to be carried in or on plants and plant material (e.g. propagation material of host plants, for example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regularly intercepted in trade of ornamental plants (Veenenbos,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pest may be present in imported fruits, there is very little chance that this pathway could lead to establishment in glasshouses. There are no reports of interception in fruits in the European Union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has been published on the economic impact of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It is a serious pest of bananas in Madeira and Brazil (Ribeiro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Though quite widespread in Africa, its impact is relatively minor plausibly because the moth does not have significant impact to the banana plantations within its natural environment. It could be a threat to the increasing production of bananas under polythene in e.g. Morocco and Spain.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 is considered as a significant pest of ornamentals.</w:t>
      </w:r>
    </w:p>
    <w:p>
      <w:pPr>
        <w:widowControl w:val="on"/>
        <w:pBdr/>
        <w:spacing w:before="220" w:after="220" w:line="240" w:lineRule="auto"/>
        <w:ind w:left="0" w:right="0"/>
        <w:jc w:val="both"/>
      </w:pPr>
      <w:r>
        <w:rPr>
          <w:rFonts w:ascii="Calibri" w:hAnsi="Calibri" w:eastAsia="Calibri" w:cs="Calibri"/>
          <w:color w:val="000000"/>
          <w:sz w:val="22"/>
          <w:szCs w:val="22"/>
        </w:rPr>
        <w:t xml:space="preserve">Elsewhere in the EPPO region, this pest presents a risk principally for the production of woody and perennial ornamentals grown in glasshouses (Carrai &amp; Loi, 1987; Mourikis &amp; Vassilaina-Alexopoulou,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by chemical treatment and sanitation has proved possible in several Northern European countries, but not in Italy, France or Israel, where the pest is established in greenhouses. The initial aim is to control the adults before they can lay eggs. Currently, and due to changes in legislation on plant protection products, this can be difficult but the use of pheromone traps is expected to provide some reduction in adult moth numbers and to disrupt mating. When an affected greenhouse is cleared and replanted, the soil should be steamed (or removed) to eliminate any residual pupae. Control of the larvae is difficult as they feed within the plant tissues. Insecticides used for other Lepidoptera are used to target the larvae. Systemic pesticides provide a good control, however as many of them are withdrawn, other alternatives should be adopted. Pyrethroid and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(Bt) pesticides, have been suggested as effective products to control the larvae (Nelson and Wright, 2005). A sex pheromone (Jang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is commercially available from many companies and can be used for monitoring and control (mating disruption) of the moth. Natural enemies, such as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which parasitize the moth eggs have been studied as biological control agents with positive results in Brazil (De Carli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Entomopathogenic nematode species (e.g.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have been also studied and used as control agents (Pe</w:t>
      </w:r>
      <w:r>
        <w:rPr>
          <w:rFonts w:ascii="Calibri" w:hAnsi="Calibri" w:eastAsia="Calibri" w:cs="Calibri"/>
          <w:color w:val="000000"/>
          <w:sz w:val="22"/>
          <w:szCs w:val="22"/>
        </w:rPr>
        <w:t xml:space="preserve">ñ</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destruction of infested plant material by incineration is also used to eliminate the insect population and stop spread, especially in glasshouses. Additionally, as the larvae feed on dead plant tissues removal of plant debris helps to reduce pest numbers.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damaging greenhouse pest and has a very wide host range. As a tropical pest,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not expected to be able to survive outdoor conditions in winter over most of the EPPO region. It is assessed that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can probably establish outdoors in southern Europe but that the climatic conditions are not highly favourable for population development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Its presence in the Atlantic Islands of Portugal and Spain, as well as in Morocco and Israel suggests that it could establish outdoors in other countries around the Mediterranean basin. In Northern and Eastern Europe, the pest could only establish in greenhouses.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difficult to detect at import inspection. Imported planting material should come from pest-free areas or pest free places/sites of production. Alternatively, plants for planting may be kept under pre- or post-entry quarantine for a minimum period of 3 months at a minimum temperature of 20°C. Eradication has proved possible in some situations but is costly and difficult. Treatment is an option for some host species but may damage others. Fumigation has been used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 but is no longer recommended as methyl bromide has been phased out. Hot water treatment is a possible treatment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fruit constitutes a very minor risk. Irradiation treatment of fruits, which aims to sterilize immature stages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has been tested as a quarantine measure prior to fruit exports (Hollingsworth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Follett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 &amp; Martinez M (1982)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présent dans les cultures sous serres en France.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Billen W (1987) [Information on the banana shoot borer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458-465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Carrai C &amp; Loi G (1987)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lepidopteran pest of ornamentals].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28-32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 Carli M, Coelho Jr A, Maria M, Cristiane J, Cristiane N &amp; Parra JR (2017) Selection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as potential natural enemies for the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w:t>
      </w:r>
      <w:r>
        <w:rPr>
          <w:rFonts w:ascii="Calibri" w:hAnsi="Calibri" w:eastAsia="Calibri" w:cs="Calibri"/>
          <w:i/>
          <w:iCs/>
          <w:color w:val="000000"/>
          <w:sz w:val="22"/>
          <w:szCs w:val="22"/>
        </w:rPr>
        <w:t xml:space="preserve">Scientia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401-404.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 PM7/71 Diagnostic Protocol for </w:t>
      </w:r>
      <w:r>
        <w:rPr>
          <w:rFonts w:ascii="Calibri" w:hAnsi="Calibri" w:eastAsia="Calibri" w:cs="Calibri"/>
          <w:i/>
          <w:iCs/>
          <w:color w:val="000000"/>
          <w:sz w:val="22"/>
          <w:szCs w:val="22"/>
        </w:rPr>
        <w:t xml:space="preserve">Opogona sacchari.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171–173. Available at </w:t>
      </w:r>
      <w:hyperlink r:id="rId9513691d0cbb800b1"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PM10/002(1) Hot water treatment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 Available at </w:t>
      </w:r>
      <w:hyperlink r:id="rId5221691d0cbb80183"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PM10/003(1) Methyl bromide fumigation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 </w:t>
      </w:r>
      <w:r>
        <w:rPr>
          <w:rFonts w:ascii="Calibri" w:hAnsi="Calibri" w:eastAsia="Calibri" w:cs="Calibri"/>
          <w:color w:val="000000"/>
          <w:sz w:val="22"/>
          <w:szCs w:val="22"/>
        </w:rPr>
        <w:t xml:space="preserve">Standard withdrawn in 2015.</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(2009) Generic radiation quarantine treatments: the next steps.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1399–1406.</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Lacerda L, Coelho Jr A, Gomes Garcia A, Sentelhas PC &amp; Postali Parra JR (2019) Biology at different temperatures, thermal requirements, and ecological zoning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1676-1682.</w:t>
      </w:r>
    </w:p>
    <w:p>
      <w:pPr>
        <w:widowControl w:val="on"/>
        <w:pBdr/>
        <w:spacing w:before="220" w:after="220" w:line="240" w:lineRule="auto"/>
        <w:ind w:left="0" w:right="0"/>
        <w:jc w:val="left"/>
      </w:pPr>
      <w:r>
        <w:rPr>
          <w:rFonts w:ascii="Calibri" w:hAnsi="Calibri" w:eastAsia="Calibri" w:cs="Calibri"/>
          <w:color w:val="000000"/>
          <w:sz w:val="22"/>
          <w:szCs w:val="22"/>
        </w:rPr>
        <w:t xml:space="preserve">Giannotti O, Oliveira BS, Ioneda T &amp; Fell D (1977) [Observations on the development and sexual behaviour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Arquivos do Instituto Biológico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209-212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Pena JE &amp; Glenn H (1987)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Entomology Circular</w:t>
      </w:r>
      <w:r>
        <w:rPr>
          <w:rFonts w:ascii="Calibri" w:hAnsi="Calibri" w:eastAsia="Calibri" w:cs="Calibri"/>
          <w:color w:val="000000"/>
          <w:sz w:val="22"/>
          <w:szCs w:val="22"/>
        </w:rPr>
        <w:t xml:space="preserve"> No. 293. Division of Plant Industry, Florida Department of Agriculture and Consumer Services,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Hollingsworth R &amp; Follett P (2007) Ionizing radiation for quarantine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1519-24.</w:t>
      </w:r>
    </w:p>
    <w:p>
      <w:pPr>
        <w:widowControl w:val="on"/>
        <w:pBdr/>
        <w:spacing w:before="220" w:after="220" w:line="240" w:lineRule="auto"/>
        <w:ind w:left="0" w:right="0"/>
        <w:jc w:val="left"/>
      </w:pPr>
      <w:r>
        <w:rPr>
          <w:rFonts w:ascii="Calibri" w:hAnsi="Calibri" w:eastAsia="Calibri" w:cs="Calibri"/>
          <w:color w:val="000000"/>
          <w:sz w:val="22"/>
          <w:szCs w:val="22"/>
        </w:rPr>
        <w:t xml:space="preserve">Hrnčić S, Radonjić S &amp; Perovic T (2017) The impact of alien horticultural pests on urban landscape in the southern part of Montenegro. </w:t>
      </w:r>
      <w:r>
        <w:rPr>
          <w:rFonts w:ascii="Calibri" w:hAnsi="Calibri" w:eastAsia="Calibri" w:cs="Calibri"/>
          <w:i/>
          <w:iCs/>
          <w:color w:val="000000"/>
          <w:sz w:val="22"/>
          <w:szCs w:val="22"/>
        </w:rPr>
        <w:t xml:space="preserve">Acta Zoologica Bulgarica</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191-202.</w:t>
      </w:r>
    </w:p>
    <w:p>
      <w:pPr>
        <w:widowControl w:val="on"/>
        <w:pBdr/>
        <w:spacing w:before="220" w:after="220" w:line="240" w:lineRule="auto"/>
        <w:ind w:left="0" w:right="0"/>
        <w:jc w:val="left"/>
      </w:pPr>
      <w:r>
        <w:rPr>
          <w:rFonts w:ascii="Calibri" w:hAnsi="Calibri" w:eastAsia="Calibri" w:cs="Calibri"/>
          <w:color w:val="000000"/>
          <w:sz w:val="22"/>
          <w:szCs w:val="22"/>
        </w:rPr>
        <w:t xml:space="preserve">Jang EB, Siderhurst MS, Hollingsworth RG, Showalter DN &amp; Troyer EJ (2010) Sex attractant for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(Lepidoptera: Tineidae): provisional identification and field evaluation. </w:t>
      </w:r>
      <w:r>
        <w:rPr>
          <w:rFonts w:ascii="Calibri" w:hAnsi="Calibri" w:eastAsia="Calibri" w:cs="Calibri"/>
          <w:i/>
          <w:iCs/>
          <w:color w:val="000000"/>
          <w:sz w:val="22"/>
          <w:szCs w:val="22"/>
        </w:rPr>
        <w:t xml:space="preserve">Pest Management Science </w:t>
      </w:r>
      <w:r>
        <w:rPr>
          <w:rFonts w:ascii="Calibri" w:hAnsi="Calibri" w:eastAsia="Calibri" w:cs="Calibri"/>
          <w:color w:val="000000"/>
          <w:sz w:val="22"/>
          <w:szCs w:val="22"/>
        </w:rPr>
        <w:t xml:space="preserve">66(4),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Mourikis PA &amp; Vassilaina-Alexopoulou P (1981) Data on the biology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pest for ornamental plants in Greece.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SC &amp; Wright MG (2005) Banana Moth: A potentially fatal pest of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and other palms. IP-24. Cooperative Research and Extension Services, University of Hawaii at Manoa, Honolulu.</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Schroeder WJ &amp; Osborne LS (1990) Use of entomogenous nematodes of the families Heterorhabditidae and Steinernematidae to control banana moth (Opogona sachari).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Ribeiro L, Silva JA, Aguiar AM, Pestana M &amp; Rodrigues M (2008) Main pests and diseases of bananas on Madeira island. </w:t>
      </w:r>
      <w:r>
        <w:rPr>
          <w:rFonts w:ascii="Calibri" w:hAnsi="Calibri" w:eastAsia="Calibri" w:cs="Calibri"/>
          <w:i/>
          <w:iCs/>
          <w:color w:val="000000"/>
          <w:sz w:val="22"/>
          <w:szCs w:val="22"/>
        </w:rPr>
        <w:t xml:space="preserve">Livro de Actas</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 &amp; Tuck K (1997) Phylogeny and composition of the Hieroxestinae (Lepidoptera: Tineidae).</w:t>
      </w:r>
      <w:r>
        <w:rPr>
          <w:rFonts w:ascii="Calibri" w:hAnsi="Calibri" w:eastAsia="Calibri" w:cs="Calibri"/>
          <w:i/>
          <w:iCs/>
          <w:color w:val="000000"/>
          <w:sz w:val="22"/>
          <w:szCs w:val="22"/>
        </w:rPr>
        <w:t xml:space="preserve"> Systematic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363–396</w:t>
      </w:r>
      <w:r>
        <w:rPr>
          <w:rFonts w:ascii="Calibri" w:hAnsi="Calibri" w:eastAsia="Calibri" w:cs="Calibri"/>
          <w:i/>
          <w:iCs/>
          <w:color w:val="000000"/>
          <w:sz w:val="22"/>
          <w:szCs w:val="22"/>
        </w:rPr>
        <w:t xml:space="preserve">. </w:t>
      </w:r>
      <w:hyperlink r:id="rId6310691d0cbb806be" w:history="1">
        <w:r>
          <w:rPr>
            <w:rFonts w:ascii="Calibri" w:hAnsi="Calibri" w:eastAsia="Calibri" w:cs="Calibri"/>
            <w:color w:val="0000CC"/>
            <w:sz w:val="22"/>
            <w:szCs w:val="22"/>
            <w:u w:val="single"/>
          </w:rPr>
          <w:t xml:space="preserve">https://doi.org/10.1046/j.1365-3113.1997.d01-47.x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Sampaio AS, Myazaki I, Suplicy N &amp; Oliveira DA (1983) [Infestation levels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banana plantations in the coastal area of São Paulo State, Brazil]. </w:t>
      </w:r>
      <w:r>
        <w:rPr>
          <w:rFonts w:ascii="Calibri" w:hAnsi="Calibri" w:eastAsia="Calibri" w:cs="Calibri"/>
          <w:i/>
          <w:iCs/>
          <w:color w:val="000000"/>
          <w:sz w:val="22"/>
          <w:szCs w:val="22"/>
        </w:rPr>
        <w:t xml:space="preserve">Biológico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Sharma A &amp; Hussaini SS (2011) Entomopathogenic nematodes, a potential microbial biopesticide: Mass production and commercialisation status - a mini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(9), 855-870.</w:t>
      </w:r>
    </w:p>
    <w:p>
      <w:pPr>
        <w:widowControl w:val="on"/>
        <w:pBdr/>
        <w:spacing w:before="220" w:after="220" w:line="240" w:lineRule="auto"/>
        <w:ind w:left="0" w:right="0"/>
        <w:jc w:val="left"/>
      </w:pPr>
      <w:r>
        <w:rPr>
          <w:rFonts w:ascii="Calibri" w:hAnsi="Calibri" w:eastAsia="Calibri" w:cs="Calibri"/>
          <w:color w:val="000000"/>
          <w:sz w:val="22"/>
          <w:szCs w:val="22"/>
        </w:rPr>
        <w:t xml:space="preserve">Suplicy Filho N &amp; Sampaio AS (1982) [Banana pests].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(7), 169-182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Süss L (1974)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insect pest of glasshouse ornamentals]. </w:t>
      </w:r>
      <w:r>
        <w:rPr>
          <w:rFonts w:ascii="Calibri" w:hAnsi="Calibri" w:eastAsia="Calibri" w:cs="Calibri"/>
          <w:i/>
          <w:iCs/>
          <w:color w:val="000000"/>
          <w:sz w:val="22"/>
          <w:szCs w:val="22"/>
        </w:rPr>
        <w:t xml:space="preserve">Bollettino di Zoologia Agraria e di Bachicoltura Milano</w:t>
      </w:r>
      <w:r>
        <w:rPr>
          <w:rFonts w:ascii="Calibri" w:hAnsi="Calibri" w:eastAsia="Calibri" w:cs="Calibri"/>
          <w:color w:val="000000"/>
          <w:sz w:val="22"/>
          <w:szCs w:val="22"/>
        </w:rPr>
        <w:t xml:space="preserve"> Serie 2,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der Straten M, Ramel JM, Baufeld P &amp; Schrader G (2013) Pest Risk Analysis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Food and Consumer Product Safety Authority. </w:t>
      </w:r>
      <w:r>
        <w:rPr>
          <w:rFonts w:ascii="Calibri" w:hAnsi="Calibri" w:eastAsia="Calibri" w:cs="Calibri"/>
          <w:color w:val="000000"/>
          <w:sz w:val="22"/>
          <w:szCs w:val="22"/>
        </w:rPr>
        <w:t xml:space="preserve">48 pp. Available at </w:t>
      </w:r>
      <w:hyperlink r:id="rId6804691d0cbb808ee" w:history="1">
        <w:r>
          <w:rPr>
            <w:rFonts w:ascii="Calibri" w:hAnsi="Calibri" w:eastAsia="Calibri" w:cs="Calibri"/>
            <w:color w:val="0000CC"/>
            <w:sz w:val="22"/>
            <w:szCs w:val="22"/>
            <w:u w:val="single"/>
          </w:rPr>
          <w:t xml:space="preserve">https://pra.eppo.int/pra/2823b66f-ce73-48eb-8272-082124412092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Veenenbos JAJ (1981)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pest risk from imports of ornamental plants of tropical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235-238.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Fryni Drizou (Royal Horticultural Society,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EPPO datasheets on pests recommended for regulation. Available online. </w:t>
      </w:r>
      <w:hyperlink r:id="rId7655691d0cbb80a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1988 in the EPPO Bulletin,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 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513-516.</w:t>
      </w:r>
    </w:p>
    <w:p>
      <w:r>
        <w:drawing>
          <wp:inline distT="0" distB="0" distL="0" distR="0">
            <wp:extent cx="1800000" cy="604800"/>
            <wp:docPr id="22008640" name="name6976691d0cbb80c0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50691d0cbb80c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988756">
    <w:multiLevelType w:val="hybridMultilevel"/>
    <w:lvl w:ilvl="0" w:tplc="68183145">
      <w:start w:val="1"/>
      <w:numFmt w:val="decimal"/>
      <w:lvlText w:val="%1."/>
      <w:lvlJc w:val="left"/>
      <w:pPr>
        <w:ind w:left="720" w:hanging="360"/>
      </w:pPr>
    </w:lvl>
    <w:lvl w:ilvl="1" w:tplc="68183145" w:tentative="1">
      <w:start w:val="1"/>
      <w:numFmt w:val="lowerLetter"/>
      <w:lvlText w:val="%2."/>
      <w:lvlJc w:val="left"/>
      <w:pPr>
        <w:ind w:left="1440" w:hanging="360"/>
      </w:pPr>
    </w:lvl>
    <w:lvl w:ilvl="2" w:tplc="68183145" w:tentative="1">
      <w:start w:val="1"/>
      <w:numFmt w:val="lowerRoman"/>
      <w:lvlText w:val="%3."/>
      <w:lvlJc w:val="right"/>
      <w:pPr>
        <w:ind w:left="2160" w:hanging="180"/>
      </w:pPr>
    </w:lvl>
    <w:lvl w:ilvl="3" w:tplc="68183145" w:tentative="1">
      <w:start w:val="1"/>
      <w:numFmt w:val="decimal"/>
      <w:lvlText w:val="%4."/>
      <w:lvlJc w:val="left"/>
      <w:pPr>
        <w:ind w:left="2880" w:hanging="360"/>
      </w:pPr>
    </w:lvl>
    <w:lvl w:ilvl="4" w:tplc="68183145" w:tentative="1">
      <w:start w:val="1"/>
      <w:numFmt w:val="lowerLetter"/>
      <w:lvlText w:val="%5."/>
      <w:lvlJc w:val="left"/>
      <w:pPr>
        <w:ind w:left="3600" w:hanging="360"/>
      </w:pPr>
    </w:lvl>
    <w:lvl w:ilvl="5" w:tplc="68183145" w:tentative="1">
      <w:start w:val="1"/>
      <w:numFmt w:val="lowerRoman"/>
      <w:lvlText w:val="%6."/>
      <w:lvlJc w:val="right"/>
      <w:pPr>
        <w:ind w:left="4320" w:hanging="180"/>
      </w:pPr>
    </w:lvl>
    <w:lvl w:ilvl="6" w:tplc="68183145" w:tentative="1">
      <w:start w:val="1"/>
      <w:numFmt w:val="decimal"/>
      <w:lvlText w:val="%7."/>
      <w:lvlJc w:val="left"/>
      <w:pPr>
        <w:ind w:left="5040" w:hanging="360"/>
      </w:pPr>
    </w:lvl>
    <w:lvl w:ilvl="7" w:tplc="68183145" w:tentative="1">
      <w:start w:val="1"/>
      <w:numFmt w:val="lowerLetter"/>
      <w:lvlText w:val="%8."/>
      <w:lvlJc w:val="left"/>
      <w:pPr>
        <w:ind w:left="5760" w:hanging="360"/>
      </w:pPr>
    </w:lvl>
    <w:lvl w:ilvl="8" w:tplc="68183145" w:tentative="1">
      <w:start w:val="1"/>
      <w:numFmt w:val="lowerRoman"/>
      <w:lvlText w:val="%9."/>
      <w:lvlJc w:val="right"/>
      <w:pPr>
        <w:ind w:left="6480" w:hanging="180"/>
      </w:pPr>
    </w:lvl>
  </w:abstractNum>
  <w:abstractNum w:abstractNumId="91988755">
    <w:multiLevelType w:val="hybridMultilevel"/>
    <w:lvl w:ilvl="0" w:tplc="543721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988755">
    <w:abstractNumId w:val="91988755"/>
  </w:num>
  <w:num w:numId="91988756">
    <w:abstractNumId w:val="919887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9848754" Type="http://schemas.microsoft.com/office/2011/relationships/commentsExtended" Target="commentsExtended.xml"/><Relationship Id="rId138121076" Type="http://schemas.microsoft.com/office/2011/relationships/people" Target="people.xml"/><Relationship Id="rId8837691d0cbb7cc92" Type="http://schemas.openxmlformats.org/officeDocument/2006/relationships/hyperlink" Target="https://gd.eppo.int/taxon/OPOGSC/" TargetMode="External"/><Relationship Id="rId5844691d0cbb7ccfb" Type="http://schemas.openxmlformats.org/officeDocument/2006/relationships/hyperlink" Target="https://gd.eppo.int/taxon/OPOGSC/categorization" TargetMode="External"/><Relationship Id="rId2563691d0cbb7ceca" Type="http://schemas.openxmlformats.org/officeDocument/2006/relationships/hyperlink" Target="https://gd.eppo.int/taxon/OPOGSC/photos" TargetMode="External"/><Relationship Id="rId9513691d0cbb800b1" Type="http://schemas.openxmlformats.org/officeDocument/2006/relationships/hyperlink" Target="https://gd.eppo.int/taxon/OPOGSC/documents" TargetMode="External"/><Relationship Id="rId5221691d0cbb80183" Type="http://schemas.openxmlformats.org/officeDocument/2006/relationships/hyperlink" Target="https://gd.eppo.int/taxon/OPOGSC/documents" TargetMode="External"/><Relationship Id="rId6310691d0cbb806be" Type="http://schemas.openxmlformats.org/officeDocument/2006/relationships/hyperlink" Target="https://doi.org/10.1046/j.1365-3113.1997.d01-47.xhttps://doi.org/10.1046/j.1365-3113.1997.d01-47.x" TargetMode="External"/><Relationship Id="rId6804691d0cbb808ee" Type="http://schemas.openxmlformats.org/officeDocument/2006/relationships/hyperlink" Target="https://pra.eppo.int/pra/2823b66f-ce73-48eb-8272-082124412092" TargetMode="External"/><Relationship Id="rId7655691d0cbb80a2b" Type="http://schemas.openxmlformats.org/officeDocument/2006/relationships/hyperlink" Target="https://gd.eppo.int" TargetMode="External"/><Relationship Id="rId4125691d0cbb7cde4" Type="http://schemas.openxmlformats.org/officeDocument/2006/relationships/image" Target="media/imgrId4125691d0cbb7cde4.jpg"/><Relationship Id="rId3678691d0cbb7f1a3" Type="http://schemas.openxmlformats.org/officeDocument/2006/relationships/image" Target="media/imgrId3678691d0cbb7f1a3.jpg"/><Relationship Id="rId4950691d0cbb80c02" Type="http://schemas.openxmlformats.org/officeDocument/2006/relationships/image" Target="media/imgrId4950691d0cbb80c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