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Oemona hirta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Oemona hirta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Isodera villosa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Oemona humilis</w:t>
            </w:r>
            <w:r>
              <w:rPr>
                <w:rFonts w:ascii="Calibri" w:hAnsi="Calibri" w:eastAsia="Calibri" w:cs="Calibri"/>
                <w:color w:val="000000"/>
                <w:position w:val="-3"/>
                <w:sz w:val="22"/>
                <w:szCs w:val="22"/>
              </w:rPr>
              <w:t xml:space="preserve"> Newman, </w:t>
            </w:r>
            <w:r>
              <w:rPr>
                <w:rFonts w:ascii="Calibri" w:hAnsi="Calibri" w:eastAsia="Calibri" w:cs="Calibri"/>
                <w:i/>
                <w:iCs/>
                <w:color w:val="000000"/>
                <w:position w:val="-3"/>
                <w:sz w:val="22"/>
                <w:szCs w:val="22"/>
              </w:rPr>
              <w:t xml:space="preserve">Oemona villosa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Saperda hirta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Saperda villosa</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lemon tree borer</w:t>
            </w:r>
            <w:hyperlink r:id="rId474266983d31ba48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45866983d31ba4e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OEMOHI</w:t>
            </w:r>
          </w:p>
        </w:tc>
        <w:tc>
          <w:tcPr>
            <w:tcW w:w="2000" w:type="pct"/>
            <w:tcMar>
              <w:top w:w="15" w:type="dxa"/>
              <w:left w:w="15" w:type="dxa"/>
              <w:bottom w:w="15" w:type="dxa"/>
              <w:right w:w="15" w:type="dxa"/>
            </w:tcMar>
            <w:vAlign w:val="center"/>
          </w:tcPr>
          <w:p>
            <w:r>
              <w:rPr>
                <w:position w:val="8"/>
              </w:rPr>
              <w:drawing>
                <wp:inline distT="0" distB="0" distL="0" distR="0">
                  <wp:extent cx="2160000" cy="0"/>
                  <wp:docPr id="90777689" name="name830866983d31bad23" descr="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1.jpg"/>
                          <pic:cNvPicPr/>
                        </pic:nvPicPr>
                        <pic:blipFill>
                          <a:blip r:embed="rId811966983d31bad21" cstate="print"/>
                          <a:stretch>
                            <a:fillRect/>
                          </a:stretch>
                        </pic:blipFill>
                        <pic:spPr>
                          <a:xfrm>
                            <a:off x="0" y="0"/>
                            <a:ext cx="2160000" cy="0"/>
                          </a:xfrm>
                          <a:prstGeom prst="rect">
                            <a:avLst/>
                          </a:prstGeom>
                          <a:ln w="0">
                            <a:noFill/>
                          </a:ln>
                        </pic:spPr>
                      </pic:pic>
                    </a:graphicData>
                  </a:graphic>
                </wp:inline>
              </w:drawing>
            </w:r>
            <w:hyperlink r:id="rId507466983d31c66d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Lu &amp; Wang (2005) revised the genus </w:t>
      </w:r>
      <w:r>
        <w:rPr>
          <w:rFonts w:ascii="Calibri" w:hAnsi="Calibri" w:eastAsia="Calibri" w:cs="Calibri"/>
          <w:i/>
          <w:iCs/>
          <w:color w:val="000000"/>
          <w:sz w:val="22"/>
          <w:szCs w:val="22"/>
        </w:rPr>
        <w:t xml:space="preserve">Oemona</w:t>
      </w:r>
      <w:r>
        <w:rPr>
          <w:rFonts w:ascii="Calibri" w:hAnsi="Calibri" w:eastAsia="Calibri" w:cs="Calibri"/>
          <w:color w:val="000000"/>
          <w:sz w:val="22"/>
          <w:szCs w:val="22"/>
        </w:rPr>
        <w:t xml:space="preserve">, which has 4 species: </w:t>
      </w: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plicicollis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separata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simplicicollis</w:t>
      </w:r>
      <w:r>
        <w:rPr>
          <w:rFonts w:ascii="Calibri" w:hAnsi="Calibri" w:eastAsia="Calibri" w:cs="Calibri"/>
          <w:color w:val="000000"/>
          <w:sz w:val="22"/>
          <w:szCs w:val="22"/>
        </w:rPr>
        <w:t xml:space="preserve">. They provided an identification key to species and detailed descriptions. They also performed a phylogenetic analysis of all species, suggesting that </w:t>
      </w: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plicicollis</w:t>
      </w:r>
      <w:r>
        <w:rPr>
          <w:rFonts w:ascii="Calibri" w:hAnsi="Calibri" w:eastAsia="Calibri" w:cs="Calibri"/>
          <w:color w:val="000000"/>
          <w:sz w:val="22"/>
          <w:szCs w:val="22"/>
        </w:rPr>
        <w:t xml:space="preserve"> are sister species and most similar morphologically.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is a highly polyphagous longhorn beetle. Its larvae feed on over 200 species of trees and shrubs from 63 (Lu &amp; Wang, 2005; Wang, 2017) to 81 (EPPO, 2014) families. Its original hosts were native New Zealand plants, but it expanded its host range to many species exotic to New Zealand, ranging from major fruit, nut, forest and ornamental trees to shrubs and grapevines.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dealbata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pycnantha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Agathis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Alectryon excelsus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Aristotelia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setaceus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Avicennia marina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Avicennia resinifera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Azara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Brachyglottis greyi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Brachyglottis repanda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Brachyglottis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Carmichaelia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Cassinia leptophylla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Cassinia retorta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cunninghamiana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Chamaecytisus prolifer subsp. palmensis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Chamaecytisus prolifer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trichotomum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Coprosma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nuttallii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Corokia buddleioides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Corymbia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Corynocarpus laevigatus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Cupressus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scoparius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imperialis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Dais cotinifolia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Dodonaea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Entelea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corallodendron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botryoides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fastigata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globulus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macarthurii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nitens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regnans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Freycinetia banksii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Freycinetia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Gahnia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Gahnia xanthocarpa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Geniostoma ligustrifolium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Hakea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Hakea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Hedycarya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Hedycarya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Hesperocyparis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Hoheria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Idesia polycarpa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Idesia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Knightia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Kunzea ericoides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Laburnum anagyroides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Leptospermum scoparium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Lophostemon confertus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tetraphylla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citrina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sparsa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Melicytus ramiflorus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Melicytus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Metrosideros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Muehlenbeckia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Myoporum laetum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Nothofagus solandri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Nothofagus truncata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Olearia laxiflora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Olearia solandri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Olearia traversii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moniliferum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Paraserianthes lophantha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Parsonsia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Pennantia corymbosa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Pericopsis elata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Phyllostachys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octandra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excelsum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crassifolium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eugenioides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ralphii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tenuifolium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turneri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Pomaderris apetala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Pseudopanax laetus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Psoralea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uva-crispa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Ripogonum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Ripogonum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x reichardtii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digitata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reinholdi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tetraptera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floribundum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Tabebuia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ramosissima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Telopea oreades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succedaneum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Ulex europaeus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thapsus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Weinmannia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is distributed throughout New Zealand but more common in the North Island and northern South Island (Lu &amp; Wang, 2005).</w:t>
      </w:r>
    </w:p>
    <w:p>
      <w:r>
        <w:drawing>
          <wp:inline distT="0" distB="0" distL="0" distR="0">
            <wp:extent cx="6120000" cy="0"/>
            <wp:docPr id="85988457" name="name467066983d31c9ad0" descr="OEMOH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MOHI_distribution_map.jpg"/>
                    <pic:cNvPicPr/>
                  </pic:nvPicPr>
                  <pic:blipFill>
                    <a:blip r:embed="rId444066983d31c9acc"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Aspects of biology of </w:t>
      </w: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have been described by various authors (Dumbleton, 1937; Duffy, 1963; Clearwater, 1981; EPPO, 2014;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2002; Wang, 2017; Wang &amp; Davis, 2005; CABI, 2020). In most parts of New Zealand, this beetle requires at least 2 years to complete its life cycle and overwinters as larvae. Adults emerge between early September and early February with a peak occurring between October and December. They can live for 1 to 2 months, and females can lay about 50 eggs in their lifetime. Premating and preoviposition periods are 3 to 4 days and 5 to 7 days, respectively. Adults mainly feed on pollen and nectar of various plants and occasionally on leaves but do not cause economic damage to plants. They can fly and crawl toward fermented plant material but do not appear to be attracted to light. Mating, oviposition, and adult feeding occur at night. Females lay eggs singly at leaf and branch junctions, in bark cracks and fresh pruning wounds. The incubation period is 9 to 13 days depending on temperature. Newly hatched larvae bore directly into sapwood and then into hardwood of living trees, shrubs, and vines. Larvae often make tunnels longitudinally inside the main stems or branches with a series of frass ejection holes every 8 to 12 cm. Occasionally larvae can enter the roots or bore around a branch, causing girdling. The larval stage takes more than one year and thus larvae can be found all year round in the field. At 23°C in the laboratory, larvae can complete their growth and development in 150 to 300 days depending on rearing methods. Before pupation occurs, the larva tears off thin pieces of wood and packs them into 2 tight plugs about 1.77 cm long and 2.5 cm apart, between which it then pupates. The pupal period is about 3 weeks. Pupae can be found between May and November. This beetle can be reared on artificial and natural diets in the laboratory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 of larval infestation is often the wilting of foliage and dieback and the presence of excretion holes (about 1–3 mm in diameter) with frass visible at the hole openings and on leaves, branches and stems or ground surface. As the larvae grow and bore through stems or branches, the plant is weakened and easy to break. The infestation can also make the host susceptible to fungal infection from frass holes or weakened plants. In severe infestations, the plants may die.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2-2.2 mm long; whitish and elongate with a fine waxy surface pattern.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25-40 mm long; cylindrical and creamy white with an enlarged head bearing a pair of dark brown to black mandibles; each segment with a swollen transverse ridge.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20-25 mm long; with short black abdominal spines; showing adult features with antennae and bent legs folding adjacent to body.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Lu &amp; Wang (2005) and Wang (2017) made detailed description of adults. Briefly, body 11–31 mm long with females being larger than males; reddish brown to blackish brown with elytra brown to reddish brown; pronotal disc with distinct, long, transverse rugae and pale yellow hairs; elytral surface covered with pale yellow hairs and coarse and rugose punctures; antennae slightly longer than body in males and about as long as body in females.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small and laid in cracks or cuts, thus not easily seen. Adults are nocturnal but not attracted to light. They hide under leaves or in crevices during the day. So far, there is no report on the presence of sex or aggregation pheromones for this species and no reliable measures have been developed for adult detection. Therefore, the most reliable methods for detection and inspection are careful examination of plants of interest for the presence of larval infestation. Neonate larvae bore into the stems and branches immediately after hatching and early infestation (a few weeks after egg hatching) may cause wilting of foliage and dieback of twigs and branches. Frass is present at or around excretion holes and on leaves, branches, and stems of infested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has established (currently only in New Zealand), adults can fly from one site to another but the distance they fly is unknown. According to EPPO (2014), the only evidence for long distance movement is through importation of infested plants for planting of </w:t>
      </w:r>
      <w:r>
        <w:rPr>
          <w:rFonts w:ascii="Calibri" w:hAnsi="Calibri" w:eastAsia="Calibri" w:cs="Calibri"/>
          <w:i/>
          <w:iCs/>
          <w:color w:val="000000"/>
          <w:sz w:val="22"/>
          <w:szCs w:val="22"/>
        </w:rPr>
        <w:t xml:space="preserve">Wisteria </w:t>
      </w:r>
      <w:r>
        <w:rPr>
          <w:rFonts w:ascii="Calibri" w:hAnsi="Calibri" w:eastAsia="Calibri" w:cs="Calibri"/>
          <w:color w:val="000000"/>
          <w:sz w:val="22"/>
          <w:szCs w:val="22"/>
        </w:rPr>
        <w:t xml:space="preserve">sp. from New Zealand. </w:t>
      </w:r>
      <w:r>
        <w:rPr>
          <w:rFonts w:ascii="Calibri" w:hAnsi="Calibri" w:eastAsia="Calibri" w:cs="Calibri"/>
          <w:i/>
          <w:iCs/>
          <w:color w:val="000000"/>
          <w:sz w:val="22"/>
          <w:szCs w:val="22"/>
        </w:rPr>
        <w:t xml:space="preserve">O. hirta </w:t>
      </w:r>
      <w:r>
        <w:rPr>
          <w:rFonts w:ascii="Calibri" w:hAnsi="Calibri" w:eastAsia="Calibri" w:cs="Calibri"/>
          <w:color w:val="000000"/>
          <w:sz w:val="22"/>
          <w:szCs w:val="22"/>
        </w:rPr>
        <w:t xml:space="preserve">larvae were intercepted in live </w:t>
      </w:r>
      <w:r>
        <w:rPr>
          <w:rFonts w:ascii="Calibri" w:hAnsi="Calibri" w:eastAsia="Calibri" w:cs="Calibri"/>
          <w:i/>
          <w:iCs/>
          <w:color w:val="000000"/>
          <w:sz w:val="22"/>
          <w:szCs w:val="22"/>
        </w:rPr>
        <w:t xml:space="preserve">Wisteria </w:t>
      </w:r>
      <w:r>
        <w:rPr>
          <w:rFonts w:ascii="Calibri" w:hAnsi="Calibri" w:eastAsia="Calibri" w:cs="Calibri"/>
          <w:color w:val="000000"/>
          <w:sz w:val="22"/>
          <w:szCs w:val="22"/>
        </w:rPr>
        <w:t xml:space="preserve">plants in the United Kingdom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Ostojá-Starzewski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Larvae of all ages and pupae may be present in live or freshly cut twigs, branches, and stems. However, they may not survive after these plant parts were cut and left dry for three months or more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There is a large trade of plants for planting between countries, thus if established, the main risk of spread would be by the movement of infested plants for planting (including cuttings) between nurseries.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 hirta </w:t>
      </w:r>
      <w:r>
        <w:rPr>
          <w:rFonts w:ascii="Calibri" w:hAnsi="Calibri" w:eastAsia="Calibri" w:cs="Calibri"/>
          <w:color w:val="000000"/>
          <w:sz w:val="22"/>
          <w:szCs w:val="22"/>
        </w:rPr>
        <w:t xml:space="preserve">is one the most common insects in New Zealand (Lu &amp; Wang, 2005). It attacks a wide range of trees planted for fruit such as citrus, apple and persimmon, windbreaks such as poplar, and ornamentals such as oak, with citrus trees appearing to be its most favourable hosts (Taylor, 1957; Clearwater, 1981; Clearwater &amp; Muggleston, 1985; Rohitha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Lu &amp; Wang, 2005, CABI, 2020). It attacks almost all commercially grown citrus species in New Zealand but its major damage to citrus occurs in the North Island, particularly in Northland and Gisborne regions (Wang &amp; Shi, 1999). For example, the borer infested over 30% of 14 500 mixed citrus trees in a Gisborne orchard in 1997 (Wang &amp; Shi, 1999). Dieback of the infested twigs and small branches of trees may occur in the first year of infestation. In the second year, the larvae move downward and damage the main branches and trunk, weakening the tree and reducing yield and long-term productivity of fruit trees (Taylor, 1957; Wang &amp; Shi, 1999). </w:t>
      </w:r>
      <w:r>
        <w:rPr>
          <w:rFonts w:ascii="Calibri" w:hAnsi="Calibri" w:eastAsia="Calibri" w:cs="Calibri"/>
          <w:i/>
          <w:iCs/>
          <w:color w:val="000000"/>
          <w:sz w:val="22"/>
          <w:szCs w:val="22"/>
        </w:rPr>
        <w:t xml:space="preserve">O. hirta </w:t>
      </w:r>
      <w:r>
        <w:rPr>
          <w:rFonts w:ascii="Calibri" w:hAnsi="Calibri" w:eastAsia="Calibri" w:cs="Calibri"/>
          <w:color w:val="000000"/>
          <w:sz w:val="22"/>
          <w:szCs w:val="22"/>
        </w:rPr>
        <w:t xml:space="preserve">can also cause serious damage to grapevines. For example, in the Mission Vineyard of Hawkes Bay grapevines were almost 100% infested in 1996 and two blocks of vines were pulled out in 1998 (Wang &amp; Shi,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Pruning to remove the infested twigs and branches and then covering the pruning cut surface with a paint containing insecticides are probably the most effective control measures for this pest (Clearwater &amp; Muggleston, 1985). Clearwater &amp; Wouts (1980) injected a suspension of the nematode </w:t>
      </w:r>
      <w:r>
        <w:rPr>
          <w:rFonts w:ascii="Calibri" w:hAnsi="Calibri" w:eastAsia="Calibri" w:cs="Calibri"/>
          <w:i/>
          <w:iCs/>
          <w:color w:val="000000"/>
          <w:sz w:val="22"/>
          <w:szCs w:val="22"/>
        </w:rPr>
        <w:t xml:space="preserve">Steinernema feltiae </w:t>
      </w:r>
      <w:r>
        <w:rPr>
          <w:rFonts w:ascii="Calibri" w:hAnsi="Calibri" w:eastAsia="Calibri" w:cs="Calibri"/>
          <w:color w:val="000000"/>
          <w:sz w:val="22"/>
          <w:szCs w:val="22"/>
        </w:rPr>
        <w:t xml:space="preserve">Filipjev into frass holes and achieved more than 90% larval mortality, suggesting that this nematode has potential as an effective borer control agent. Ostojá-Starzewski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suggest that insecticide sprays may be effective against adults as long as they are in contact with the treatment or feed on treated foliage, but this has not been confirmed in practice. CABI (2020) suggests that destroying the infested plant is probably the only fully effective way of controlling the larvae. In addition, two ichneumonid species [</w:t>
      </w:r>
      <w:r>
        <w:rPr>
          <w:rFonts w:ascii="Calibri" w:hAnsi="Calibri" w:eastAsia="Calibri" w:cs="Calibri"/>
          <w:i/>
          <w:iCs/>
          <w:color w:val="000000"/>
          <w:sz w:val="22"/>
          <w:szCs w:val="22"/>
        </w:rPr>
        <w:t xml:space="preserve">Xanthocryptus novozealandicus </w:t>
      </w:r>
      <w:r>
        <w:rPr>
          <w:rFonts w:ascii="Calibri" w:hAnsi="Calibri" w:eastAsia="Calibri" w:cs="Calibri"/>
          <w:color w:val="000000"/>
          <w:sz w:val="22"/>
          <w:szCs w:val="22"/>
        </w:rPr>
        <w:t xml:space="preserve">(Dalla Torre) and </w:t>
      </w:r>
      <w:r>
        <w:rPr>
          <w:rFonts w:ascii="Calibri" w:hAnsi="Calibri" w:eastAsia="Calibri" w:cs="Calibri"/>
          <w:i/>
          <w:iCs/>
          <w:color w:val="000000"/>
          <w:sz w:val="22"/>
          <w:szCs w:val="22"/>
        </w:rPr>
        <w:t xml:space="preserve">Campoplex </w:t>
      </w:r>
      <w:r>
        <w:rPr>
          <w:rFonts w:ascii="Calibri" w:hAnsi="Calibri" w:eastAsia="Calibri" w:cs="Calibri"/>
          <w:color w:val="000000"/>
          <w:sz w:val="22"/>
          <w:szCs w:val="22"/>
        </w:rPr>
        <w:t xml:space="preserve">sp.] and one braconid species (</w:t>
      </w:r>
      <w:r>
        <w:rPr>
          <w:rFonts w:ascii="Calibri" w:hAnsi="Calibri" w:eastAsia="Calibri" w:cs="Calibri"/>
          <w:i/>
          <w:iCs/>
          <w:color w:val="000000"/>
          <w:sz w:val="22"/>
          <w:szCs w:val="22"/>
        </w:rPr>
        <w:t xml:space="preserve">Apsicolpus hudsoni </w:t>
      </w:r>
      <w:r>
        <w:rPr>
          <w:rFonts w:ascii="Calibri" w:hAnsi="Calibri" w:eastAsia="Calibri" w:cs="Calibri"/>
          <w:color w:val="000000"/>
          <w:sz w:val="22"/>
          <w:szCs w:val="22"/>
        </w:rPr>
        <w:t xml:space="preserve">Turner) are recorded attacking larvae of this beetle, but the parasitism rate is not high enough to achieve meaningful control (Wang &amp; Shi,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0" w:after="0" w:line="240" w:lineRule="auto"/>
        <w:ind w:left="0" w:right="0"/>
        <w:jc w:val="both"/>
      </w:pPr>
      <w:r>
        <w:rPr>
          <w:rFonts w:ascii="Calibri" w:hAnsi="Calibri" w:eastAsia="Calibri" w:cs="Calibri"/>
          <w:color w:val="000000"/>
          <w:sz w:val="22"/>
          <w:szCs w:val="22"/>
        </w:rPr>
        <w:t xml:space="preserve">According to EPPO (2014), large parts of EPPO member countries are climatically suitable for </w:t>
      </w:r>
      <w:r>
        <w:rPr>
          <w:rFonts w:ascii="Calibri" w:hAnsi="Calibri" w:eastAsia="Calibri" w:cs="Calibri"/>
          <w:i/>
          <w:iCs/>
          <w:color w:val="000000"/>
          <w:sz w:val="22"/>
          <w:szCs w:val="22"/>
        </w:rPr>
        <w:t xml:space="preserve">O. hirta </w:t>
      </w:r>
      <w:r>
        <w:rPr>
          <w:rFonts w:ascii="Calibri" w:hAnsi="Calibri" w:eastAsia="Calibri" w:cs="Calibri"/>
          <w:color w:val="000000"/>
          <w:sz w:val="22"/>
          <w:szCs w:val="22"/>
        </w:rPr>
        <w:t xml:space="preserve">and have suitable host plants for this borer. However, the pest biology, such as lengthy life cycle, no asexual reproduction, and no evidence of long-range sex pheromone, will not favour rapid buildup of populations.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2013,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was added to the EPPO A1 List of pests recommended for regulation as a quarantine pest, and endangered EPPO member countries are thus recommended to regulate it as a quarantine pest. Larvae on plants for planting can survive transport and continue feeding on their host. Inspections of these plants may be performed to look for the presence of larvae, such as excretion holes, frass and galleries at cross-sections, upon the plants’ arrival and during the growing season in nurseries. Infested plants should be destroyed. The larvae have been shown to survive in cut twigs and branches for a couple of months so they may be able to survive in fresh cuttings for the duration of transport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Although larvae and pupae might survive on unprocessed round wood with bark, no interceptions have been recorded in EPPO member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Invasive species compendium datasheet –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(lemon tree borer). </w:t>
      </w:r>
      <w:hyperlink r:id="rId443766983d31d6500" w:history="1">
        <w:r>
          <w:rPr>
            <w:rFonts w:ascii="Calibri" w:hAnsi="Calibri" w:eastAsia="Calibri" w:cs="Calibri"/>
            <w:color w:val="0000CC"/>
            <w:sz w:val="22"/>
            <w:szCs w:val="22"/>
            <w:u w:val="single"/>
          </w:rPr>
          <w:t xml:space="preserve">https://www.cabi.org/isc/datasheet/37124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(2014) Revised </w:t>
      </w:r>
      <w:r>
        <w:rPr>
          <w:rFonts w:ascii="Calibri" w:hAnsi="Calibri" w:eastAsia="Calibri" w:cs="Calibri"/>
          <w:i/>
          <w:iCs/>
          <w:color w:val="000000"/>
          <w:sz w:val="22"/>
          <w:szCs w:val="22"/>
        </w:rPr>
        <w:t xml:space="preserve">Pest risk analysis for Oemona hirta</w:t>
      </w:r>
      <w:r>
        <w:rPr>
          <w:rFonts w:ascii="Calibri" w:hAnsi="Calibri" w:eastAsia="Calibri" w:cs="Calibri"/>
          <w:color w:val="000000"/>
          <w:sz w:val="22"/>
          <w:szCs w:val="22"/>
        </w:rPr>
        <w:t xml:space="preserve">. EPPO, Paris. Available at </w:t>
      </w:r>
      <w:hyperlink r:id="rId279766983d31d65bf"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Clearwater JR (1981) Lemon tree borer, </w:t>
      </w:r>
      <w:r>
        <w:rPr>
          <w:rFonts w:ascii="Calibri" w:hAnsi="Calibri" w:eastAsia="Calibri" w:cs="Calibri"/>
          <w:i/>
          <w:iCs/>
          <w:color w:val="000000"/>
          <w:sz w:val="22"/>
          <w:szCs w:val="22"/>
        </w:rPr>
        <w:t xml:space="preserve">Oemona hirta </w:t>
      </w:r>
      <w:r>
        <w:rPr>
          <w:rFonts w:ascii="Calibri" w:hAnsi="Calibri" w:eastAsia="Calibri" w:cs="Calibri"/>
          <w:color w:val="000000"/>
          <w:sz w:val="22"/>
          <w:szCs w:val="22"/>
        </w:rPr>
        <w:t xml:space="preserve">(Fabricius), life cycle. New Zealand Department of Scientific and Industrial Research Information. Series 105/33.</w:t>
      </w:r>
    </w:p>
    <w:p>
      <w:pPr>
        <w:widowControl w:val="on"/>
        <w:pBdr/>
        <w:spacing w:before="220" w:after="220" w:line="240" w:lineRule="auto"/>
        <w:ind w:left="0" w:right="0"/>
        <w:jc w:val="left"/>
      </w:pPr>
      <w:r>
        <w:rPr>
          <w:rFonts w:ascii="Calibri" w:hAnsi="Calibri" w:eastAsia="Calibri" w:cs="Calibri"/>
          <w:color w:val="000000"/>
          <w:sz w:val="22"/>
          <w:szCs w:val="22"/>
        </w:rPr>
        <w:t xml:space="preserve">Clearwater JR &amp; Muggleston SJ (1985) Protection of pruning wounds: favoured oviposition sites for the lemon tree borer. </w:t>
      </w:r>
      <w:r>
        <w:rPr>
          <w:rFonts w:ascii="Calibri" w:hAnsi="Calibri" w:eastAsia="Calibri" w:cs="Calibri"/>
          <w:i/>
          <w:iCs/>
          <w:color w:val="000000"/>
          <w:sz w:val="22"/>
          <w:szCs w:val="22"/>
        </w:rPr>
        <w:t xml:space="preserve">Proceedings of New Zealand Weed and Pest Control Conference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,199–202.</w:t>
      </w:r>
    </w:p>
    <w:p>
      <w:pPr>
        <w:widowControl w:val="on"/>
        <w:pBdr/>
        <w:spacing w:before="220" w:after="220" w:line="240" w:lineRule="auto"/>
        <w:ind w:left="0" w:right="0"/>
        <w:jc w:val="left"/>
      </w:pPr>
      <w:r>
        <w:rPr>
          <w:rFonts w:ascii="Calibri" w:hAnsi="Calibri" w:eastAsia="Calibri" w:cs="Calibri"/>
          <w:color w:val="000000"/>
          <w:sz w:val="22"/>
          <w:szCs w:val="22"/>
        </w:rPr>
        <w:t xml:space="preserve">Clearwater JR &amp; Wouts WM (1980) Preliminary trials on the control of lemon tree borer with nematodes. </w:t>
      </w:r>
      <w:r>
        <w:rPr>
          <w:rFonts w:ascii="Calibri" w:hAnsi="Calibri" w:eastAsia="Calibri" w:cs="Calibri"/>
          <w:i/>
          <w:iCs/>
          <w:color w:val="000000"/>
          <w:sz w:val="22"/>
          <w:szCs w:val="22"/>
        </w:rPr>
        <w:t xml:space="preserve">Proceedings of New Zealand Weed and Pest Control Conference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133–135.</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(1963) A monograph of the immature stages of Australasian timber beetles (Cerambycidae).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Dumbleton LJ (1937) Borers in fruit trees. </w:t>
      </w:r>
      <w:r>
        <w:rPr>
          <w:rFonts w:ascii="Calibri" w:hAnsi="Calibri" w:eastAsia="Calibri" w:cs="Calibri"/>
          <w:i/>
          <w:iCs/>
          <w:color w:val="000000"/>
          <w:sz w:val="22"/>
          <w:szCs w:val="22"/>
        </w:rPr>
        <w:t xml:space="preserve">New Zealand Journal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295-298.</w:t>
      </w:r>
    </w:p>
    <w:p>
      <w:pPr>
        <w:widowControl w:val="on"/>
        <w:pBdr/>
        <w:spacing w:before="220" w:after="220" w:line="240" w:lineRule="auto"/>
        <w:ind w:left="0" w:right="0"/>
        <w:jc w:val="left"/>
      </w:pPr>
      <w:r>
        <w:rPr>
          <w:rFonts w:ascii="Calibri" w:hAnsi="Calibri" w:eastAsia="Calibri" w:cs="Calibri"/>
          <w:color w:val="000000"/>
          <w:sz w:val="22"/>
          <w:szCs w:val="22"/>
        </w:rPr>
        <w:t xml:space="preserve">Lu W &amp; Wang Q (2005) Systematics of the New Zealand longicorn beetle genus </w:t>
      </w:r>
      <w:r>
        <w:rPr>
          <w:rFonts w:ascii="Calibri" w:hAnsi="Calibri" w:eastAsia="Calibri" w:cs="Calibri"/>
          <w:i/>
          <w:iCs/>
          <w:color w:val="000000"/>
          <w:sz w:val="22"/>
          <w:szCs w:val="22"/>
        </w:rPr>
        <w:t xml:space="preserve">Oemona </w:t>
      </w:r>
      <w:r>
        <w:rPr>
          <w:rFonts w:ascii="Calibri" w:hAnsi="Calibri" w:eastAsia="Calibri" w:cs="Calibri"/>
          <w:color w:val="000000"/>
          <w:sz w:val="22"/>
          <w:szCs w:val="22"/>
        </w:rPr>
        <w:t xml:space="preserve">Newman with discussion of the taxonomic position of the Australian species, </w:t>
      </w:r>
      <w:r>
        <w:rPr>
          <w:rFonts w:ascii="Calibri" w:hAnsi="Calibri" w:eastAsia="Calibri" w:cs="Calibri"/>
          <w:i/>
          <w:iCs/>
          <w:color w:val="000000"/>
          <w:sz w:val="22"/>
          <w:szCs w:val="22"/>
        </w:rPr>
        <w:t xml:space="preserve">O. simplex </w:t>
      </w:r>
      <w:r>
        <w:rPr>
          <w:rFonts w:ascii="Calibri" w:hAnsi="Calibri" w:eastAsia="Calibri" w:cs="Calibri"/>
          <w:color w:val="000000"/>
          <w:sz w:val="22"/>
          <w:szCs w:val="22"/>
        </w:rPr>
        <w:t xml:space="preserve">White (Coleoptera: Cerambycidae: Cerambycinae).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971</w:t>
      </w:r>
      <w:r>
        <w:rPr>
          <w:rFonts w:ascii="Calibri" w:hAnsi="Calibri" w:eastAsia="Calibri" w:cs="Calibri"/>
          <w:color w:val="000000"/>
          <w:sz w:val="22"/>
          <w:szCs w:val="22"/>
        </w:rPr>
        <w:t xml:space="preserve">, 1–31.</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 MacLeod A &amp; Eyre D (2010) Plant pest factsheet: lemon tree borer,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York, UK: Food and Environment Research Agency (FERA).3 pp. </w:t>
      </w:r>
      <w:hyperlink r:id="rId442666983d31d68e2" w:history="1">
        <w:r>
          <w:rPr>
            <w:rFonts w:ascii="Calibri" w:hAnsi="Calibri" w:eastAsia="Calibri" w:cs="Calibri"/>
            <w:color w:val="0000CC"/>
            <w:sz w:val="22"/>
            <w:szCs w:val="22"/>
            <w:u w:val="single"/>
          </w:rPr>
          <w:t xml:space="preserve">https://planthealthportal.defra.gov.uk/assets/factsheets/lemonTreeBorer.pdf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Rohitha BH, Hartley T &amp; Franklin SJ (1992) Lemon tree borer damage on persimmon. </w:t>
      </w:r>
      <w:r>
        <w:rPr>
          <w:rFonts w:ascii="Calibri" w:hAnsi="Calibri" w:eastAsia="Calibri" w:cs="Calibri"/>
          <w:i/>
          <w:iCs/>
          <w:color w:val="000000"/>
          <w:sz w:val="22"/>
          <w:szCs w:val="22"/>
        </w:rPr>
        <w:t xml:space="preserve">Proceedings of New Zealand Plant Protection Conference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HS (1957) Citrus borer. New Zealand Journal of Agriculture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357-358.</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(2017) Cerambycid pests in agricultural and horticultural crops, pp 409-562.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Q. Wang (ed.) </w:t>
      </w:r>
      <w:r>
        <w:rPr>
          <w:rFonts w:ascii="Calibri" w:hAnsi="Calibri" w:eastAsia="Calibri" w:cs="Calibri"/>
          <w:i/>
          <w:iCs/>
          <w:color w:val="000000"/>
          <w:sz w:val="22"/>
          <w:szCs w:val="22"/>
        </w:rPr>
        <w:t xml:space="preserve">Cerambycidae of the World: Biology and Pest Management.</w:t>
      </w:r>
      <w:r>
        <w:rPr>
          <w:rFonts w:ascii="Calibri" w:hAnsi="Calibri" w:eastAsia="Calibri" w:cs="Calibri"/>
          <w:color w:val="000000"/>
          <w:sz w:val="22"/>
          <w:szCs w:val="22"/>
        </w:rPr>
        <w:t xml:space="preserve"> CRC Press (Taylor &amp; Francis Group),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USA.</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&amp; Davis LK (2005) Mating behavior of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(F.) (Coleoptera: Cerambycidae: Cerambycinae) in laboratory conditions.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187–191.</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&amp; Shi G (1999) Parasitic natural enemies of lemon tree borer. </w:t>
      </w:r>
      <w:r>
        <w:rPr>
          <w:rFonts w:ascii="Calibri" w:hAnsi="Calibri" w:eastAsia="Calibri" w:cs="Calibri"/>
          <w:i/>
          <w:iCs/>
          <w:color w:val="000000"/>
          <w:sz w:val="22"/>
          <w:szCs w:val="22"/>
        </w:rPr>
        <w:t xml:space="preserve">Proceedings of New Zealand Plant Protection Conference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60–64.</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Shi G &amp; Davis LK (1998) Reproductive potential and daily reproductive rhythms of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1360–1365.</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Davis LK, Rogers DJ, Song DP, Shi G &amp; Chen X (2002) Development, survival, body weight, longevity, and reproductive potential of </w:t>
      </w:r>
      <w:r>
        <w:rPr>
          <w:rFonts w:ascii="Calibri" w:hAnsi="Calibri" w:eastAsia="Calibri" w:cs="Calibri"/>
          <w:i/>
          <w:iCs/>
          <w:color w:val="000000"/>
          <w:sz w:val="22"/>
          <w:szCs w:val="22"/>
        </w:rPr>
        <w:t xml:space="preserve">Oemena hirta</w:t>
      </w:r>
      <w:r>
        <w:rPr>
          <w:rFonts w:ascii="Calibri" w:hAnsi="Calibri" w:eastAsia="Calibri" w:cs="Calibri"/>
          <w:color w:val="000000"/>
          <w:sz w:val="22"/>
          <w:szCs w:val="22"/>
        </w:rPr>
        <w:t xml:space="preserve"> (Coleoptera: Cerambycidae) under different rearing conditions.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563–569.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Qiao Wang, School of Agriculture and Environment, Massey University, New Zealand.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EPPO datasheets on pests recommended for regulation. Available online. </w:t>
      </w:r>
      <w:hyperlink r:id="rId557966983d31d6d1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0" cy="0"/>
            <wp:docPr id="5421810" name="name460666983d31d71c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88866983d31d71c4"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691433">
    <w:multiLevelType w:val="hybridMultilevel"/>
    <w:lvl w:ilvl="0" w:tplc="29849166">
      <w:start w:val="1"/>
      <w:numFmt w:val="decimal"/>
      <w:lvlText w:val="%1."/>
      <w:lvlJc w:val="left"/>
      <w:pPr>
        <w:ind w:left="720" w:hanging="360"/>
      </w:pPr>
    </w:lvl>
    <w:lvl w:ilvl="1" w:tplc="29849166" w:tentative="1">
      <w:start w:val="1"/>
      <w:numFmt w:val="lowerLetter"/>
      <w:lvlText w:val="%2."/>
      <w:lvlJc w:val="left"/>
      <w:pPr>
        <w:ind w:left="1440" w:hanging="360"/>
      </w:pPr>
    </w:lvl>
    <w:lvl w:ilvl="2" w:tplc="29849166" w:tentative="1">
      <w:start w:val="1"/>
      <w:numFmt w:val="lowerRoman"/>
      <w:lvlText w:val="%3."/>
      <w:lvlJc w:val="right"/>
      <w:pPr>
        <w:ind w:left="2160" w:hanging="180"/>
      </w:pPr>
    </w:lvl>
    <w:lvl w:ilvl="3" w:tplc="29849166" w:tentative="1">
      <w:start w:val="1"/>
      <w:numFmt w:val="decimal"/>
      <w:lvlText w:val="%4."/>
      <w:lvlJc w:val="left"/>
      <w:pPr>
        <w:ind w:left="2880" w:hanging="360"/>
      </w:pPr>
    </w:lvl>
    <w:lvl w:ilvl="4" w:tplc="29849166" w:tentative="1">
      <w:start w:val="1"/>
      <w:numFmt w:val="lowerLetter"/>
      <w:lvlText w:val="%5."/>
      <w:lvlJc w:val="left"/>
      <w:pPr>
        <w:ind w:left="3600" w:hanging="360"/>
      </w:pPr>
    </w:lvl>
    <w:lvl w:ilvl="5" w:tplc="29849166" w:tentative="1">
      <w:start w:val="1"/>
      <w:numFmt w:val="lowerRoman"/>
      <w:lvlText w:val="%6."/>
      <w:lvlJc w:val="right"/>
      <w:pPr>
        <w:ind w:left="4320" w:hanging="180"/>
      </w:pPr>
    </w:lvl>
    <w:lvl w:ilvl="6" w:tplc="29849166" w:tentative="1">
      <w:start w:val="1"/>
      <w:numFmt w:val="decimal"/>
      <w:lvlText w:val="%7."/>
      <w:lvlJc w:val="left"/>
      <w:pPr>
        <w:ind w:left="5040" w:hanging="360"/>
      </w:pPr>
    </w:lvl>
    <w:lvl w:ilvl="7" w:tplc="29849166" w:tentative="1">
      <w:start w:val="1"/>
      <w:numFmt w:val="lowerLetter"/>
      <w:lvlText w:val="%8."/>
      <w:lvlJc w:val="left"/>
      <w:pPr>
        <w:ind w:left="5760" w:hanging="360"/>
      </w:pPr>
    </w:lvl>
    <w:lvl w:ilvl="8" w:tplc="29849166" w:tentative="1">
      <w:start w:val="1"/>
      <w:numFmt w:val="lowerRoman"/>
      <w:lvlText w:val="%9."/>
      <w:lvlJc w:val="right"/>
      <w:pPr>
        <w:ind w:left="6480" w:hanging="180"/>
      </w:pPr>
    </w:lvl>
  </w:abstractNum>
  <w:abstractNum w:abstractNumId="26691432">
    <w:multiLevelType w:val="hybridMultilevel"/>
    <w:lvl w:ilvl="0" w:tplc="695337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691432">
    <w:abstractNumId w:val="26691432"/>
  </w:num>
  <w:num w:numId="26691433">
    <w:abstractNumId w:val="2669143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8077837" Type="http://schemas.microsoft.com/office/2011/relationships/commentsExtended" Target="commentsExtended.xml"/><Relationship Id="rId460463398" Type="http://schemas.microsoft.com/office/2011/relationships/people" Target="people.xml"/><Relationship Id="rId474266983d31ba480" Type="http://schemas.openxmlformats.org/officeDocument/2006/relationships/hyperlink" Target="https://gd.eppo.int/taxon/OEMOHI/" TargetMode="External"/><Relationship Id="rId545866983d31ba4eb" Type="http://schemas.openxmlformats.org/officeDocument/2006/relationships/hyperlink" Target="https://gd.eppo.int/taxon/OEMOHI/categorization" TargetMode="External"/><Relationship Id="rId507466983d31c66d3" Type="http://schemas.openxmlformats.org/officeDocument/2006/relationships/hyperlink" Target="https://gd.eppo.int/taxon/OEMOHI/photos" TargetMode="External"/><Relationship Id="rId443766983d31d6500" Type="http://schemas.openxmlformats.org/officeDocument/2006/relationships/hyperlink" Target="https://www.cabi.org/isc/datasheet/37124" TargetMode="External"/><Relationship Id="rId279766983d31d65bf" Type="http://schemas.openxmlformats.org/officeDocument/2006/relationships/hyperlink" Target="http://www.eppo.int/QUARANTINE/Pest_Risk_Analysis/PRA_intro.htm" TargetMode="External"/><Relationship Id="rId442666983d31d68e2" Type="http://schemas.openxmlformats.org/officeDocument/2006/relationships/hyperlink" Target="https://planthealthportal.defra.gov.uk/assets/factsheets/lemonTreeBorer.pdf" TargetMode="External"/><Relationship Id="rId557966983d31d6d1f" Type="http://schemas.openxmlformats.org/officeDocument/2006/relationships/hyperlink" Target="https://gd.eppo.int" TargetMode="External"/><Relationship Id="rId811966983d31bad21" Type="http://schemas.openxmlformats.org/officeDocument/2006/relationships/image" Target="media/imgrId811966983d31bad21.jpg"/><Relationship Id="rId444066983d31c9acc" Type="http://schemas.openxmlformats.org/officeDocument/2006/relationships/image" Target="media/imgrId444066983d31c9acc.jpg"/><Relationship Id="rId888866983d31d71c4" Type="http://schemas.openxmlformats.org/officeDocument/2006/relationships/image" Target="media/imgrId888866983d31d71c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