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Neoleucinodes elegantalis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2020-05-29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Neoleucinodes elegantalis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(Guenée)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Crambidae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Leucinodes elegantalis</w:t>
            </w:r>
            <w:r>
              <w:rPr>
                <w:rFonts w:ascii="Calibri" w:hAnsi="Calibri" w:eastAsia="Calibri" w:cs="Calibri"/>
                <w:color w:val="000000"/>
                <w:position w:val="-3"/>
                <w:sz w:val="22"/>
                <w:szCs w:val="22"/>
              </w:rPr>
              <w:t xml:space="preserve"> Guenée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cocona fruit borer, eggplant moth, small tomato borer, tomato fruit borer</w:t>
            </w:r>
            <w:hyperlink r:id="rId4686694bd512a72f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5638694bd512a736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NEOLEL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123152" name="name8222694bd512a7ad8" descr="10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97.jpg"/>
                          <pic:cNvPicPr/>
                        </pic:nvPicPr>
                        <pic:blipFill>
                          <a:blip r:embed="rId2183694bd512a7ad6" cstate="print"/>
                          <a:stretch>
                            <a:fillRect/>
                          </a:stretch>
                        </pic:blipFill>
                        <pic:spPr>
                          <a:xfrm>
                            <a:off x="0" y="0"/>
                            <a:ext cx="2160000" cy="1281600"/>
                          </a:xfrm>
                          <a:prstGeom prst="rect">
                            <a:avLst/>
                          </a:prstGeom>
                          <a:ln w="0">
                            <a:noFill/>
                          </a:ln>
                        </pic:spPr>
                      </pic:pic>
                    </a:graphicData>
                  </a:graphic>
                </wp:inline>
              </w:drawing>
            </w:r>
            <w:hyperlink r:id="rId8196694bd512a7ba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was initially described as </w:t>
      </w:r>
      <w:r>
        <w:rPr>
          <w:rFonts w:ascii="Calibri" w:hAnsi="Calibri" w:eastAsia="Calibri" w:cs="Calibri"/>
          <w:i/>
          <w:iCs/>
          <w:color w:val="000000"/>
          <w:sz w:val="22"/>
          <w:szCs w:val="22"/>
        </w:rPr>
        <w:t xml:space="preserve">Leucinodes elegantalis</w:t>
      </w:r>
      <w:r>
        <w:rPr>
          <w:rFonts w:ascii="Calibri" w:hAnsi="Calibri" w:eastAsia="Calibri" w:cs="Calibri"/>
          <w:color w:val="000000"/>
          <w:sz w:val="22"/>
          <w:szCs w:val="22"/>
        </w:rPr>
        <w:t xml:space="preserve"> Guenée and recorded as a South American species attacking tomato in the states of Paraná and Minas Gerais in Brazil. Capps (1948) regarded </w:t>
      </w:r>
      <w:r>
        <w:rPr>
          <w:rFonts w:ascii="Calibri" w:hAnsi="Calibri" w:eastAsia="Calibri" w:cs="Calibri"/>
          <w:i/>
          <w:iCs/>
          <w:color w:val="000000"/>
          <w:sz w:val="22"/>
          <w:szCs w:val="22"/>
        </w:rPr>
        <w:t xml:space="preserve">L. elegantalis</w:t>
      </w:r>
      <w:r>
        <w:rPr>
          <w:rFonts w:ascii="Calibri" w:hAnsi="Calibri" w:eastAsia="Calibri" w:cs="Calibri"/>
          <w:color w:val="000000"/>
          <w:sz w:val="22"/>
          <w:szCs w:val="22"/>
        </w:rPr>
        <w:t xml:space="preserve"> sufficiently different from other </w:t>
      </w:r>
      <w:r>
        <w:rPr>
          <w:rFonts w:ascii="Calibri" w:hAnsi="Calibri" w:eastAsia="Calibri" w:cs="Calibri"/>
          <w:i/>
          <w:iCs/>
          <w:color w:val="000000"/>
          <w:sz w:val="22"/>
          <w:szCs w:val="22"/>
        </w:rPr>
        <w:t xml:space="preserve">Leucinodes</w:t>
      </w:r>
      <w:r>
        <w:rPr>
          <w:rFonts w:ascii="Calibri" w:hAnsi="Calibri" w:eastAsia="Calibri" w:cs="Calibri"/>
          <w:color w:val="000000"/>
          <w:sz w:val="22"/>
          <w:szCs w:val="22"/>
        </w:rPr>
        <w:t xml:space="preserve"> species known from the Old World, and created the genus </w:t>
      </w:r>
      <w:r>
        <w:rPr>
          <w:rFonts w:ascii="Calibri" w:hAnsi="Calibri" w:eastAsia="Calibri" w:cs="Calibri"/>
          <w:i/>
          <w:iCs/>
          <w:color w:val="000000"/>
          <w:sz w:val="22"/>
          <w:szCs w:val="22"/>
        </w:rPr>
        <w:t xml:space="preserve">Neoleucinodes </w:t>
      </w:r>
      <w:r>
        <w:rPr>
          <w:rFonts w:ascii="Calibri" w:hAnsi="Calibri" w:eastAsia="Calibri" w:cs="Calibri"/>
          <w:color w:val="000000"/>
          <w:sz w:val="22"/>
          <w:szCs w:val="22"/>
        </w:rPr>
        <w:t xml:space="preserve">in which he assigned this New World species as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Recent studies have shown genetic divergence between populations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from different areas and different hosts (Maia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Diaz-Montilla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Noboa, 2017a - see also under </w:t>
      </w:r>
      <w:r>
        <w:rPr>
          <w:rFonts w:ascii="Calibri" w:hAnsi="Calibri" w:eastAsia="Calibri" w:cs="Calibri"/>
          <w:i/>
          <w:iCs/>
          <w:color w:val="000000"/>
          <w:sz w:val="22"/>
          <w:szCs w:val="22"/>
        </w:rPr>
        <w:t xml:space="preserve">Hosts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is an oligophagous pest that attacks only fruits of plants belonging to the family Solanaceae. Its host list includes major crops, such as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eggplant (</w:t>
      </w:r>
      <w:r>
        <w:rPr>
          <w:rFonts w:ascii="Calibri" w:hAnsi="Calibri" w:eastAsia="Calibri" w:cs="Calibri"/>
          <w:i/>
          <w:iCs/>
          <w:color w:val="000000"/>
          <w:sz w:val="22"/>
          <w:szCs w:val="22"/>
        </w:rPr>
        <w:t xml:space="preserve">S. melongena</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as well as some tropical plants cultivated for fruit, especially </w:t>
      </w:r>
      <w:r>
        <w:rPr>
          <w:rFonts w:ascii="Calibri" w:hAnsi="Calibri" w:eastAsia="Calibri" w:cs="Calibri"/>
          <w:i/>
          <w:iCs/>
          <w:color w:val="000000"/>
          <w:sz w:val="22"/>
          <w:szCs w:val="22"/>
        </w:rPr>
        <w:t xml:space="preserve">S. quitoense </w:t>
      </w:r>
      <w:r>
        <w:rPr>
          <w:rFonts w:ascii="Calibri" w:hAnsi="Calibri" w:eastAsia="Calibri" w:cs="Calibri"/>
          <w:color w:val="000000"/>
          <w:sz w:val="22"/>
          <w:szCs w:val="22"/>
        </w:rPr>
        <w:t xml:space="preserve">(naranjilla), </w:t>
      </w:r>
      <w:r>
        <w:rPr>
          <w:rFonts w:ascii="Calibri" w:hAnsi="Calibri" w:eastAsia="Calibri" w:cs="Calibri"/>
          <w:i/>
          <w:iCs/>
          <w:color w:val="000000"/>
          <w:sz w:val="22"/>
          <w:szCs w:val="22"/>
        </w:rPr>
        <w:t xml:space="preserve">S. betaceum </w:t>
      </w:r>
      <w:r>
        <w:rPr>
          <w:rFonts w:ascii="Calibri" w:hAnsi="Calibri" w:eastAsia="Calibri" w:cs="Calibri"/>
          <w:color w:val="000000"/>
          <w:sz w:val="22"/>
          <w:szCs w:val="22"/>
        </w:rPr>
        <w:t xml:space="preserve">(tree tomato), </w:t>
      </w:r>
      <w:r>
        <w:rPr>
          <w:rFonts w:ascii="Calibri" w:hAnsi="Calibri" w:eastAsia="Calibri" w:cs="Calibri"/>
          <w:i/>
          <w:iCs/>
          <w:color w:val="000000"/>
          <w:sz w:val="22"/>
          <w:szCs w:val="22"/>
        </w:rPr>
        <w:t xml:space="preserve">S. sessiliflorum</w:t>
      </w:r>
      <w:r>
        <w:rPr>
          <w:rFonts w:ascii="Calibri" w:hAnsi="Calibri" w:eastAsia="Calibri" w:cs="Calibri"/>
          <w:color w:val="000000"/>
          <w:sz w:val="22"/>
          <w:szCs w:val="22"/>
        </w:rPr>
        <w:t xml:space="preserve"> (cocona), </w:t>
      </w:r>
      <w:r>
        <w:rPr>
          <w:rFonts w:ascii="Calibri" w:hAnsi="Calibri" w:eastAsia="Calibri" w:cs="Calibri"/>
          <w:i/>
          <w:iCs/>
          <w:color w:val="000000"/>
          <w:sz w:val="22"/>
          <w:szCs w:val="22"/>
        </w:rPr>
        <w:t xml:space="preserve">S. pseudolulo</w:t>
      </w:r>
      <w:r>
        <w:rPr>
          <w:rFonts w:ascii="Calibri" w:hAnsi="Calibri" w:eastAsia="Calibri" w:cs="Calibri"/>
          <w:color w:val="000000"/>
          <w:sz w:val="22"/>
          <w:szCs w:val="22"/>
        </w:rPr>
        <w:t xml:space="preserve"> (lulo del Pacifico). </w:t>
      </w:r>
      <w:r>
        <w:rPr>
          <w:rFonts w:ascii="Calibri" w:hAnsi="Calibri" w:eastAsia="Calibri" w:cs="Calibri"/>
          <w:i/>
          <w:iCs/>
          <w:color w:val="000000"/>
          <w:sz w:val="22"/>
          <w:szCs w:val="22"/>
        </w:rPr>
        <w:t xml:space="preserve">S. aethiopicum</w:t>
      </w:r>
      <w:r>
        <w:rPr>
          <w:rFonts w:ascii="Calibri" w:hAnsi="Calibri" w:eastAsia="Calibri" w:cs="Calibri"/>
          <w:color w:val="000000"/>
          <w:sz w:val="22"/>
          <w:szCs w:val="22"/>
        </w:rPr>
        <w:t xml:space="preserve"> (gilo) and </w:t>
      </w:r>
      <w:r>
        <w:rPr>
          <w:rFonts w:ascii="Calibri" w:hAnsi="Calibri" w:eastAsia="Calibri" w:cs="Calibri"/>
          <w:i/>
          <w:iCs/>
          <w:color w:val="000000"/>
          <w:sz w:val="22"/>
          <w:szCs w:val="22"/>
        </w:rPr>
        <w:t xml:space="preserve">S. sisymbriifolium</w:t>
      </w:r>
      <w:r>
        <w:rPr>
          <w:rFonts w:ascii="Calibri" w:hAnsi="Calibri" w:eastAsia="Calibri" w:cs="Calibri"/>
          <w:color w:val="000000"/>
          <w:sz w:val="22"/>
          <w:szCs w:val="22"/>
        </w:rPr>
        <w:t xml:space="preserve"> (litchi tomato). Other hosts in the list below are wild solanaceous plants, mostly belonging to the </w:t>
      </w:r>
      <w:r>
        <w:rPr>
          <w:rFonts w:ascii="Calibri" w:hAnsi="Calibri" w:eastAsia="Calibri" w:cs="Calibri"/>
          <w:i/>
          <w:iCs/>
          <w:color w:val="000000"/>
          <w:sz w:val="22"/>
          <w:szCs w:val="22"/>
        </w:rPr>
        <w:t xml:space="preserve">Leptostemonum </w:t>
      </w:r>
      <w:r>
        <w:rPr>
          <w:rFonts w:ascii="Calibri" w:hAnsi="Calibri" w:eastAsia="Calibri" w:cs="Calibri"/>
          <w:color w:val="000000"/>
          <w:sz w:val="22"/>
          <w:szCs w:val="22"/>
        </w:rPr>
        <w:t xml:space="preserve">subgenus.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noteworthy that in Colombia there are areas where the insect was not found on some host crop plants planted at certain altitudes. In Ecuador, the insect causes damage to </w:t>
      </w:r>
      <w:r>
        <w:rPr>
          <w:rFonts w:ascii="Calibri" w:hAnsi="Calibri" w:eastAsia="Calibri" w:cs="Calibri"/>
          <w:i/>
          <w:iCs/>
          <w:color w:val="000000"/>
          <w:sz w:val="22"/>
          <w:szCs w:val="22"/>
        </w:rPr>
        <w:t xml:space="preserve">S. quitoense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 betaceum </w:t>
      </w:r>
      <w:r>
        <w:rPr>
          <w:rFonts w:ascii="Calibri" w:hAnsi="Calibri" w:eastAsia="Calibri" w:cs="Calibri"/>
          <w:color w:val="000000"/>
          <w:sz w:val="22"/>
          <w:szCs w:val="22"/>
        </w:rPr>
        <w:t xml:space="preserve">in some areas, but in the same areas it has not been observed on </w:t>
      </w:r>
      <w:r>
        <w:rPr>
          <w:rFonts w:ascii="Calibri" w:hAnsi="Calibri" w:eastAsia="Calibri" w:cs="Calibri"/>
          <w:i/>
          <w:iCs/>
          <w:color w:val="000000"/>
          <w:sz w:val="22"/>
          <w:szCs w:val="22"/>
        </w:rPr>
        <w:t xml:space="preserve">S. lycopersicum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annuum </w:t>
      </w:r>
      <w:r>
        <w:rPr>
          <w:rFonts w:ascii="Calibri" w:hAnsi="Calibri" w:eastAsia="Calibri" w:cs="Calibri"/>
          <w:color w:val="000000"/>
          <w:sz w:val="22"/>
          <w:szCs w:val="22"/>
        </w:rPr>
        <w:t xml:space="preserve">(Paredes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Noboa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Recent studies on the diversity of populations of </w:t>
      </w: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in Colombia showed the presence of biotypes or host races separated by the Andes mountain range, with some level of morphological, biological and genetic differences, and in some cases a decrease of reproductive compatibility between races (Diaz-Montilla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2017a&amp;b,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acerifolium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atropurpureum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crinitum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hirtum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pseudolulo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sessiliflorum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umbellatum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is reported only from the Neotropics. In addition to the distribution records below, it has been reported in several countries of South America, Central America and the Caribbean, where its current presence is nevertheless in doubt. This is the case for old records (Capps, 1948) that are not supported by more recent publications (Grenada, Guatemala, Guyana, Jamaica, Nicaragua, Panama, Trinidad and Tobago), as well as for Nicaragua, El Salvador and Puerto Rico.</w:t>
      </w:r>
    </w:p>
    <w:p>
      <w:r>
        <w:drawing>
          <wp:inline distT="0" distB="0" distL="0" distR="0">
            <wp:extent cx="6120000" cy="3067200"/>
            <wp:docPr id="69320664" name="name1716694bd512a8d55" descr="NEOLE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OLEL_distribution_map.jpg"/>
                    <pic:cNvPicPr/>
                  </pic:nvPicPr>
                  <pic:blipFill>
                    <a:blip r:embed="rId3520694bd512a8d5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Cuba, Honduras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(Amapa, Ceara, Distrito Federal, Maranhao, Minas Gerais, Parana, Pernambuco, Rio de Janeiro, Santa Catarina, Sao Paulo, Sergipe), Colombia, Ecuador, French Guiana, Paraguay, Peru, Suriname,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oviposited singly or in groups of 2-3 eggs (Blackmer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Eiras and Blackmer, 2003). The oviposition sites differ depending on the host plant. On tomato, eggs are oviposited under or on the calyx, or at the surface of the fruit (Salas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Marcano, 1991a, Blackmer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Rodrigues 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Jaramillo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large proportion of eggs are laid on small fruits of 1-3 cm diameter (Blackmer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Carneiro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Eiras and Blackmer, 2003; Rodrigues 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Eggs may also be oviposited on floral stalks and flower buds and, when the pest is present at high densities, on leaves (Carneiro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On eggplant, eggs are mostly laid on the calyx or directly on the fruit and below the sepals (Espinoza, 2008; Serrano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There is a great variation in the number of eggs per female, but the average number appear to be around 30-50 (Fernandez and Salas, 1985, Marcano, 1991a&amp;b; de Moraes &amp; Foerster, 2014).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w:t>
      </w: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pass through 4 larval instars at 20°C and 25°C and five larval instars at 15°C and 30C° (Marcano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1991b). Neonate larvae enter the fruit within a short time after hatching (approximately one to a few hours) (Eiras and Blackmer, 2003; Diaz-Montilla, pers. comm.). Larvae develop only inside fruit. Usually, there are only a few larvae per fruit. Depending on fruit size, fruit of tomato can for example host 1 to 34 larvae (Serrano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larvae exit the fruit and develop into pupae, which are protected by a delicate sticky cocoon (Carneiro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The pupation site varies according to the morphology of the host plant and the material that the larvae encounters when exiting the fruit. In tomato, pupae are formed on enfolded leaves on the plant, and can still develop after the leaves fall onto the ground. In </w:t>
      </w:r>
      <w:r>
        <w:rPr>
          <w:rFonts w:ascii="Calibri" w:hAnsi="Calibri" w:eastAsia="Calibri" w:cs="Calibri"/>
          <w:i/>
          <w:iCs/>
          <w:color w:val="000000"/>
          <w:sz w:val="22"/>
          <w:szCs w:val="22"/>
        </w:rPr>
        <w:t xml:space="preserve">S. quitoense</w:t>
      </w:r>
      <w:r>
        <w:rPr>
          <w:rFonts w:ascii="Calibri" w:hAnsi="Calibri" w:eastAsia="Calibri" w:cs="Calibri"/>
          <w:color w:val="000000"/>
          <w:sz w:val="22"/>
          <w:szCs w:val="22"/>
        </w:rPr>
        <w:t xml:space="preserve">, pupae are formed on leaves and dry flower buds in the aerial part of the plant, but also between the fruits of a cluster or in plant debris accumulated in the axils of the plants. In sweet pepper, pupae may be formed on plastic mulch on the ground at the base of the plant (Capps, 1948; Salas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Marcano 1991a; EDA, 2007; Asaquibay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Salas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Serrano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Viáfara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nocturnal, including mating and oviposition activities. During the day, they remain motionless hidden under the leaves of weeds or crop hosts (Marcano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1991a). Females attract mates by emitting a sex pheromone. They mate within 48 to 72 h after emergence, and oviposition typically occurs shortly after mating (Marcano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1991a, de Moraes &amp; Foerster, 2014).</w:t>
      </w:r>
    </w:p>
    <w:p>
      <w:pPr>
        <w:widowControl w:val="on"/>
        <w:pBdr/>
        <w:spacing w:before="220" w:after="220" w:line="240" w:lineRule="auto"/>
        <w:ind w:left="0" w:right="0"/>
        <w:jc w:val="both"/>
      </w:pPr>
      <w:r>
        <w:rPr>
          <w:rFonts w:ascii="Calibri" w:hAnsi="Calibri" w:eastAsia="Calibri" w:cs="Calibri"/>
          <w:color w:val="000000"/>
          <w:sz w:val="22"/>
          <w:szCs w:val="22"/>
        </w:rPr>
        <w:t xml:space="preserve">It is important to note, especially in relation to control, that life stages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are not easily accessible: eggs may be under the calyx on some hosts; neonate larvae are at the surface of fruits for a very short time before entering the fruit for their entire life; pupae are enclosed in a cocoon attached to leaves or in debris, and adults are nocturnal.</w:t>
      </w:r>
    </w:p>
    <w:p>
      <w:pPr>
        <w:widowControl w:val="on"/>
        <w:pBdr/>
        <w:spacing w:before="220" w:after="220" w:line="240" w:lineRule="auto"/>
        <w:ind w:left="0" w:right="0"/>
        <w:jc w:val="both"/>
      </w:pPr>
      <w:r>
        <w:rPr>
          <w:rFonts w:ascii="Calibri" w:hAnsi="Calibri" w:eastAsia="Calibri" w:cs="Calibri"/>
          <w:color w:val="000000"/>
          <w:sz w:val="22"/>
          <w:szCs w:val="22"/>
        </w:rPr>
        <w:t xml:space="preserve">At temperatures around 20-25°C, the life cycle lasts 30-60 days, and it was found to last 115 days on tomato at 14.7°C (Marcano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1991a&amp;b; Serrano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de Moraes &amp; Foerster, 2014).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has several generations per year, but no precise data is available in the literature. In some areas, the pest is present throughout the year in the crops and generations overlap (Barbosa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There is no evidence that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has a diapause. Models based on climatic data showed that, in Colombia, there may be 2 to 11 generations per year depending on locations (EPPO, 2014), and in Brazil 5 to 10 generations per year (De Moraes &amp; Foerster, 2015).</w:t>
      </w:r>
    </w:p>
    <w:p>
      <w:pPr>
        <w:widowControl w:val="on"/>
        <w:pBdr/>
        <w:spacing w:before="220" w:after="220" w:line="240" w:lineRule="auto"/>
        <w:ind w:left="0" w:right="0"/>
        <w:jc w:val="both"/>
      </w:pPr>
      <w:r>
        <w:rPr>
          <w:rFonts w:ascii="Calibri" w:hAnsi="Calibri" w:eastAsia="Calibri" w:cs="Calibri"/>
          <w:color w:val="000000"/>
          <w:sz w:val="22"/>
          <w:szCs w:val="22"/>
        </w:rPr>
        <w:t xml:space="preserve">Development is favoured by a relative humidity above 65% and a maximum temperature of 25°C Marcano (1991 a&amp;b). Regarding temperature thresholds, Marcano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a&amp;b, with respectively tomato and eggplant as food) did not obtain oviposition at 14.7°C, no hatching at 30.2°C, and no development to the adult stage at 34.5°C. In similar trials, de Moraes &amp; Foerster (2015) obtained similar results, with however some oviposition occurred at 15°C, and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from different regions of Brazil completed their life cycle and reproduced between 15°C and 27°C (de Moraes &amp; Foerster, 2015). On the basis of a linear regression with existing data, EPPO (2014) estimated that development of </w:t>
      </w: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stops at 10.5°C, while de Moraes &amp; Foerster (2015) estimated that the lower temperature threshold for immature stages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is 8.8°C.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entry and exit holes are present on fruit. The entry hole is very small and heals over time, leaving a scar consisting of a depressed area with a necrotic spot of about 0.5 mm, which is almost imperceptible (Espinoza, 2008). Exit holes are larger. There may be excrement on the fruit (especially on fruit of </w:t>
      </w:r>
      <w:r>
        <w:rPr>
          <w:rFonts w:ascii="Calibri" w:hAnsi="Calibri" w:eastAsia="Calibri" w:cs="Calibri"/>
          <w:i/>
          <w:iCs/>
          <w:color w:val="000000"/>
          <w:sz w:val="22"/>
          <w:szCs w:val="22"/>
        </w:rPr>
        <w:t xml:space="preserve">S. quitoense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betaceum</w:t>
      </w:r>
      <w:r>
        <w:rPr>
          <w:rFonts w:ascii="Calibri" w:hAnsi="Calibri" w:eastAsia="Calibri" w:cs="Calibri"/>
          <w:color w:val="000000"/>
          <w:sz w:val="22"/>
          <w:szCs w:val="22"/>
        </w:rPr>
        <w:t xml:space="preserve">). Fruit may have a slight abnormal coloration, and may fall (EPPO,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Flat, slightly textured, oval, measuring 0.5 mm long and 0.3 mm wide. Just-oviposited eggs are white, turning light yellow and becoming brown prior to hatching.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larvae measure 15 and 20 mm in length. Body colour from white to pink with a brown head. Body pinacula without sclerotization and pigmentation. The colour of the pinacula is similar to that of the body; they are present as a slightly raised blister particularly on the meso- and meta-thorax. Prothoracic shield pale yellow with light-brown markings.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Obtect. Colour varying from light to dark brown, measuring 12–15 mm, with a cremaster. Dorsum of the abdominal segments smooth. The 2nd and 3rd abdominal segment with a protruding cover above each spiracle.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is a moth with white wings, somewhat hyaline with dark brown or black scaly areas. Dorsally the abdomen has a striking white band covering the entire 1st abdominal segment and part of the 2nd and 3rd segments, the rest of the segments covered by a mixture of dark- brown and black scales. The abdomen in ventral view, with the entire 1st abdominal segment and a large portion of the 2nd and 3rd segment white in colour, the other segments paler than the dorsum. Laterally, the abdomen has small tufts of scales of the same colour, often difficult to see in descaled specimens. There is a sexual dimorphism. In the females, the third labial palp is longer than in the males. The male wingspan is 15–33 mm and the female wingspan 15–30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is difficult to detect visually. Symptoms of infestation are not readily observed at early stages of infestation. Eggs are very small, larvae are inside the fruit, entry holes are very small and may be hidden under the calyx, pupae are hidden, and adults are nocturnal. Nevertheless, detection of eggs can be used to determine the timing of plant protection products applications (see </w:t>
      </w:r>
      <w:r>
        <w:rPr>
          <w:rFonts w:ascii="Calibri" w:hAnsi="Calibri" w:eastAsia="Calibri" w:cs="Calibri"/>
          <w:i/>
          <w:iCs/>
          <w:color w:val="000000"/>
          <w:sz w:val="22"/>
          <w:szCs w:val="22"/>
        </w:rPr>
        <w:t xml:space="preserve">Control</w:t>
      </w:r>
      <w:r>
        <w:rPr>
          <w:rFonts w:ascii="Calibri" w:hAnsi="Calibri" w:eastAsia="Calibri" w:cs="Calibri"/>
          <w:color w:val="000000"/>
          <w:sz w:val="22"/>
          <w:szCs w:val="22"/>
        </w:rPr>
        <w:t xml:space="preserve">) (Serrano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Benvenga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da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Damage is more likely to be first observed at harvest of the first fruit (Carneiro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220" w:after="220" w:line="240" w:lineRule="auto"/>
        <w:ind w:left="0" w:right="0"/>
        <w:jc w:val="both"/>
      </w:pPr>
      <w:r>
        <w:rPr>
          <w:rFonts w:ascii="Calibri" w:hAnsi="Calibri" w:eastAsia="Calibri" w:cs="Calibri"/>
          <w:color w:val="000000"/>
          <w:sz w:val="22"/>
          <w:szCs w:val="22"/>
        </w:rPr>
        <w:t xml:space="preserve">Trapping is available and relies on a sex pheromone. A synthetic pheromone blend has been available commercially since 2001 in Venezuela (Silva, 2008) and has been used in several countries (Jaffe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it does not work on all populations and host races (K. Jaffe, pers. comm.). More recently, a study demonstrated differences between populations and host races in their response to pheromones (Diaz-Montilla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w:t>
      </w:r>
    </w:p>
    <w:p>
      <w:pPr>
        <w:widowControl w:val="on"/>
        <w:pBdr/>
        <w:spacing w:before="220" w:after="220" w:line="240" w:lineRule="auto"/>
        <w:ind w:left="0" w:right="0"/>
        <w:jc w:val="both"/>
      </w:pPr>
      <w:r>
        <w:rPr>
          <w:rFonts w:ascii="Calibri" w:hAnsi="Calibri" w:eastAsia="Calibri" w:cs="Calibri"/>
          <w:color w:val="000000"/>
          <w:sz w:val="22"/>
          <w:szCs w:val="22"/>
        </w:rPr>
        <w:t xml:space="preserve">Positive identification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is required to confirm the presence of the pest.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is morphologically very similar to several other species of Crambidae that occur in Central and South America. Keys are available in Diaz &amp; Solis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movement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could occur on infested host fruit and plants for planting bearing fruit, as well as on infested fruit packaging. Host fruit is known to be a pathway for the introduction of the pest into Suriname, and there have been numerous interceptions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on fruit imported into the USA and the Netherlands. A key factor for the successful entry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into a country would be that packing and handling facilities for imported fruit are situated close to production areas. Regarding plants for planting, only plants with fruit may be a pathway, which may be the case for plants for ornamental purposes. Finally, fruit or plants for planting carried in travellers’ luggage are a potential pathway, although successful entry is less likely than for commercial consignments (EPPO,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has had a negative economic impact on Solanaceae production in Latin America. It causes fruit losses either directly or through secondary infection by other organisms, and also has negative impacts on export markets. </w:t>
      </w:r>
    </w:p>
    <w:p>
      <w:pPr>
        <w:widowControl w:val="on"/>
        <w:pBdr/>
        <w:spacing w:before="220" w:after="220" w:line="240" w:lineRule="auto"/>
        <w:ind w:left="0" w:right="0"/>
        <w:jc w:val="both"/>
      </w:pPr>
      <w:r>
        <w:rPr>
          <w:rFonts w:ascii="Calibri" w:hAnsi="Calibri" w:eastAsia="Calibri" w:cs="Calibri"/>
          <w:color w:val="000000"/>
          <w:sz w:val="22"/>
          <w:szCs w:val="22"/>
        </w:rPr>
        <w:t xml:space="preserve">Fruit losses on tomato crops were reported to reach 60 % in Colombia, 77% in Brazil and 41 % in Venezuela during the rainy season (Perez Rosero, 2010, citing others). In Argentina, losses on glasshouse tomatoes reached 12 % (Puch and Mollinedo, 2009).</w:t>
      </w:r>
    </w:p>
    <w:p>
      <w:pPr>
        <w:widowControl w:val="on"/>
        <w:pBdr/>
        <w:spacing w:before="220" w:after="220" w:line="240" w:lineRule="auto"/>
        <w:ind w:left="0" w:right="0"/>
        <w:jc w:val="both"/>
      </w:pPr>
      <w:r>
        <w:rPr>
          <w:rFonts w:ascii="Calibri" w:hAnsi="Calibri" w:eastAsia="Calibri" w:cs="Calibri"/>
          <w:color w:val="000000"/>
          <w:sz w:val="22"/>
          <w:szCs w:val="22"/>
        </w:rPr>
        <w:t xml:space="preserve">In tomatoes, eggplants and sweet pepper destined for the fresh market, almost any insect making an entry or exit hole on the fruit will result in fruit loss through secondary bacterial or fungal infection, cosmetic damage, or insect contamination.</w:t>
      </w:r>
      <w:r>
        <w:rPr>
          <w:rFonts w:ascii="Calibri" w:hAnsi="Calibri" w:eastAsia="Calibri" w:cs="Calibri"/>
          <w:i/>
          <w:iCs/>
          <w:color w:val="000000"/>
          <w:sz w:val="22"/>
          <w:szCs w:val="22"/>
        </w:rPr>
        <w:t xml:space="preserve"> N. elegantalis</w:t>
      </w:r>
      <w:r>
        <w:rPr>
          <w:rFonts w:ascii="Calibri" w:hAnsi="Calibri" w:eastAsia="Calibri" w:cs="Calibri"/>
          <w:color w:val="000000"/>
          <w:sz w:val="22"/>
          <w:szCs w:val="22"/>
        </w:rPr>
        <w:t xml:space="preserve"> has been a major problem for export of Solanaceae fruit from infested countries (Diaz-Montilla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Honduras losses of 1% were recorded on eggplant (Diaz &amp; Brochero, 2012), but were associated with significant impact on export. For processing tomatoes, the primary losses are due to fruit shipments that are rejected because of larval contamination: the presence of any recognizable insect larvae or portion of a larva in consumer products is unacceptable to most consumers (Espinoza,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management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has relied on the application of insecticides, and integrated measures combining chemical control based on the results of monitoring, biological control and cultural practices have been developed (Silva, 2008; SENESA Honduras, 2012). The timing of insecticide applications needs to be adapted to the life stage targeted (eggs, young larvae or adults), as each life stage is accessible only during a limited time (Espinoza, 2008, da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Pheromone traps or visual inspection for eggs can be used for monitoring, depending on the life stage targeted (EPPO, 2014; da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Several life stages may be present at the same time because of overlapping generations, which also hamper control as different active substances need to be used against different life stages.</w:t>
      </w:r>
    </w:p>
    <w:p>
      <w:pPr>
        <w:widowControl w:val="on"/>
        <w:pBdr/>
        <w:spacing w:before="220" w:after="220" w:line="240" w:lineRule="auto"/>
        <w:ind w:left="0" w:right="0"/>
        <w:jc w:val="both"/>
      </w:pPr>
      <w:r>
        <w:rPr>
          <w:rFonts w:ascii="Calibri" w:hAnsi="Calibri" w:eastAsia="Calibri" w:cs="Calibri"/>
          <w:color w:val="000000"/>
          <w:sz w:val="22"/>
          <w:szCs w:val="22"/>
        </w:rPr>
        <w:t xml:space="preserve">Egg parasitoids of the genus </w:t>
      </w:r>
      <w:r>
        <w:rPr>
          <w:rFonts w:ascii="Calibri" w:hAnsi="Calibri" w:eastAsia="Calibri" w:cs="Calibri"/>
          <w:i/>
          <w:iCs/>
          <w:color w:val="000000"/>
          <w:sz w:val="22"/>
          <w:szCs w:val="22"/>
        </w:rPr>
        <w:t xml:space="preserve">Trichogramma </w:t>
      </w:r>
      <w:r>
        <w:rPr>
          <w:rFonts w:ascii="Calibri" w:hAnsi="Calibri" w:eastAsia="Calibri" w:cs="Calibri"/>
          <w:color w:val="000000"/>
          <w:sz w:val="22"/>
          <w:szCs w:val="22"/>
        </w:rPr>
        <w:t xml:space="preserve">have been widely studied as a biological control agent of </w:t>
      </w:r>
      <w:r>
        <w:rPr>
          <w:rFonts w:ascii="Calibri" w:hAnsi="Calibri" w:eastAsia="Calibri" w:cs="Calibri"/>
          <w:i/>
          <w:iCs/>
          <w:color w:val="000000"/>
          <w:sz w:val="22"/>
          <w:szCs w:val="22"/>
        </w:rPr>
        <w:t xml:space="preserve">N.</w:t>
      </w:r>
      <w:r>
        <w:rPr>
          <w:rFonts w:ascii="Calibri" w:hAnsi="Calibri" w:eastAsia="Calibri" w:cs="Calibri"/>
          <w:i/>
          <w:iCs/>
          <w:color w:val="000000"/>
          <w:sz w:val="22"/>
          <w:szCs w:val="22"/>
        </w:rPr>
        <w:t xml:space="preserve"> elegantalis</w:t>
      </w:r>
      <w:r>
        <w:rPr>
          <w:rFonts w:ascii="Calibri" w:hAnsi="Calibri" w:eastAsia="Calibri" w:cs="Calibri"/>
          <w:color w:val="000000"/>
          <w:sz w:val="22"/>
          <w:szCs w:val="22"/>
        </w:rPr>
        <w:t xml:space="preserve">. The following species of </w:t>
      </w:r>
      <w:r>
        <w:rPr>
          <w:rFonts w:ascii="Calibri" w:hAnsi="Calibri" w:eastAsia="Calibri" w:cs="Calibri"/>
          <w:i/>
          <w:iCs/>
          <w:color w:val="000000"/>
          <w:sz w:val="22"/>
          <w:szCs w:val="22"/>
        </w:rPr>
        <w:t xml:space="preserve">Trichogramma </w:t>
      </w:r>
      <w:r>
        <w:rPr>
          <w:rFonts w:ascii="Calibri" w:hAnsi="Calibri" w:eastAsia="Calibri" w:cs="Calibri"/>
          <w:color w:val="000000"/>
          <w:sz w:val="22"/>
          <w:szCs w:val="22"/>
        </w:rPr>
        <w:t xml:space="preserve">have been reported in the literature as potential biological control agents to control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exiguum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pretiosum </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minutum  </w:t>
      </w:r>
      <w:r>
        <w:rPr>
          <w:rFonts w:ascii="Calibri" w:hAnsi="Calibri" w:eastAsia="Calibri" w:cs="Calibri"/>
          <w:color w:val="000000"/>
          <w:sz w:val="22"/>
          <w:szCs w:val="22"/>
        </w:rPr>
        <w:t xml:space="preserve">(Berti and Marcano 1995, Cross 1996, Viáfara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Blackmer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Leiderman &amp; Sauer, 1953; Parra &amp; Zucchi, 2004. Silva, 2008, de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Mating disruption using sex pheromones has been investigated as a promising control technique (De França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&amp; 2017). However, pheromones should be adapted to the different populations/biotypes as Diaz-Montilla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showed that different populations and host races may respond differently to pheromones traps.</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promising results were obtained recently in the selection of a hybrid of </w:t>
      </w:r>
      <w:r>
        <w:rPr>
          <w:rFonts w:ascii="Calibri" w:hAnsi="Calibri" w:eastAsia="Calibri" w:cs="Calibri"/>
          <w:i/>
          <w:iCs/>
          <w:color w:val="000000"/>
          <w:sz w:val="22"/>
          <w:szCs w:val="22"/>
        </w:rPr>
        <w:t xml:space="preserve">S. quitoense</w:t>
      </w:r>
      <w:r>
        <w:rPr>
          <w:rFonts w:ascii="Calibri" w:hAnsi="Calibri" w:eastAsia="Calibri" w:cs="Calibri"/>
          <w:color w:val="000000"/>
          <w:sz w:val="22"/>
          <w:szCs w:val="22"/>
        </w:rPr>
        <w:t xml:space="preserve"> with resistance to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(Polanco-Puerta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is an EPPO A1 quarantine pest (EPPO, 2019). This species is potentially a serious pest of tomato, eggplant, and sweet pepper, which are widely grown in the EPPO region. It also presents a risk for tropical host fruit which are grown to a limited extent in the EPPO region, such as tree tomato (</w:t>
      </w:r>
      <w:r>
        <w:rPr>
          <w:rFonts w:ascii="Calibri" w:hAnsi="Calibri" w:eastAsia="Calibri" w:cs="Calibri"/>
          <w:i/>
          <w:iCs/>
          <w:color w:val="000000"/>
          <w:sz w:val="22"/>
          <w:szCs w:val="22"/>
        </w:rPr>
        <w:t xml:space="preserve">S. betaceum</w:t>
      </w:r>
      <w:r>
        <w:rPr>
          <w:rFonts w:ascii="Calibri" w:hAnsi="Calibri" w:eastAsia="Calibri" w:cs="Calibri"/>
          <w:color w:val="000000"/>
          <w:sz w:val="22"/>
          <w:szCs w:val="22"/>
        </w:rPr>
        <w:t xml:space="preserve">). In the EPPO region, the endangered area is considered to be the Mediterranean Basin and Portugal (EPPO, 2014; da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Establishment outdoors in the rest of the EPPO region is considered unlikely. In northern areas of the EPPO region, only transient field populations are expected, but permanent populations may establish in greenhouses.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may cause damage in protected conditions, even it is does not establish permanently. In case of establishment, losses are likely to occur at least until control methods are added to the current integrated management programmes. Human-assisted pathways, especially fruit, may spread the pest over long distances within the EPPO region. Eradication or containment of this species will be difficult and costly, and unlikely to be successful other than in protected conditions (EPPO,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recommended that phytosanitary measures should be taken for fruits and plants for planting of cultivated host species. Fruit should originate from a pest-free area or pest-free place of production in screened glasshouses, in both cases pheromone trapping should be used. Alternatively, a systems approach may be required, combining growing under screenhouses, monitoring, treatment and good agricultural practices, as well as inspection and sorting at packing, and visual inspection of the consignment. New packaging should be used before export, and packaging should be destroyed or safely disposed of after import. In importing countries, it is important that the trade and production flows are separated, and that surveillance systems (including trapping at packing stations) are in place (EPPO, 2014). No treatment schedule for host fruit appears to be available to date. In experiments, 100 and 200 Gy (gamma irradiation) were lethal doses against eggs and larvae of </w:t>
      </w: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(Costa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For plants for planting, similar options of pest-free area or pest-free place of production were recommended, as well as importing plants that have never borne fruit (e.g. seedlings). Plants and containers should be free from plant debris. Finally, raising awareness and inspection of luggage would mitigate the risk of entry with travellers (EPPO,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Asaquibay IC, Gallegos GP, Arroyo M; Williams R &amp; Alwang J (2009) Comportamiento y alternativas de control del gusano del fruto de la naranjilla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Boletin Divulgativo. Instituto Nacional Autonomo de Investigaciones Agropecuarias, Quito (Ecuador). Estacion Experimental Santa Catalina. Dept. de Proteccion Vegetal.</w:t>
      </w:r>
    </w:p>
    <w:p>
      <w:pPr>
        <w:widowControl w:val="on"/>
        <w:pBdr/>
        <w:spacing w:before="220" w:after="220" w:line="240" w:lineRule="auto"/>
        <w:ind w:left="0" w:right="0"/>
        <w:jc w:val="left"/>
      </w:pPr>
      <w:r>
        <w:rPr>
          <w:rFonts w:ascii="Calibri" w:hAnsi="Calibri" w:eastAsia="Calibri" w:cs="Calibri"/>
          <w:color w:val="000000"/>
          <w:sz w:val="22"/>
          <w:szCs w:val="22"/>
        </w:rPr>
        <w:t xml:space="preserve">Barbosa FS, Menezes E, Arruda LN, Brito D, Carmo MGF &amp; Pereira MB (2010) Preferência de oviposição de broca-pequena-do-fruto em oito variedades de tomate rasteiro. </w:t>
      </w:r>
      <w:r>
        <w:rPr>
          <w:rFonts w:ascii="Calibri" w:hAnsi="Calibri" w:eastAsia="Calibri" w:cs="Calibri"/>
          <w:i/>
          <w:iCs/>
          <w:color w:val="000000"/>
          <w:sz w:val="22"/>
          <w:szCs w:val="22"/>
        </w:rPr>
        <w:t xml:space="preserve">Horticultura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634-640. </w:t>
      </w:r>
    </w:p>
    <w:p>
      <w:pPr>
        <w:widowControl w:val="on"/>
        <w:pBdr/>
        <w:spacing w:before="220" w:after="220" w:line="240" w:lineRule="auto"/>
        <w:ind w:left="0" w:right="0"/>
        <w:jc w:val="left"/>
      </w:pPr>
      <w:r>
        <w:rPr>
          <w:rFonts w:ascii="Calibri" w:hAnsi="Calibri" w:eastAsia="Calibri" w:cs="Calibri"/>
          <w:color w:val="000000"/>
          <w:sz w:val="22"/>
          <w:szCs w:val="22"/>
        </w:rPr>
        <w:t xml:space="preserve">Benvenga SR; De Bortoli SA, Gravena S &amp; Barbosa JC (2010). Monitoramento da broca-pequena-do-fruto para tomada de decisão de controle em tomateiro estaqueado. </w:t>
      </w:r>
      <w:r>
        <w:rPr>
          <w:rFonts w:ascii="Calibri" w:hAnsi="Calibri" w:eastAsia="Calibri" w:cs="Calibri"/>
          <w:i/>
          <w:iCs/>
          <w:color w:val="000000"/>
          <w:sz w:val="22"/>
          <w:szCs w:val="22"/>
        </w:rPr>
        <w:t xml:space="preserve">Horticultura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435-440.</w:t>
      </w:r>
    </w:p>
    <w:p>
      <w:pPr>
        <w:widowControl w:val="on"/>
        <w:pBdr/>
        <w:spacing w:before="220" w:after="220" w:line="240" w:lineRule="auto"/>
        <w:ind w:left="0" w:right="0"/>
        <w:jc w:val="left"/>
      </w:pPr>
      <w:r>
        <w:rPr>
          <w:rFonts w:ascii="Calibri" w:hAnsi="Calibri" w:eastAsia="Calibri" w:cs="Calibri"/>
          <w:color w:val="000000"/>
          <w:sz w:val="22"/>
          <w:szCs w:val="22"/>
        </w:rPr>
        <w:t xml:space="preserve">Berti J &amp; Marcano R (1995) Preferencia de </w:t>
      </w:r>
      <w:r>
        <w:rPr>
          <w:rFonts w:ascii="Calibri" w:hAnsi="Calibri" w:eastAsia="Calibri" w:cs="Calibri"/>
          <w:i/>
          <w:iCs/>
          <w:color w:val="000000"/>
          <w:sz w:val="22"/>
          <w:szCs w:val="22"/>
        </w:rPr>
        <w:t xml:space="preserve">Trichogramma pretiosum</w:t>
      </w:r>
      <w:r>
        <w:rPr>
          <w:rFonts w:ascii="Calibri" w:hAnsi="Calibri" w:eastAsia="Calibri" w:cs="Calibri"/>
          <w:color w:val="000000"/>
          <w:sz w:val="22"/>
          <w:szCs w:val="22"/>
        </w:rPr>
        <w:t xml:space="preserve"> (Riley) (Hymenoptera: Trichogrammatidae) por huevos de diferentes hospederos. </w:t>
      </w:r>
      <w:r>
        <w:rPr>
          <w:rFonts w:ascii="Calibri" w:hAnsi="Calibri" w:eastAsia="Calibri" w:cs="Calibri"/>
          <w:i/>
          <w:iCs/>
          <w:color w:val="000000"/>
          <w:sz w:val="22"/>
          <w:szCs w:val="22"/>
        </w:rPr>
        <w:t xml:space="preserve">Boletín de Entomología Venezolana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Blackmer JL, Eiras AE &amp; De Souza CLM (2001) Oviposition preference of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(Lepidoptera: Crambidae) and rates of parasitism by </w:t>
      </w:r>
      <w:r>
        <w:rPr>
          <w:rFonts w:ascii="Calibri" w:hAnsi="Calibri" w:eastAsia="Calibri" w:cs="Calibri"/>
          <w:i/>
          <w:iCs/>
          <w:color w:val="000000"/>
          <w:sz w:val="22"/>
          <w:szCs w:val="22"/>
        </w:rPr>
        <w:t xml:space="preserve">Trichogramma pretiosum </w:t>
      </w:r>
      <w:r>
        <w:rPr>
          <w:rFonts w:ascii="Calibri" w:hAnsi="Calibri" w:eastAsia="Calibri" w:cs="Calibri"/>
          <w:color w:val="000000"/>
          <w:sz w:val="22"/>
          <w:szCs w:val="22"/>
        </w:rPr>
        <w:t xml:space="preserve">Riley (Hymenoptera: Trichogrammatidae) on </w:t>
      </w:r>
      <w:r>
        <w:rPr>
          <w:rFonts w:ascii="Calibri" w:hAnsi="Calibri" w:eastAsia="Calibri" w:cs="Calibri"/>
          <w:i/>
          <w:iCs/>
          <w:color w:val="000000"/>
          <w:sz w:val="22"/>
          <w:szCs w:val="22"/>
        </w:rPr>
        <w:t xml:space="preserve">Lycopersicon esculentum </w:t>
      </w:r>
      <w:r>
        <w:rPr>
          <w:rFonts w:ascii="Calibri" w:hAnsi="Calibri" w:eastAsia="Calibri" w:cs="Calibri"/>
          <w:color w:val="000000"/>
          <w:sz w:val="22"/>
          <w:szCs w:val="22"/>
        </w:rPr>
        <w:t xml:space="preserve">in São José de Ubá, RJ, Brazil. </w:t>
      </w:r>
      <w:r>
        <w:rPr>
          <w:rFonts w:ascii="Calibri" w:hAnsi="Calibri" w:eastAsia="Calibri" w:cs="Calibri"/>
          <w:i/>
          <w:iCs/>
          <w:color w:val="000000"/>
          <w:sz w:val="22"/>
          <w:szCs w:val="22"/>
        </w:rPr>
        <w:t xml:space="preserve">Neotropical Entomology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89-95.</w:t>
      </w:r>
    </w:p>
    <w:p>
      <w:pPr>
        <w:widowControl w:val="on"/>
        <w:pBdr/>
        <w:spacing w:before="220" w:after="220" w:line="240" w:lineRule="auto"/>
        <w:ind w:left="0" w:right="0"/>
        <w:jc w:val="left"/>
      </w:pPr>
      <w:r>
        <w:rPr>
          <w:rFonts w:ascii="Calibri" w:hAnsi="Calibri" w:eastAsia="Calibri" w:cs="Calibri"/>
          <w:color w:val="000000"/>
          <w:sz w:val="22"/>
          <w:szCs w:val="22"/>
        </w:rPr>
        <w:t xml:space="preserve">Capps HW (1948) Status of the Pyraustid moths of genus </w:t>
      </w:r>
      <w:r>
        <w:rPr>
          <w:rFonts w:ascii="Calibri" w:hAnsi="Calibri" w:eastAsia="Calibri" w:cs="Calibri"/>
          <w:i/>
          <w:iCs/>
          <w:color w:val="000000"/>
          <w:sz w:val="22"/>
          <w:szCs w:val="22"/>
        </w:rPr>
        <w:t xml:space="preserve">Leucinodes </w:t>
      </w:r>
      <w:r>
        <w:rPr>
          <w:rFonts w:ascii="Calibri" w:hAnsi="Calibri" w:eastAsia="Calibri" w:cs="Calibri"/>
          <w:color w:val="000000"/>
          <w:sz w:val="22"/>
          <w:szCs w:val="22"/>
        </w:rPr>
        <w:t xml:space="preserve">in the New World, with descriptions of new genera and species. </w:t>
      </w:r>
      <w:r>
        <w:rPr>
          <w:rFonts w:ascii="Calibri" w:hAnsi="Calibri" w:eastAsia="Calibri" w:cs="Calibri"/>
          <w:i/>
          <w:iCs/>
          <w:color w:val="000000"/>
          <w:sz w:val="22"/>
          <w:szCs w:val="22"/>
        </w:rPr>
        <w:t xml:space="preserve">Smithsonian Institution Press, Proceedings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69-83.</w:t>
      </w:r>
    </w:p>
    <w:p>
      <w:pPr>
        <w:widowControl w:val="on"/>
        <w:pBdr/>
        <w:spacing w:before="220" w:after="220" w:line="240" w:lineRule="auto"/>
        <w:ind w:left="0" w:right="0"/>
        <w:jc w:val="left"/>
      </w:pPr>
      <w:r>
        <w:rPr>
          <w:rFonts w:ascii="Calibri" w:hAnsi="Calibri" w:eastAsia="Calibri" w:cs="Calibri"/>
          <w:color w:val="000000"/>
          <w:sz w:val="22"/>
          <w:szCs w:val="22"/>
        </w:rPr>
        <w:t xml:space="preserve">Carneiro J, Pedrosa Haji FN &amp; dos Santos FA (1998) Bioecologia e controle da broca pequena do tomateiro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Circular Técnica 26. Embrapa, Meio Norte, Brazil. </w:t>
      </w:r>
    </w:p>
    <w:p>
      <w:pPr>
        <w:widowControl w:val="on"/>
        <w:pBdr/>
        <w:spacing w:before="220" w:after="220" w:line="240" w:lineRule="auto"/>
        <w:ind w:left="0" w:right="0"/>
        <w:jc w:val="left"/>
      </w:pPr>
      <w:r>
        <w:rPr>
          <w:rFonts w:ascii="Calibri" w:hAnsi="Calibri" w:eastAsia="Calibri" w:cs="Calibri"/>
          <w:color w:val="000000"/>
          <w:sz w:val="22"/>
          <w:szCs w:val="22"/>
        </w:rPr>
        <w:t xml:space="preserve">Costa HSF, Fanaro GB, Araú MMJO, Santillo AG, de Faria JTVA &amp; Villavicencio ALCH (2009) Gamma irradiation as a quarantine treatment for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in tomato fruit. International Nuclear Atlantic Conference - INAC. Rio de Janeiro, RJ, Brazil, September 27 to October 2, 2009 Associação Brasileira De Energia Nuclear – Aben. 5p.</w:t>
      </w:r>
    </w:p>
    <w:p>
      <w:pPr>
        <w:widowControl w:val="on"/>
        <w:pBdr/>
        <w:spacing w:before="220" w:after="220" w:line="240" w:lineRule="auto"/>
        <w:ind w:left="0" w:right="0"/>
        <w:jc w:val="left"/>
      </w:pPr>
      <w:r>
        <w:rPr>
          <w:rFonts w:ascii="Calibri" w:hAnsi="Calibri" w:eastAsia="Calibri" w:cs="Calibri"/>
          <w:color w:val="000000"/>
          <w:sz w:val="22"/>
          <w:szCs w:val="22"/>
        </w:rPr>
        <w:t xml:space="preserve">Cross MV (1996) Evaluacíon del parasitismo de </w:t>
      </w:r>
      <w:r>
        <w:rPr>
          <w:rFonts w:ascii="Calibri" w:hAnsi="Calibri" w:eastAsia="Calibri" w:cs="Calibri"/>
          <w:i/>
          <w:iCs/>
          <w:color w:val="000000"/>
          <w:sz w:val="22"/>
          <w:szCs w:val="22"/>
        </w:rPr>
        <w:t xml:space="preserve">Trichogramma pretiosum </w:t>
      </w:r>
      <w:r>
        <w:rPr>
          <w:rFonts w:ascii="Calibri" w:hAnsi="Calibri" w:eastAsia="Calibri" w:cs="Calibri"/>
          <w:color w:val="000000"/>
          <w:sz w:val="22"/>
          <w:szCs w:val="22"/>
        </w:rPr>
        <w:t xml:space="preserve">Riley sobre el perforador del fruto del tomate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(Lepidoptera: Pyralidae) en el Valle. Tesis Ingeniero Agrónomo. Facultad de Ciencias Agrícolas, Universidad de Nariño. Pasto. 106 p.</w:t>
      </w:r>
    </w:p>
    <w:p>
      <w:pPr>
        <w:widowControl w:val="on"/>
        <w:pBdr/>
        <w:spacing w:before="220" w:after="220" w:line="240" w:lineRule="auto"/>
        <w:ind w:left="0" w:right="0"/>
        <w:jc w:val="left"/>
      </w:pPr>
      <w:r>
        <w:rPr>
          <w:rFonts w:ascii="Calibri" w:hAnsi="Calibri" w:eastAsia="Calibri" w:cs="Calibri"/>
          <w:color w:val="000000"/>
          <w:sz w:val="22"/>
          <w:szCs w:val="22"/>
        </w:rPr>
        <w:t xml:space="preserve">Da Silva EM, Crespo ALB, Farias ES, Bacci L, Queiroz RB &amp; Picanço MC (2019) Conventional sampling plan for scouting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 Crambidae) eggs on tomato fruits.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2433-2440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Da Silva RS, Arcanjo LP, Soares JRS, Ferreira DO, Serrão JE, Martins JC, Costa ÁH &amp; Picanço MC (2018) Insecticide toxicity to the borer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(Lepidoptera: Crambidae): developmental and egg-laying effects.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318-325.</w:t>
      </w:r>
    </w:p>
    <w:p>
      <w:pPr>
        <w:widowControl w:val="on"/>
        <w:pBdr/>
        <w:spacing w:before="220" w:after="220" w:line="240" w:lineRule="auto"/>
        <w:ind w:left="0" w:right="0"/>
        <w:jc w:val="left"/>
      </w:pPr>
      <w:r>
        <w:rPr>
          <w:rFonts w:ascii="Calibri" w:hAnsi="Calibri" w:eastAsia="Calibri" w:cs="Calibri"/>
          <w:color w:val="000000"/>
          <w:sz w:val="22"/>
          <w:szCs w:val="22"/>
        </w:rPr>
        <w:t xml:space="preserve">Da Silva RS, Kumar L, Shabani F, Picanço MC (2017) Potential risk levels of invasive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(small tomato borer) in areas optimal for open field </w:t>
      </w:r>
      <w:r>
        <w:rPr>
          <w:rFonts w:ascii="Calibri" w:hAnsi="Calibri" w:eastAsia="Calibri" w:cs="Calibri"/>
          <w:i/>
          <w:iCs/>
          <w:color w:val="000000"/>
          <w:sz w:val="22"/>
          <w:szCs w:val="22"/>
        </w:rPr>
        <w:t xml:space="preserve">Solanum lycopersicum </w:t>
      </w:r>
      <w:r>
        <w:rPr>
          <w:rFonts w:ascii="Calibri" w:hAnsi="Calibri" w:eastAsia="Calibri" w:cs="Calibri"/>
          <w:color w:val="000000"/>
          <w:sz w:val="22"/>
          <w:szCs w:val="22"/>
        </w:rPr>
        <w:t xml:space="preserve">(tomato) cultivation in the present and under predicted climate change.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616-627.</w:t>
      </w:r>
    </w:p>
    <w:p>
      <w:pPr>
        <w:widowControl w:val="on"/>
        <w:pBdr/>
        <w:spacing w:before="220" w:after="220" w:line="240" w:lineRule="auto"/>
        <w:ind w:left="0" w:right="0"/>
        <w:jc w:val="left"/>
      </w:pPr>
      <w:r>
        <w:rPr>
          <w:rFonts w:ascii="Calibri" w:hAnsi="Calibri" w:eastAsia="Calibri" w:cs="Calibri"/>
          <w:color w:val="000000"/>
          <w:sz w:val="22"/>
          <w:szCs w:val="22"/>
        </w:rPr>
        <w:t xml:space="preserve">De França SM, Oliveira Breda M, Badji CA &amp; De Oliveira JV (2013) Chapter 6. The use of behavioral manipulation techniques on synthetic insecticides optimization. In: Trdan S (ed) </w:t>
      </w:r>
      <w:r>
        <w:rPr>
          <w:rFonts w:ascii="Calibri" w:hAnsi="Calibri" w:eastAsia="Calibri" w:cs="Calibri"/>
          <w:i/>
          <w:iCs/>
          <w:color w:val="000000"/>
          <w:sz w:val="22"/>
          <w:szCs w:val="22"/>
        </w:rPr>
        <w:t xml:space="preserve">Insecticides - Development of safer and more effective technologies</w:t>
      </w:r>
      <w:r>
        <w:rPr>
          <w:rFonts w:ascii="Calibri" w:hAnsi="Calibri" w:eastAsia="Calibri" w:cs="Calibri"/>
          <w:color w:val="000000"/>
          <w:sz w:val="22"/>
          <w:szCs w:val="22"/>
        </w:rPr>
        <w:t xml:space="preserve">. Intechopen Limited,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De Franca SM, Oliveira JV, Badji CA, Guedes CA, Duarte BLR, Oliveira CM &amp; Breda MO (2017) Management of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 Crambidae) in tomatoes using mating disruption and attract and kill. </w:t>
      </w:r>
      <w:r>
        <w:rPr>
          <w:rFonts w:ascii="Calibri" w:hAnsi="Calibri" w:eastAsia="Calibri" w:cs="Calibri"/>
          <w:i/>
          <w:iCs/>
          <w:color w:val="000000"/>
          <w:sz w:val="22"/>
          <w:szCs w:val="22"/>
        </w:rPr>
        <w:t xml:space="preserve">Journal of Agricultural Science and Technology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133-144.</w:t>
      </w:r>
    </w:p>
    <w:p>
      <w:pPr>
        <w:widowControl w:val="on"/>
        <w:pBdr/>
        <w:spacing w:before="220" w:after="220" w:line="240" w:lineRule="auto"/>
        <w:ind w:left="0" w:right="0"/>
        <w:jc w:val="left"/>
      </w:pPr>
      <w:r>
        <w:rPr>
          <w:rFonts w:ascii="Calibri" w:hAnsi="Calibri" w:eastAsia="Calibri" w:cs="Calibri"/>
          <w:color w:val="000000"/>
          <w:sz w:val="22"/>
          <w:szCs w:val="22"/>
        </w:rPr>
        <w:t xml:space="preserve">De Moraes CP &amp; Foerster LA (2014) Development and reproduction of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 Crambidae) on tomato (</w:t>
      </w:r>
      <w:r>
        <w:rPr>
          <w:rFonts w:ascii="Calibri" w:hAnsi="Calibri" w:eastAsia="Calibri" w:cs="Calibri"/>
          <w:i/>
          <w:iCs/>
          <w:color w:val="000000"/>
          <w:sz w:val="22"/>
          <w:szCs w:val="22"/>
        </w:rPr>
        <w:t xml:space="preserve">Solanum licopercum</w:t>
      </w:r>
      <w:r>
        <w:rPr>
          <w:rFonts w:ascii="Calibri" w:hAnsi="Calibri" w:eastAsia="Calibri" w:cs="Calibri"/>
          <w:color w:val="000000"/>
          <w:sz w:val="22"/>
          <w:szCs w:val="22"/>
        </w:rPr>
        <w:t xml:space="preserve">) cultivars. </w:t>
      </w:r>
      <w:r>
        <w:rPr>
          <w:rFonts w:ascii="Calibri" w:hAnsi="Calibri" w:eastAsia="Calibri" w:cs="Calibri"/>
          <w:i/>
          <w:iCs/>
          <w:color w:val="000000"/>
          <w:sz w:val="22"/>
          <w:szCs w:val="22"/>
        </w:rPr>
        <w:t xml:space="preserve">Revista Colombiana de Entomología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40-43.</w:t>
      </w:r>
    </w:p>
    <w:p>
      <w:pPr>
        <w:widowControl w:val="on"/>
        <w:pBdr/>
        <w:spacing w:before="220" w:after="220" w:line="240" w:lineRule="auto"/>
        <w:ind w:left="0" w:right="0"/>
        <w:jc w:val="left"/>
      </w:pPr>
      <w:r>
        <w:rPr>
          <w:rFonts w:ascii="Calibri" w:hAnsi="Calibri" w:eastAsia="Calibri" w:cs="Calibri"/>
          <w:color w:val="000000"/>
          <w:sz w:val="22"/>
          <w:szCs w:val="22"/>
        </w:rPr>
        <w:t xml:space="preserve">De Moraes CP &amp; Foerster LA (2015) Thermal requirements, fertility, and number of generations of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(Lepidoptera: Crambidae).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38-344.</w:t>
      </w:r>
    </w:p>
    <w:p>
      <w:pPr>
        <w:widowControl w:val="on"/>
        <w:pBdr/>
        <w:spacing w:before="220" w:after="220" w:line="240" w:lineRule="auto"/>
        <w:ind w:left="0" w:right="0"/>
        <w:jc w:val="left"/>
      </w:pPr>
      <w:r>
        <w:rPr>
          <w:rFonts w:ascii="Calibri" w:hAnsi="Calibri" w:eastAsia="Calibri" w:cs="Calibri"/>
          <w:color w:val="000000"/>
          <w:sz w:val="22"/>
          <w:szCs w:val="22"/>
        </w:rPr>
        <w:t xml:space="preserve">De Oliveira CM, De Oliveira JV, Rafael D, Barbosa S, Breda MO, De França SM, Duarte BLR (2017) Biological parameters and thermal requirements of </w:t>
      </w:r>
      <w:r>
        <w:rPr>
          <w:rFonts w:ascii="Calibri" w:hAnsi="Calibri" w:eastAsia="Calibri" w:cs="Calibri"/>
          <w:i/>
          <w:iCs/>
          <w:color w:val="000000"/>
          <w:sz w:val="22"/>
          <w:szCs w:val="22"/>
        </w:rPr>
        <w:t xml:space="preserve">Trichogramma pretiosum</w:t>
      </w:r>
      <w:r>
        <w:rPr>
          <w:rFonts w:ascii="Calibri" w:hAnsi="Calibri" w:eastAsia="Calibri" w:cs="Calibri"/>
          <w:color w:val="000000"/>
          <w:sz w:val="22"/>
          <w:szCs w:val="22"/>
        </w:rPr>
        <w:t xml:space="preserve"> for the management of the tomato fruit borer (Lepidoptera: Crambidae) in tomatoes.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39-44.</w:t>
      </w:r>
    </w:p>
    <w:p>
      <w:pPr>
        <w:widowControl w:val="on"/>
        <w:pBdr/>
        <w:spacing w:before="220" w:after="220" w:line="240" w:lineRule="auto"/>
        <w:ind w:left="0" w:right="0"/>
        <w:jc w:val="left"/>
      </w:pPr>
      <w:r>
        <w:rPr>
          <w:rFonts w:ascii="Calibri" w:hAnsi="Calibri" w:eastAsia="Calibri" w:cs="Calibri"/>
          <w:color w:val="000000"/>
          <w:sz w:val="22"/>
          <w:szCs w:val="22"/>
        </w:rPr>
        <w:t xml:space="preserve">Díaz AE &amp; Brochero HLM (2012) Parasitoides asociados al perforador del fruto de las solanáceas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 Crambidae) en Colombia". </w:t>
      </w:r>
      <w:r>
        <w:rPr>
          <w:rFonts w:ascii="Calibri" w:hAnsi="Calibri" w:eastAsia="Calibri" w:cs="Calibri"/>
          <w:i/>
          <w:iCs/>
          <w:color w:val="000000"/>
          <w:sz w:val="22"/>
          <w:szCs w:val="22"/>
        </w:rPr>
        <w:t xml:space="preserve">Revista Colombiana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50-57.</w:t>
      </w:r>
    </w:p>
    <w:p>
      <w:pPr>
        <w:widowControl w:val="on"/>
        <w:pBdr/>
        <w:spacing w:before="220" w:after="220" w:line="240" w:lineRule="auto"/>
        <w:ind w:left="0" w:right="0"/>
        <w:jc w:val="left"/>
      </w:pPr>
      <w:r>
        <w:rPr>
          <w:rFonts w:ascii="Calibri" w:hAnsi="Calibri" w:eastAsia="Calibri" w:cs="Calibri"/>
          <w:color w:val="000000"/>
          <w:sz w:val="22"/>
          <w:szCs w:val="22"/>
        </w:rPr>
        <w:t xml:space="preserve">Diaz AE &amp; Solis AM (2007) A new species and species distribution records of </w:t>
      </w:r>
      <w:r>
        <w:rPr>
          <w:rFonts w:ascii="Calibri" w:hAnsi="Calibri" w:eastAsia="Calibri" w:cs="Calibri"/>
          <w:i/>
          <w:iCs/>
          <w:color w:val="000000"/>
          <w:sz w:val="22"/>
          <w:szCs w:val="22"/>
        </w:rPr>
        <w:t xml:space="preserve">Neoleucinodes</w:t>
      </w:r>
      <w:r>
        <w:rPr>
          <w:rFonts w:ascii="Calibri" w:hAnsi="Calibri" w:eastAsia="Calibri" w:cs="Calibri"/>
          <w:color w:val="000000"/>
          <w:sz w:val="22"/>
          <w:szCs w:val="22"/>
        </w:rPr>
        <w:t xml:space="preserve"> (Lepidoptera: Crambidae: Spilomelinae) from Colombia, feeding on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897-908.</w:t>
      </w:r>
    </w:p>
    <w:p>
      <w:pPr>
        <w:widowControl w:val="on"/>
        <w:pBdr/>
        <w:spacing w:before="220" w:after="220" w:line="240" w:lineRule="auto"/>
        <w:ind w:left="0" w:right="0"/>
        <w:jc w:val="left"/>
      </w:pPr>
      <w:r>
        <w:rPr>
          <w:rFonts w:ascii="Calibri" w:hAnsi="Calibri" w:eastAsia="Calibri" w:cs="Calibri"/>
          <w:color w:val="000000"/>
          <w:sz w:val="22"/>
          <w:szCs w:val="22"/>
        </w:rPr>
        <w:t xml:space="preserve">Díaz-Montilla AE, Baena-Bejarano N, Montoya-Lerma J &amp; Saldamando-Benjumea CI (2018) Reproductive incompatibility and fitness components in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races (Lepidoptera, Crambidae) from three Solanaceae hosts. </w:t>
      </w:r>
      <w:r>
        <w:rPr>
          <w:rFonts w:ascii="Calibri" w:hAnsi="Calibri" w:eastAsia="Calibri" w:cs="Calibri"/>
          <w:i/>
          <w:iCs/>
          <w:color w:val="000000"/>
          <w:sz w:val="22"/>
          <w:szCs w:val="22"/>
        </w:rPr>
        <w:t xml:space="preserve">Caldasia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199-215.</w:t>
      </w:r>
    </w:p>
    <w:p>
      <w:pPr>
        <w:widowControl w:val="on"/>
        <w:pBdr/>
        <w:spacing w:before="220" w:after="220" w:line="240" w:lineRule="auto"/>
        <w:ind w:left="0" w:right="0"/>
        <w:jc w:val="left"/>
      </w:pPr>
      <w:r>
        <w:rPr>
          <w:rFonts w:ascii="Calibri" w:hAnsi="Calibri" w:eastAsia="Calibri" w:cs="Calibri"/>
          <w:color w:val="000000"/>
          <w:sz w:val="22"/>
          <w:szCs w:val="22"/>
        </w:rPr>
        <w:t xml:space="preserve">Díaz-Montilla AE, Gallego-Sánchez G, Suárez-Barón H, Cano-Calle D, Arango-Isaza RE, Viera W, Saldamando-Benjumea CI (2017b)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Population structure and isolation by distance in Central and South America revealed with cytochrome oxidase I (CO1) Gene.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753-768.</w:t>
      </w:r>
    </w:p>
    <w:p>
      <w:pPr>
        <w:widowControl w:val="on"/>
        <w:pBdr/>
        <w:spacing w:before="220" w:after="220" w:line="240" w:lineRule="auto"/>
        <w:ind w:left="0" w:right="0"/>
        <w:jc w:val="left"/>
      </w:pPr>
      <w:r>
        <w:rPr>
          <w:rFonts w:ascii="Calibri" w:hAnsi="Calibri" w:eastAsia="Calibri" w:cs="Calibri"/>
          <w:color w:val="000000"/>
          <w:sz w:val="22"/>
          <w:szCs w:val="22"/>
        </w:rPr>
        <w:t xml:space="preserve">Diaz-Montilla AE, Suarez-Baron H, Gallego-Sanchez G, Viera-Arroyo WF &amp; Saldamando-Benjumea CI (2017a) Variation in the capture of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Guenee (Lepidoptera: Crambidae) males using commercial sex pheromones on three solanaceous hosts. </w:t>
      </w:r>
      <w:r>
        <w:rPr>
          <w:rFonts w:ascii="Calibri" w:hAnsi="Calibri" w:eastAsia="Calibri" w:cs="Calibri"/>
          <w:i/>
          <w:iCs/>
          <w:color w:val="000000"/>
          <w:sz w:val="22"/>
          <w:szCs w:val="22"/>
        </w:rPr>
        <w:t xml:space="preserve">Corpoica Ciencia y Tecnología Agropecuaria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583-597.</w:t>
      </w:r>
    </w:p>
    <w:p>
      <w:pPr>
        <w:widowControl w:val="on"/>
        <w:pBdr/>
        <w:spacing w:before="220" w:after="220" w:line="240" w:lineRule="auto"/>
        <w:ind w:left="0" w:right="0"/>
        <w:jc w:val="left"/>
      </w:pPr>
      <w:r>
        <w:rPr>
          <w:rFonts w:ascii="Calibri" w:hAnsi="Calibri" w:eastAsia="Calibri" w:cs="Calibri"/>
          <w:color w:val="000000"/>
          <w:sz w:val="22"/>
          <w:szCs w:val="22"/>
        </w:rPr>
        <w:t xml:space="preserve">Díaz-Montilla AE, Suárez-Baron HG, Gallego-Sánchez G, Saldamando-Benjumea CI &amp; Tohme J (2013) Geographic differentiation of Colombian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 Crambidae) haplotypes: evidence for Solanaceae host plant association and Holdridge life zones for genetic differentiation.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586-597.</w:t>
      </w:r>
    </w:p>
    <w:p>
      <w:pPr>
        <w:widowControl w:val="on"/>
        <w:pBdr/>
        <w:spacing w:before="220" w:after="220" w:line="240" w:lineRule="auto"/>
        <w:ind w:left="0" w:right="0"/>
        <w:jc w:val="left"/>
      </w:pPr>
      <w:r>
        <w:rPr>
          <w:rFonts w:ascii="Calibri" w:hAnsi="Calibri" w:eastAsia="Calibri" w:cs="Calibri"/>
          <w:color w:val="000000"/>
          <w:sz w:val="22"/>
          <w:szCs w:val="22"/>
        </w:rPr>
        <w:t xml:space="preserve">EDA (2007) Identificación, daño y control del barrenador en el fruto del tomate/berenjena.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Pyralidae - Lepidóptera). Boletín Técnico de Producción. Entrenamiento y Desarrollo de Agricultores. Cortes, Honduras.</w:t>
      </w:r>
    </w:p>
    <w:p>
      <w:pPr>
        <w:widowControl w:val="on"/>
        <w:pBdr/>
        <w:spacing w:before="220" w:after="220" w:line="240" w:lineRule="auto"/>
        <w:ind w:left="0" w:right="0"/>
        <w:jc w:val="left"/>
      </w:pPr>
      <w:r>
        <w:rPr>
          <w:rFonts w:ascii="Calibri" w:hAnsi="Calibri" w:eastAsia="Calibri" w:cs="Calibri"/>
          <w:color w:val="000000"/>
          <w:sz w:val="22"/>
          <w:szCs w:val="22"/>
        </w:rPr>
        <w:t xml:space="preserve">Eiras AE &amp; Blackmer JL (2003) Eclosion time and larval behavior of the tomato fruit borer,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(Lepidoptera: Crambidae). </w:t>
      </w:r>
      <w:r>
        <w:rPr>
          <w:rFonts w:ascii="Calibri" w:hAnsi="Calibri" w:eastAsia="Calibri" w:cs="Calibri"/>
          <w:i/>
          <w:iCs/>
          <w:color w:val="000000"/>
          <w:sz w:val="22"/>
          <w:szCs w:val="22"/>
        </w:rPr>
        <w:t xml:space="preserve">Scientia Agricola (Piracicaba, Brazil)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195-197.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Pest risk analysis for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EPPO Platform on PRAs. </w:t>
      </w:r>
      <w:hyperlink r:id="rId7619694bd512aab2c" w:history="1">
        <w:r>
          <w:rPr>
            <w:rFonts w:ascii="Calibri" w:hAnsi="Calibri" w:eastAsia="Calibri" w:cs="Calibri"/>
            <w:color w:val="0000CC"/>
            <w:sz w:val="22"/>
            <w:szCs w:val="22"/>
            <w:u w:val="single"/>
          </w:rPr>
          <w:t xml:space="preserve">https://pra.eppo.int/pra/1078c88d-bf07-486f-841c-7faa74b93c58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Espinoza (2008) Barrenador del fruto de la berenjena,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Hoja Técnica No. 2, Enero, 2008. FHIA, Cortés, Honduras.</w:t>
      </w:r>
    </w:p>
    <w:p>
      <w:pPr>
        <w:widowControl w:val="on"/>
        <w:pBdr/>
        <w:spacing w:before="220" w:after="220" w:line="240" w:lineRule="auto"/>
        <w:ind w:left="0" w:right="0"/>
        <w:jc w:val="left"/>
      </w:pPr>
      <w:r>
        <w:rPr>
          <w:rFonts w:ascii="Calibri" w:hAnsi="Calibri" w:eastAsia="Calibri" w:cs="Calibri"/>
          <w:color w:val="000000"/>
          <w:sz w:val="22"/>
          <w:szCs w:val="22"/>
        </w:rPr>
        <w:t xml:space="preserve">Fernandez S &amp; Salas A (1985) Estudio sobre la biología del perforador del fruto del tomate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(Lepidoptera:Pyralidae</w:t>
      </w:r>
      <w:r>
        <w:rPr>
          <w:rFonts w:ascii="Calibri" w:hAnsi="Calibri" w:eastAsia="Calibri" w:cs="Calibri"/>
          <w:i/>
          <w:iCs/>
          <w:color w:val="000000"/>
          <w:sz w:val="22"/>
          <w:szCs w:val="22"/>
        </w:rPr>
        <w:t xml:space="preserve">). Agronomía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35, </w:t>
      </w:r>
      <w:r>
        <w:rPr>
          <w:rFonts w:ascii="Calibri" w:hAnsi="Calibri" w:eastAsia="Calibri" w:cs="Calibri"/>
          <w:color w:val="000000"/>
          <w:sz w:val="22"/>
          <w:szCs w:val="22"/>
        </w:rPr>
        <w:t xml:space="preserve">77-81.</w:t>
      </w:r>
    </w:p>
    <w:p>
      <w:pPr>
        <w:widowControl w:val="on"/>
        <w:pBdr/>
        <w:spacing w:before="220" w:after="220" w:line="240" w:lineRule="auto"/>
        <w:ind w:left="0" w:right="0"/>
        <w:jc w:val="left"/>
      </w:pPr>
      <w:r>
        <w:rPr>
          <w:rFonts w:ascii="Calibri" w:hAnsi="Calibri" w:eastAsia="Calibri" w:cs="Calibri"/>
          <w:color w:val="000000"/>
          <w:sz w:val="22"/>
          <w:szCs w:val="22"/>
        </w:rPr>
        <w:t xml:space="preserve">Jaffe K, Miras B &amp; Cabrera A (2007) Mate selection in the moth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evidence for a supernormal chemical stimulus in sexual attraction. </w:t>
      </w:r>
      <w:r>
        <w:rPr>
          <w:rFonts w:ascii="Calibri" w:hAnsi="Calibri" w:eastAsia="Calibri" w:cs="Calibri"/>
          <w:i/>
          <w:iCs/>
          <w:color w:val="000000"/>
          <w:sz w:val="22"/>
          <w:szCs w:val="22"/>
        </w:rPr>
        <w:t xml:space="preserve">Animal behaviour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727-734.</w:t>
      </w:r>
    </w:p>
    <w:p>
      <w:pPr>
        <w:widowControl w:val="on"/>
        <w:pBdr/>
        <w:spacing w:before="220" w:after="220" w:line="240" w:lineRule="auto"/>
        <w:ind w:left="0" w:right="0"/>
        <w:jc w:val="left"/>
      </w:pPr>
      <w:r>
        <w:rPr>
          <w:rFonts w:ascii="Calibri" w:hAnsi="Calibri" w:eastAsia="Calibri" w:cs="Calibri"/>
          <w:color w:val="000000"/>
          <w:sz w:val="22"/>
          <w:szCs w:val="22"/>
        </w:rPr>
        <w:t xml:space="preserve">Jaramillo J, Rodriguez VP, Guzmán M, Zapata M &amp; Rengifo T (2007) Manual Técnico: Buenas Prácticas Agrícolas en la Producción de Tomate Bajo Condiciones Protegidas. Gobernación de Antioquia, MANA, CORPOICA, Centro de Investigación ‘La Selva’. FAO.</w:t>
      </w:r>
    </w:p>
    <w:p>
      <w:pPr>
        <w:widowControl w:val="on"/>
        <w:pBdr/>
        <w:spacing w:before="220" w:after="220" w:line="240" w:lineRule="auto"/>
        <w:ind w:left="0" w:right="0"/>
        <w:jc w:val="left"/>
      </w:pPr>
      <w:r>
        <w:rPr>
          <w:rFonts w:ascii="Calibri" w:hAnsi="Calibri" w:eastAsia="Calibri" w:cs="Calibri"/>
          <w:color w:val="000000"/>
          <w:sz w:val="22"/>
          <w:szCs w:val="22"/>
        </w:rPr>
        <w:t xml:space="preserve">Leiderman L &amp; Sauer HFG (1953) A broca pequena do fruto do tomateiro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1854). </w:t>
      </w:r>
      <w:r>
        <w:rPr>
          <w:rFonts w:ascii="Calibri" w:hAnsi="Calibri" w:eastAsia="Calibri" w:cs="Calibri"/>
          <w:i/>
          <w:iCs/>
          <w:color w:val="000000"/>
          <w:sz w:val="22"/>
          <w:szCs w:val="22"/>
        </w:rPr>
        <w:t xml:space="preserve">Biológico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182-186.</w:t>
      </w:r>
    </w:p>
    <w:p>
      <w:pPr>
        <w:widowControl w:val="on"/>
        <w:pBdr/>
        <w:spacing w:before="220" w:after="220" w:line="240" w:lineRule="auto"/>
        <w:ind w:left="0" w:right="0"/>
        <w:jc w:val="left"/>
      </w:pPr>
      <w:r>
        <w:rPr>
          <w:rFonts w:ascii="Calibri" w:hAnsi="Calibri" w:eastAsia="Calibri" w:cs="Calibri"/>
          <w:color w:val="000000"/>
          <w:sz w:val="22"/>
          <w:szCs w:val="22"/>
        </w:rPr>
        <w:t xml:space="preserve">Maia AVP, Almeida C, Santoro KR, Melo JLA, Oliveira JV, Guedes RNC &amp; Badji CA (2016). High-level phylogeographic structuring of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(Lepidoptera, Crambidae) in Brazil: an important tomato pest. </w:t>
      </w:r>
      <w:r>
        <w:rPr>
          <w:rFonts w:ascii="Calibri" w:hAnsi="Calibri" w:eastAsia="Calibri" w:cs="Calibri"/>
          <w:i/>
          <w:iCs/>
          <w:color w:val="000000"/>
          <w:sz w:val="22"/>
          <w:szCs w:val="22"/>
        </w:rPr>
        <w:t xml:space="preserve">Revista Brasileira de Entomologia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206-210.</w:t>
      </w:r>
    </w:p>
    <w:p>
      <w:pPr>
        <w:widowControl w:val="on"/>
        <w:pBdr/>
        <w:spacing w:before="220" w:after="220" w:line="240" w:lineRule="auto"/>
        <w:ind w:left="0" w:right="0"/>
        <w:jc w:val="left"/>
      </w:pPr>
      <w:r>
        <w:rPr>
          <w:rFonts w:ascii="Calibri" w:hAnsi="Calibri" w:eastAsia="Calibri" w:cs="Calibri"/>
          <w:color w:val="000000"/>
          <w:sz w:val="22"/>
          <w:szCs w:val="22"/>
        </w:rPr>
        <w:t xml:space="preserve">Marcano RV (1991a) Estudio de la biologia y algunos aspectos del comportamiento del perforador del fruto del tomate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 Pyralidae) en tomate. </w:t>
      </w:r>
      <w:r>
        <w:rPr>
          <w:rFonts w:ascii="Calibri" w:hAnsi="Calibri" w:eastAsia="Calibri" w:cs="Calibri"/>
          <w:i/>
          <w:iCs/>
          <w:color w:val="000000"/>
          <w:sz w:val="22"/>
          <w:szCs w:val="22"/>
        </w:rPr>
        <w:t xml:space="preserve">Agronomía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257-263.</w:t>
      </w:r>
    </w:p>
    <w:p>
      <w:pPr>
        <w:widowControl w:val="on"/>
        <w:pBdr/>
        <w:spacing w:before="220" w:after="220" w:line="240" w:lineRule="auto"/>
        <w:ind w:left="0" w:right="0"/>
        <w:jc w:val="left"/>
      </w:pPr>
      <w:r>
        <w:rPr>
          <w:rFonts w:ascii="Calibri" w:hAnsi="Calibri" w:eastAsia="Calibri" w:cs="Calibri"/>
          <w:color w:val="000000"/>
          <w:sz w:val="22"/>
          <w:szCs w:val="22"/>
        </w:rPr>
        <w:t xml:space="preserve">Marcano RV (1991b). Ciclo biologico del perforador del fruto del tomate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(Lepidoptera: Pyralidae), usando berenjena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como alimento. </w:t>
      </w:r>
      <w:r>
        <w:rPr>
          <w:rFonts w:ascii="Calibri" w:hAnsi="Calibri" w:eastAsia="Calibri" w:cs="Calibri"/>
          <w:i/>
          <w:iCs/>
          <w:color w:val="000000"/>
          <w:sz w:val="22"/>
          <w:szCs w:val="22"/>
        </w:rPr>
        <w:t xml:space="preserve">Boletín de entomología venezolana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135-141. </w:t>
      </w:r>
    </w:p>
    <w:p>
      <w:pPr>
        <w:widowControl w:val="on"/>
        <w:pBdr/>
        <w:spacing w:before="220" w:after="220" w:line="240" w:lineRule="auto"/>
        <w:ind w:left="0" w:right="0"/>
        <w:jc w:val="left"/>
      </w:pPr>
      <w:r>
        <w:rPr>
          <w:rFonts w:ascii="Calibri" w:hAnsi="Calibri" w:eastAsia="Calibri" w:cs="Calibri"/>
          <w:color w:val="000000"/>
          <w:sz w:val="22"/>
          <w:szCs w:val="22"/>
        </w:rPr>
        <w:t xml:space="preserve">Noboa M, Viera W, Díaz A, Vásquez W, Ron L (2017) Genitalic differentiations in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(Gueneé) (Lepidoptera: Crambidae) associated with Solanaceae crops in Ecuador.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91, 11 pp.</w:t>
      </w:r>
    </w:p>
    <w:p>
      <w:pPr>
        <w:widowControl w:val="on"/>
        <w:pBdr/>
        <w:spacing w:before="220" w:after="220" w:line="240" w:lineRule="auto"/>
        <w:ind w:left="0" w:right="0"/>
        <w:jc w:val="left"/>
      </w:pPr>
      <w:r>
        <w:rPr>
          <w:rFonts w:ascii="Calibri" w:hAnsi="Calibri" w:eastAsia="Calibri" w:cs="Calibri"/>
          <w:color w:val="000000"/>
          <w:sz w:val="22"/>
          <w:szCs w:val="22"/>
        </w:rPr>
        <w:t xml:space="preserve">Paredes J, Peralta EL &amp; Gómez P (2010) Gusano perforador de los frutos de naranjilla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Lam): Identificación y biología. </w:t>
      </w:r>
      <w:r>
        <w:rPr>
          <w:rFonts w:ascii="Calibri" w:hAnsi="Calibri" w:eastAsia="Calibri" w:cs="Calibri"/>
          <w:i/>
          <w:iCs/>
          <w:color w:val="000000"/>
          <w:sz w:val="22"/>
          <w:szCs w:val="22"/>
        </w:rPr>
        <w:t xml:space="preserve">Revista Tecnológica ESPOL–RTE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27-32.</w:t>
      </w:r>
    </w:p>
    <w:p>
      <w:pPr>
        <w:widowControl w:val="on"/>
        <w:pBdr/>
        <w:spacing w:before="220" w:after="220" w:line="240" w:lineRule="auto"/>
        <w:ind w:left="0" w:right="0"/>
        <w:jc w:val="left"/>
      </w:pPr>
      <w:r>
        <w:rPr>
          <w:rFonts w:ascii="Calibri" w:hAnsi="Calibri" w:eastAsia="Calibri" w:cs="Calibri"/>
          <w:color w:val="000000"/>
          <w:sz w:val="22"/>
          <w:szCs w:val="22"/>
        </w:rPr>
        <w:t xml:space="preserve">Parra JRP &amp; Zucchi RA (2004)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in Brazil: feasibility of use after twenty years of research. </w:t>
      </w:r>
      <w:r>
        <w:rPr>
          <w:rFonts w:ascii="Calibri" w:hAnsi="Calibri" w:eastAsia="Calibri" w:cs="Calibri"/>
          <w:i/>
          <w:iCs/>
          <w:color w:val="000000"/>
          <w:sz w:val="22"/>
          <w:szCs w:val="22"/>
        </w:rPr>
        <w:t xml:space="preserve">Neotropical Entomology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271-281.</w:t>
      </w:r>
    </w:p>
    <w:p>
      <w:pPr>
        <w:widowControl w:val="on"/>
        <w:pBdr/>
        <w:spacing w:before="220" w:after="220" w:line="240" w:lineRule="auto"/>
        <w:ind w:left="0" w:right="0"/>
        <w:jc w:val="left"/>
      </w:pPr>
      <w:r>
        <w:rPr>
          <w:rFonts w:ascii="Calibri" w:hAnsi="Calibri" w:eastAsia="Calibri" w:cs="Calibri"/>
          <w:color w:val="000000"/>
          <w:sz w:val="22"/>
          <w:szCs w:val="22"/>
        </w:rPr>
        <w:t xml:space="preserve">Pérez Rosero M (2010) Mejoramiento genético en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para la resistencia al pasador del fruto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(Lepidoptera: Crambidae). Universidad Nacional de Colombia. Facultad de Ciencias Agropecuarias, Palmira, Colombia. Thesis.</w:t>
      </w:r>
    </w:p>
    <w:p>
      <w:pPr>
        <w:widowControl w:val="on"/>
        <w:pBdr/>
        <w:spacing w:before="220" w:after="220" w:line="240" w:lineRule="auto"/>
        <w:ind w:left="0" w:right="0"/>
        <w:jc w:val="left"/>
      </w:pPr>
      <w:r>
        <w:rPr>
          <w:rFonts w:ascii="Calibri" w:hAnsi="Calibri" w:eastAsia="Calibri" w:cs="Calibri"/>
          <w:color w:val="000000"/>
          <w:sz w:val="22"/>
          <w:szCs w:val="22"/>
        </w:rPr>
        <w:t xml:space="preserve">Polanco-Puerta MF, Gómez-Posada S &amp; Padilla-Osorio JC (2018) Evaluación de la resistencia de un híbrido F1 de </w:t>
      </w:r>
      <w:r>
        <w:rPr>
          <w:rFonts w:ascii="Calibri" w:hAnsi="Calibri" w:eastAsia="Calibri" w:cs="Calibri"/>
          <w:i/>
          <w:iCs/>
          <w:color w:val="000000"/>
          <w:sz w:val="22"/>
          <w:szCs w:val="22"/>
        </w:rPr>
        <w:t xml:space="preserve">Solanum quitoense </w:t>
      </w:r>
      <w:r>
        <w:rPr>
          <w:rFonts w:ascii="Calibri" w:hAnsi="Calibri" w:eastAsia="Calibri" w:cs="Calibri"/>
          <w:color w:val="000000"/>
          <w:sz w:val="22"/>
          <w:szCs w:val="22"/>
        </w:rPr>
        <w:t xml:space="preserve">Lam. a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y </w:t>
      </w:r>
      <w:r>
        <w:rPr>
          <w:rFonts w:ascii="Calibri" w:hAnsi="Calibri" w:eastAsia="Calibri" w:cs="Calibri"/>
          <w:i/>
          <w:iCs/>
          <w:color w:val="000000"/>
          <w:sz w:val="22"/>
          <w:szCs w:val="22"/>
        </w:rPr>
        <w:t xml:space="preserve">Meloidogyne incognita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Ciencia &amp; Tecnología Agropecuaria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351-356.</w:t>
      </w:r>
    </w:p>
    <w:p>
      <w:pPr>
        <w:widowControl w:val="on"/>
        <w:pBdr/>
        <w:spacing w:before="220" w:after="220" w:line="240" w:lineRule="auto"/>
        <w:ind w:left="0" w:right="0"/>
        <w:jc w:val="left"/>
      </w:pPr>
      <w:r>
        <w:rPr>
          <w:rFonts w:ascii="Calibri" w:hAnsi="Calibri" w:eastAsia="Calibri" w:cs="Calibri"/>
          <w:color w:val="000000"/>
          <w:sz w:val="22"/>
          <w:szCs w:val="22"/>
        </w:rPr>
        <w:t xml:space="preserve">Puch LI &amp; Mollinedo VA (2009) Evaluación del daño provocado por la ‘polilla del tomate’ (</w:t>
      </w:r>
      <w:r>
        <w:rPr>
          <w:rFonts w:ascii="Calibri" w:hAnsi="Calibri" w:eastAsia="Calibri" w:cs="Calibri"/>
          <w:i/>
          <w:iCs/>
          <w:color w:val="000000"/>
          <w:sz w:val="22"/>
          <w:szCs w:val="22"/>
        </w:rPr>
        <w:t xml:space="preserve">Tuta absoluta</w:t>
      </w:r>
      <w:r>
        <w:rPr>
          <w:rFonts w:ascii="Calibri" w:hAnsi="Calibri" w:eastAsia="Calibri" w:cs="Calibri"/>
          <w:color w:val="000000"/>
          <w:sz w:val="22"/>
          <w:szCs w:val="22"/>
        </w:rPr>
        <w:t xml:space="preserve"> Meyrick) y el ‘perforador del fruto del tomate’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XXXII Congreso Argentino de Horticultura. libro de resúmenes. Salta, Argentina. </w:t>
      </w:r>
      <w:r>
        <w:rPr>
          <w:rFonts w:ascii="Calibri" w:hAnsi="Calibri" w:eastAsia="Calibri" w:cs="Calibri"/>
          <w:i/>
          <w:iCs/>
          <w:color w:val="000000"/>
          <w:sz w:val="22"/>
          <w:szCs w:val="22"/>
        </w:rPr>
        <w:t xml:space="preserve">Horticultura Argentina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82.</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Rodrigues Filho IL, Marchior LC &amp; da Silva LV. 2003. Análise da oviposição de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(Gene, 1854) (Lepidoptera: Crambidae) para subsidiar estratégia de manejo. </w:t>
      </w:r>
      <w:r>
        <w:rPr>
          <w:rFonts w:ascii="Calibri" w:hAnsi="Calibri" w:eastAsia="Calibri" w:cs="Calibri"/>
          <w:i/>
          <w:iCs/>
          <w:color w:val="000000"/>
          <w:sz w:val="22"/>
          <w:szCs w:val="22"/>
        </w:rPr>
        <w:t xml:space="preserve">Agronomía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23-26.</w:t>
      </w:r>
    </w:p>
    <w:p>
      <w:pPr>
        <w:widowControl w:val="on"/>
        <w:pBdr/>
        <w:spacing w:before="220" w:after="220" w:line="240" w:lineRule="auto"/>
        <w:ind w:left="0" w:right="0"/>
        <w:jc w:val="left"/>
      </w:pPr>
      <w:r>
        <w:rPr>
          <w:rFonts w:ascii="Calibri" w:hAnsi="Calibri" w:eastAsia="Calibri" w:cs="Calibri"/>
          <w:color w:val="000000"/>
          <w:sz w:val="22"/>
          <w:szCs w:val="22"/>
        </w:rPr>
        <w:t xml:space="preserve">Salas J, Álvarez C, Parra A (1991) Contribución al conocimiento de la ecología del perforador del fruto del tomate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(Lepidoptera: Pyraustidae). </w:t>
      </w:r>
      <w:r>
        <w:rPr>
          <w:rFonts w:ascii="Calibri" w:hAnsi="Calibri" w:eastAsia="Calibri" w:cs="Calibri"/>
          <w:i/>
          <w:iCs/>
          <w:color w:val="000000"/>
          <w:sz w:val="22"/>
          <w:szCs w:val="22"/>
        </w:rPr>
        <w:t xml:space="preserve">Agronomía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275-283.</w:t>
      </w:r>
    </w:p>
    <w:p>
      <w:pPr>
        <w:widowControl w:val="on"/>
        <w:pBdr/>
        <w:spacing w:before="220" w:after="220" w:line="240" w:lineRule="auto"/>
        <w:ind w:left="0" w:right="0"/>
        <w:jc w:val="left"/>
      </w:pPr>
      <w:r>
        <w:rPr>
          <w:rFonts w:ascii="Calibri" w:hAnsi="Calibri" w:eastAsia="Calibri" w:cs="Calibri"/>
          <w:color w:val="000000"/>
          <w:sz w:val="22"/>
          <w:szCs w:val="22"/>
        </w:rPr>
        <w:t xml:space="preserve">SENESA Honduras (2012) Plan de Accion. Manejo integrado del perforador del fruto del tomate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Pyralidae). Servicio Nacional de Sanidad Agropecuaria de Honduras.</w:t>
      </w:r>
    </w:p>
    <w:p>
      <w:pPr>
        <w:widowControl w:val="on"/>
        <w:pBdr/>
        <w:spacing w:before="220" w:after="220" w:line="240" w:lineRule="auto"/>
        <w:ind w:left="0" w:right="0"/>
        <w:jc w:val="left"/>
      </w:pPr>
      <w:r>
        <w:rPr>
          <w:rFonts w:ascii="Calibri" w:hAnsi="Calibri" w:eastAsia="Calibri" w:cs="Calibri"/>
          <w:color w:val="000000"/>
          <w:sz w:val="22"/>
          <w:szCs w:val="22"/>
        </w:rPr>
        <w:t xml:space="preserve">Serrano A, Muñoz E, Pulido J &amp; De la Cruz J (1992) Biología, hábitos y enemigos naturales del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w:t>
      </w:r>
      <w:r>
        <w:rPr>
          <w:rFonts w:ascii="Calibri" w:hAnsi="Calibri" w:eastAsia="Calibri" w:cs="Calibri"/>
          <w:i/>
          <w:iCs/>
          <w:color w:val="000000"/>
          <w:sz w:val="22"/>
          <w:szCs w:val="22"/>
        </w:rPr>
        <w:t xml:space="preserve">Revista Colombiana de Entomología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32-37.</w:t>
      </w:r>
    </w:p>
    <w:p>
      <w:pPr>
        <w:widowControl w:val="on"/>
        <w:pBdr/>
        <w:spacing w:before="220" w:after="220" w:line="240" w:lineRule="auto"/>
        <w:ind w:left="0" w:right="0"/>
        <w:jc w:val="left"/>
      </w:pPr>
      <w:r>
        <w:rPr>
          <w:rFonts w:ascii="Calibri" w:hAnsi="Calibri" w:eastAsia="Calibri" w:cs="Calibri"/>
          <w:color w:val="000000"/>
          <w:sz w:val="22"/>
          <w:szCs w:val="22"/>
        </w:rPr>
        <w:t xml:space="preserve">Silva I (2008) Control biológico y etológico del perforador del fruto del tomate. Revista Digital INIA HOY N° 2, mayo-agosto 2008.</w:t>
      </w:r>
    </w:p>
    <w:p>
      <w:pPr>
        <w:widowControl w:val="on"/>
        <w:pBdr/>
        <w:spacing w:before="220" w:after="220" w:line="240" w:lineRule="auto"/>
        <w:ind w:left="0" w:right="0"/>
        <w:jc w:val="left"/>
      </w:pPr>
      <w:r>
        <w:rPr>
          <w:rFonts w:ascii="Calibri" w:hAnsi="Calibri" w:eastAsia="Calibri" w:cs="Calibri"/>
          <w:color w:val="000000"/>
          <w:sz w:val="22"/>
          <w:szCs w:val="22"/>
        </w:rPr>
        <w:t xml:space="preserve">Viáfara HF, García F &amp; Diaz AE (1999) Parasitismo natural de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(Lepidoptera: Pyralidae) en algunas zonas productoras de Solanáceas del Cauca y Valle del Cauca Colombia. </w:t>
      </w:r>
      <w:r>
        <w:rPr>
          <w:rFonts w:ascii="Calibri" w:hAnsi="Calibri" w:eastAsia="Calibri" w:cs="Calibri"/>
          <w:i/>
          <w:iCs/>
          <w:color w:val="000000"/>
          <w:sz w:val="22"/>
          <w:szCs w:val="22"/>
        </w:rPr>
        <w:t xml:space="preserve">Revista Colombiana de Entomología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151-159.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version of this datasheet was prepared by A. Diaz-Montilla, Corporacíon Colombiana de Investigacíon Agropecuaria, Corpoica C.I La Selva (CO). It was based on the work of the Expert Working Group on </w:t>
      </w: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(A Diaz-Montilla, CO; A Macleod, Fera, GB; R Potting, Plant Protection Service, NL; E Ucciero, Plant Protection Service, IT; M Suffert, EPPO and F Grousset, EPPO). This revision was prepared in 2020 by the EPPO Secretariat, with recent literature.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EPPO datasheets on pests recommended for regulation. Available online. </w:t>
      </w:r>
      <w:hyperlink r:id="rId9004694bd512ab4f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2015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(2015)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9-13. </w:t>
      </w:r>
      <w:hyperlink r:id="rId1606694bd512ab5bd" w:history="1">
        <w:r>
          <w:rPr>
            <w:rFonts w:ascii="Calibri" w:hAnsi="Calibri" w:eastAsia="Calibri" w:cs="Calibri"/>
            <w:color w:val="0000CC"/>
            <w:sz w:val="22"/>
            <w:szCs w:val="22"/>
            <w:u w:val="single"/>
          </w:rPr>
          <w:t xml:space="preserve">https://doi.org/10.1111/epp.12189</w:t>
        </w:r>
      </w:hyperlink>
      <w:r>
        <w:rPr>
          <w:rFonts w:ascii="Calibri" w:hAnsi="Calibri" w:eastAsia="Calibri" w:cs="Calibri"/>
          <w:color w:val="000000"/>
          <w:sz w:val="22"/>
          <w:szCs w:val="22"/>
        </w:rPr>
        <w:t xml:space="preserve"> </w:t>
      </w:r>
    </w:p>
    <w:p>
      <w:r>
        <w:drawing>
          <wp:inline distT="0" distB="0" distL="0" distR="0">
            <wp:extent cx="1800000" cy="604800"/>
            <wp:docPr id="78948731" name="name2987694bd512ab8b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290694bd512ab8b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779430">
    <w:multiLevelType w:val="hybridMultilevel"/>
    <w:lvl w:ilvl="0" w:tplc="45681322">
      <w:start w:val="1"/>
      <w:numFmt w:val="decimal"/>
      <w:lvlText w:val="%1."/>
      <w:lvlJc w:val="left"/>
      <w:pPr>
        <w:ind w:left="720" w:hanging="360"/>
      </w:pPr>
    </w:lvl>
    <w:lvl w:ilvl="1" w:tplc="45681322" w:tentative="1">
      <w:start w:val="1"/>
      <w:numFmt w:val="lowerLetter"/>
      <w:lvlText w:val="%2."/>
      <w:lvlJc w:val="left"/>
      <w:pPr>
        <w:ind w:left="1440" w:hanging="360"/>
      </w:pPr>
    </w:lvl>
    <w:lvl w:ilvl="2" w:tplc="45681322" w:tentative="1">
      <w:start w:val="1"/>
      <w:numFmt w:val="lowerRoman"/>
      <w:lvlText w:val="%3."/>
      <w:lvlJc w:val="right"/>
      <w:pPr>
        <w:ind w:left="2160" w:hanging="180"/>
      </w:pPr>
    </w:lvl>
    <w:lvl w:ilvl="3" w:tplc="45681322" w:tentative="1">
      <w:start w:val="1"/>
      <w:numFmt w:val="decimal"/>
      <w:lvlText w:val="%4."/>
      <w:lvlJc w:val="left"/>
      <w:pPr>
        <w:ind w:left="2880" w:hanging="360"/>
      </w:pPr>
    </w:lvl>
    <w:lvl w:ilvl="4" w:tplc="45681322" w:tentative="1">
      <w:start w:val="1"/>
      <w:numFmt w:val="lowerLetter"/>
      <w:lvlText w:val="%5."/>
      <w:lvlJc w:val="left"/>
      <w:pPr>
        <w:ind w:left="3600" w:hanging="360"/>
      </w:pPr>
    </w:lvl>
    <w:lvl w:ilvl="5" w:tplc="45681322" w:tentative="1">
      <w:start w:val="1"/>
      <w:numFmt w:val="lowerRoman"/>
      <w:lvlText w:val="%6."/>
      <w:lvlJc w:val="right"/>
      <w:pPr>
        <w:ind w:left="4320" w:hanging="180"/>
      </w:pPr>
    </w:lvl>
    <w:lvl w:ilvl="6" w:tplc="45681322" w:tentative="1">
      <w:start w:val="1"/>
      <w:numFmt w:val="decimal"/>
      <w:lvlText w:val="%7."/>
      <w:lvlJc w:val="left"/>
      <w:pPr>
        <w:ind w:left="5040" w:hanging="360"/>
      </w:pPr>
    </w:lvl>
    <w:lvl w:ilvl="7" w:tplc="45681322" w:tentative="1">
      <w:start w:val="1"/>
      <w:numFmt w:val="lowerLetter"/>
      <w:lvlText w:val="%8."/>
      <w:lvlJc w:val="left"/>
      <w:pPr>
        <w:ind w:left="5760" w:hanging="360"/>
      </w:pPr>
    </w:lvl>
    <w:lvl w:ilvl="8" w:tplc="45681322" w:tentative="1">
      <w:start w:val="1"/>
      <w:numFmt w:val="lowerRoman"/>
      <w:lvlText w:val="%9."/>
      <w:lvlJc w:val="right"/>
      <w:pPr>
        <w:ind w:left="6480" w:hanging="180"/>
      </w:pPr>
    </w:lvl>
  </w:abstractNum>
  <w:abstractNum w:abstractNumId="99779429">
    <w:multiLevelType w:val="hybridMultilevel"/>
    <w:lvl w:ilvl="0" w:tplc="564279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779429">
    <w:abstractNumId w:val="99779429"/>
  </w:num>
  <w:num w:numId="99779430">
    <w:abstractNumId w:val="9977943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2852531" Type="http://schemas.microsoft.com/office/2011/relationships/commentsExtended" Target="commentsExtended.xml"/><Relationship Id="rId571076750" Type="http://schemas.microsoft.com/office/2011/relationships/people" Target="people.xml"/><Relationship Id="rId4686694bd512a72fd" Type="http://schemas.openxmlformats.org/officeDocument/2006/relationships/hyperlink" Target="https://gd.eppo.int/taxon/NEOLEL/" TargetMode="External"/><Relationship Id="rId5638694bd512a7364" Type="http://schemas.openxmlformats.org/officeDocument/2006/relationships/hyperlink" Target="https://gd.eppo.int/taxon/NEOLEL/categorization" TargetMode="External"/><Relationship Id="rId8196694bd512a7ba5" Type="http://schemas.openxmlformats.org/officeDocument/2006/relationships/hyperlink" Target="https://gd.eppo.int/taxon/NEOLEL/photos" TargetMode="External"/><Relationship Id="rId7619694bd512aab2c" Type="http://schemas.openxmlformats.org/officeDocument/2006/relationships/hyperlink" Target="https://pra.eppo.int/pra/1078c88d-bf07-486f-841c-7faa74b93c58" TargetMode="External"/><Relationship Id="rId9004694bd512ab4f4" Type="http://schemas.openxmlformats.org/officeDocument/2006/relationships/hyperlink" Target="https://gd.eppo.int" TargetMode="External"/><Relationship Id="rId1606694bd512ab5bd" Type="http://schemas.openxmlformats.org/officeDocument/2006/relationships/hyperlink" Target="https://doi.org/10.1111/epp.12189" TargetMode="External"/><Relationship Id="rId2183694bd512a7ad6" Type="http://schemas.openxmlformats.org/officeDocument/2006/relationships/image" Target="media/imgrId2183694bd512a7ad6.jpg"/><Relationship Id="rId3520694bd512a8d52" Type="http://schemas.openxmlformats.org/officeDocument/2006/relationships/image" Target="media/imgrId3520694bd512a8d52.jpg"/><Relationship Id="rId8290694bd512ab8b5" Type="http://schemas.openxmlformats.org/officeDocument/2006/relationships/image" Target="media/imgrId8290694bd512ab8b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