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Naupactus xanthographus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2022-08-30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Naupactus xanthographus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(Germar)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Entiminae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Leptocerus xanthographus</w:t>
            </w:r>
            <w:r>
              <w:rPr>
                <w:rFonts w:ascii="Calibri" w:hAnsi="Calibri" w:eastAsia="Calibri" w:cs="Calibri"/>
                <w:color w:val="000000"/>
                <w:position w:val="-3"/>
                <w:sz w:val="22"/>
                <w:szCs w:val="22"/>
              </w:rPr>
              <w:t xml:space="preserve"> Germar, </w:t>
            </w:r>
            <w:r>
              <w:rPr>
                <w:rFonts w:ascii="Calibri" w:hAnsi="Calibri" w:eastAsia="Calibri" w:cs="Calibri"/>
                <w:i/>
                <w:iCs/>
                <w:color w:val="000000"/>
                <w:position w:val="-3"/>
                <w:sz w:val="22"/>
                <w:szCs w:val="22"/>
              </w:rPr>
              <w:t xml:space="preserve">Pantomorus xanthographus</w:t>
            </w:r>
            <w:r>
              <w:rPr>
                <w:rFonts w:ascii="Calibri" w:hAnsi="Calibri" w:eastAsia="Calibri" w:cs="Calibri"/>
                <w:color w:val="000000"/>
                <w:position w:val="-3"/>
                <w:sz w:val="22"/>
                <w:szCs w:val="22"/>
              </w:rPr>
              <w:t xml:space="preserve"> Durán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South American fruit tree weevil, grapevine weevil</w:t>
            </w:r>
            <w:hyperlink r:id="rId19566638d098ab60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 Alert list (formerly)</w:t>
            </w:r>
            <w:hyperlink r:id="rId46836638d098ab64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NAUPXA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5172931" name="name97676638d098abe18" descr="10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61.jpg"/>
                          <pic:cNvPicPr/>
                        </pic:nvPicPr>
                        <pic:blipFill>
                          <a:blip r:embed="rId95306638d098abe16" cstate="print"/>
                          <a:stretch>
                            <a:fillRect/>
                          </a:stretch>
                        </pic:blipFill>
                        <pic:spPr>
                          <a:xfrm>
                            <a:off x="0" y="0"/>
                            <a:ext cx="2160000" cy="1281600"/>
                          </a:xfrm>
                          <a:prstGeom prst="rect">
                            <a:avLst/>
                          </a:prstGeom>
                          <a:ln w="0">
                            <a:noFill/>
                          </a:ln>
                        </pic:spPr>
                      </pic:pic>
                    </a:graphicData>
                  </a:graphic>
                </wp:inline>
              </w:drawing>
            </w:r>
            <w:hyperlink r:id="rId46086638d098abf0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r>
        <w:rPr>
          <w:rFonts w:ascii="Calibri" w:hAnsi="Calibri" w:eastAsia="Calibri" w:cs="Calibri"/>
          <w:i/>
          <w:iCs/>
          <w:color w:val="000000"/>
          <w:sz w:val="22"/>
          <w:szCs w:val="22"/>
        </w:rPr>
        <w:t xml:space="preserve">Naupactus </w:t>
      </w:r>
      <w:r>
        <w:rPr>
          <w:rFonts w:ascii="Calibri" w:hAnsi="Calibri" w:eastAsia="Calibri" w:cs="Calibri"/>
          <w:color w:val="000000"/>
          <w:sz w:val="22"/>
          <w:szCs w:val="22"/>
        </w:rPr>
        <w:t xml:space="preserve">(Dejean 1821) is a neotropical genus of broad-nosed weevils containing approximately 200 species distributed from Southern Mexico to Argentina (del Río &amp; Lanteri, 2019). </w:t>
      </w:r>
      <w:r>
        <w:rPr>
          <w:rFonts w:ascii="Calibri" w:hAnsi="Calibri" w:eastAsia="Calibri" w:cs="Calibri"/>
          <w:i/>
          <w:iCs/>
          <w:color w:val="000000"/>
          <w:sz w:val="22"/>
          <w:szCs w:val="22"/>
        </w:rPr>
        <w:t xml:space="preserve">Naupactus xanthographus</w:t>
      </w:r>
      <w:r>
        <w:rPr>
          <w:rFonts w:ascii="Calibri" w:hAnsi="Calibri" w:eastAsia="Calibri" w:cs="Calibri"/>
          <w:color w:val="000000"/>
          <w:sz w:val="22"/>
          <w:szCs w:val="22"/>
        </w:rPr>
        <w:t xml:space="preserve"> was first described by Germar in 1824, who previously classified the species as </w:t>
      </w:r>
      <w:r>
        <w:rPr>
          <w:rFonts w:ascii="Calibri" w:hAnsi="Calibri" w:eastAsia="Calibri" w:cs="Calibri"/>
          <w:i/>
          <w:iCs/>
          <w:color w:val="000000"/>
          <w:sz w:val="22"/>
          <w:szCs w:val="22"/>
        </w:rPr>
        <w:t xml:space="preserve">Leptocerus xanthographus</w:t>
      </w:r>
      <w:r>
        <w:rPr>
          <w:rFonts w:ascii="Calibri" w:hAnsi="Calibri" w:eastAsia="Calibri" w:cs="Calibri"/>
          <w:color w:val="000000"/>
          <w:sz w:val="22"/>
          <w:szCs w:val="22"/>
        </w:rPr>
        <w:t xml:space="preserve"> (Elgueta &amp; Marvaldi,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0" w:after="0" w:line="240" w:lineRule="auto"/>
        <w:ind w:left="0" w:right="0"/>
        <w:jc w:val="both"/>
      </w:pPr>
      <w:r>
        <w:rPr>
          <w:rFonts w:ascii="Calibri" w:hAnsi="Calibri" w:eastAsia="Calibri" w:cs="Calibri"/>
          <w:i/>
          <w:iCs/>
          <w:color w:val="000000"/>
          <w:sz w:val="22"/>
          <w:szCs w:val="22"/>
        </w:rPr>
        <w:t xml:space="preserve">Naupactus xanthographus</w:t>
      </w:r>
      <w:r>
        <w:rPr>
          <w:rFonts w:ascii="Calibri" w:hAnsi="Calibri" w:eastAsia="Calibri" w:cs="Calibri"/>
          <w:color w:val="000000"/>
          <w:sz w:val="22"/>
          <w:szCs w:val="22"/>
        </w:rPr>
        <w:t xml:space="preserve"> has been recorded on many woody plants, but also on some herbaceous hosts, in-cluding field crops such as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and weeds. Many cultivated woody fruit trees and bushes are hosts, including several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species. In South America, </w:t>
      </w:r>
      <w:r>
        <w:rPr>
          <w:rFonts w:ascii="Calibri" w:hAnsi="Calibri" w:eastAsia="Calibri" w:cs="Calibri"/>
          <w:i/>
          <w:iCs/>
          <w:color w:val="000000"/>
          <w:sz w:val="22"/>
          <w:szCs w:val="22"/>
        </w:rPr>
        <w:t xml:space="preserve">Vitis vinifera </w:t>
      </w:r>
      <w:r>
        <w:rPr>
          <w:rFonts w:ascii="Calibri" w:hAnsi="Calibri" w:eastAsia="Calibri" w:cs="Calibri"/>
          <w:color w:val="000000"/>
          <w:sz w:val="22"/>
          <w:szCs w:val="22"/>
        </w:rPr>
        <w:t xml:space="preserve">is one of its preferred host plants (Lanteri &amp; del Río, 2017). In its native range in South America, </w:t>
      </w:r>
      <w:r>
        <w:rPr>
          <w:rFonts w:ascii="Calibri" w:hAnsi="Calibri" w:eastAsia="Calibri" w:cs="Calibri"/>
          <w:i/>
          <w:iCs/>
          <w:color w:val="000000"/>
          <w:sz w:val="22"/>
          <w:szCs w:val="22"/>
        </w:rPr>
        <w:t xml:space="preserve">N. xanthographus </w:t>
      </w:r>
      <w:r>
        <w:rPr>
          <w:rFonts w:ascii="Calibri" w:hAnsi="Calibri" w:eastAsia="Calibri" w:cs="Calibri"/>
          <w:color w:val="000000"/>
          <w:sz w:val="22"/>
          <w:szCs w:val="22"/>
        </w:rPr>
        <w:t xml:space="preserve">has moved onto many new host plants, including recent commercial crops, exotic to that continent, such as blueberries. It is noted that all </w:t>
      </w:r>
      <w:r>
        <w:rPr>
          <w:rFonts w:ascii="Calibri" w:hAnsi="Calibri" w:eastAsia="Calibri" w:cs="Calibri"/>
          <w:i/>
          <w:iCs/>
          <w:color w:val="000000"/>
          <w:sz w:val="22"/>
          <w:szCs w:val="22"/>
        </w:rPr>
        <w:t xml:space="preserve">Naupactus </w:t>
      </w:r>
      <w:r>
        <w:rPr>
          <w:rFonts w:ascii="Calibri" w:hAnsi="Calibri" w:eastAsia="Calibri" w:cs="Calibri"/>
          <w:color w:val="000000"/>
          <w:sz w:val="22"/>
          <w:szCs w:val="22"/>
        </w:rPr>
        <w:t xml:space="preserve">species are polyphagous, but that they show host preferences.</w:t>
      </w: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deflexus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cherimola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napus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Conium maculatum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crista-galli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paraguariensis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Mespilus germanica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Polygonum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 var. nucipersica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pulcher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babylonica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viminalis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halepense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0" w:after="0" w:line="240" w:lineRule="auto"/>
        <w:ind w:left="0" w:right="0"/>
        <w:jc w:val="both"/>
      </w:pPr>
      <w:r>
        <w:rPr>
          <w:rFonts w:ascii="Calibri" w:hAnsi="Calibri" w:eastAsia="Calibri" w:cs="Calibri"/>
          <w:i/>
          <w:iCs/>
          <w:color w:val="000000"/>
          <w:sz w:val="22"/>
          <w:szCs w:val="22"/>
        </w:rPr>
        <w:t xml:space="preserve">Naupactus xanthographus</w:t>
      </w:r>
      <w:r>
        <w:rPr>
          <w:rFonts w:ascii="Calibri" w:hAnsi="Calibri" w:eastAsia="Calibri" w:cs="Calibri"/>
          <w:color w:val="000000"/>
          <w:sz w:val="22"/>
          <w:szCs w:val="22"/>
        </w:rPr>
        <w:t xml:space="preserve"> is native to South America, East of the Andes. The native range includes Southern Brazil, Paraguay, Uruguay and Central-Northeastern Argentina. The species is non-native to Chile, where it was first introduced in the 1920s–1930s (Gonzalez, 1983). It has also been introduced to the Juan Fernandez Islands and Easter Island (Guzmán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Lanteri &amp; del Río, 2017). The species is not known to be established anywhere outside of South America.</w:t>
      </w:r>
      <w:r>
        <w:drawing>
          <wp:inline distT="0" distB="0" distL="0" distR="0">
            <wp:extent cx="6120000" cy="3067200"/>
            <wp:docPr id="34823102" name="name42686638d098ad6b8" descr="NAUPX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UPXA_distribution_map.jpg"/>
                    <pic:cNvPicPr/>
                  </pic:nvPicPr>
                  <pic:blipFill>
                    <a:blip r:embed="rId45496638d098ad6b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(Rio Grande do Sul, Santa Catarina), Chile (Easter Island), Paraguay, Uruguay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Naupactus xanthographus</w:t>
      </w:r>
      <w:r>
        <w:rPr>
          <w:rFonts w:ascii="Calibri" w:hAnsi="Calibri" w:eastAsia="Calibri" w:cs="Calibri"/>
          <w:color w:val="000000"/>
          <w:sz w:val="22"/>
          <w:szCs w:val="22"/>
        </w:rPr>
        <w:t xml:space="preserve"> reproduces sexually and the female lay eggs in clusters in the upper parts of the plants (normally in protected areas such as crevices, e.g. within cracks of bark) (Luppichini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 female can lay between 200 and 600 eggs during her lifetime (R. Ripa, pers. comm. 2019). On grapevine, eggs are usually laid on the upper part of the trunk or on  branches in plant parts protected from the sun. Eggs may incidentally be laid in dried rolled leaves, although this has only been observed on citrus leaves (R. Ripa, pers. comm. 2019) or where  leaves have been rolled by mechanical damage or other pests (e.g. tortricids in tender leaves in peaches) (Ripa, 1992).</w:t>
      </w:r>
    </w:p>
    <w:p>
      <w:pPr>
        <w:widowControl w:val="on"/>
        <w:pBdr/>
        <w:spacing w:before="220" w:after="220" w:line="240" w:lineRule="auto"/>
        <w:ind w:left="0" w:right="0"/>
        <w:jc w:val="both"/>
      </w:pPr>
      <w:r>
        <w:rPr>
          <w:rFonts w:ascii="Calibri" w:hAnsi="Calibri" w:eastAsia="Calibri" w:cs="Calibri"/>
          <w:color w:val="000000"/>
          <w:sz w:val="22"/>
          <w:szCs w:val="22"/>
        </w:rPr>
        <w:t xml:space="preserve">In Chile, eggs are laid in summer and autumn (January to the end of March or the beginning of April) (González, 1989). Egg development time varies depending on the ambient temperatures. In the field, egg development probably takes at least 30 days in the summer (A. Lanteri, pers. comm. 2019). Newly hatched larvae fall to the ground, enter the soil and start to feed on the rootlets of the host plants. The larvae generally live in the soil at depths of 20–60 cm, and rarely below that, although they have been recorded up to 120 cm in certain soil textures (Ripa, 1992; R. Ripa, pers. comm. 2019). The development of the larval stage takes on average 9 months, with five instars in total (R. Ripa, pers. comm. 2019). According to Ripa (1992), in Chile, there are larvae in the soil throughout the year.</w:t>
      </w:r>
    </w:p>
    <w:p>
      <w:pPr>
        <w:widowControl w:val="on"/>
        <w:pBdr/>
        <w:spacing w:before="220" w:after="220" w:line="240" w:lineRule="auto"/>
        <w:ind w:left="0" w:right="0"/>
        <w:jc w:val="both"/>
      </w:pPr>
      <w:r>
        <w:rPr>
          <w:rFonts w:ascii="Calibri" w:hAnsi="Calibri" w:eastAsia="Calibri" w:cs="Calibri"/>
          <w:color w:val="000000"/>
          <w:sz w:val="22"/>
          <w:szCs w:val="22"/>
        </w:rPr>
        <w:t xml:space="preserve">Pupation occurs in the soil in a pupal cell which is lined with body secretions. The development of the pupal cell and pupation occur at depths of 20–30 cm below the surface (R. Ripa, pers. comm. 2019; Vicchi, 2014). The pupal stage requires about 30 days before the adult starts to emerge. On emergence, the adult requires at least 30 days in the soil to mature and harden the exoskeleton before it can bore an exit gallery to the surface of the soil (R. Ripa, pers. comm.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is generally univoltine (i.e. has one generation per year), although the life cycle may be prolonged according to climatic conditions. In the literature, the life cycle is reported to take between 12 and 16 months (Luppichini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Lanteri &amp; del Río, 2017 citing González, 1983 and Ripa, 1986; Ripa, 1992). However, in dry areas and during very dry summers, the larval development is longer and will continue until the next spring or summer. In this case the life cycle lasts 16–18 months (A. Lanteri, pers. comm. 2019). Some life stages (larvae, pupae, adults) are present in the soil throughout the year.</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two main peaks of adult emergence: the first is in late spring (starting in September) and the second in early summer (starting in December); a third may occur in late summer to early autumn (March to April in Chile, Valparaiso region; Ripa, 1986). According to Caballero (1972), adults can live for 8 months in laboratory conditions. However, other observations under laboratory conditions have observed a maximum survival of 4 months for adults (A. Lanteri, pers. comm. 2019). Adults feed on the aerial parts of host plants (predominantly leaves but also flower buds and leaf buds). Although feeding on fruit has been mentioned in the literature, it is considered highly unlikely because the mouthparts of the adults are not suited to this (EPPO, 2020). Following mating, females can oviposit 30–35 days after emergence from the soil.</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generally seen above ground when temperatures are between 15 and 40°C, but they are more frequent over 25°C. At low temperatures (5–10°C) adults become very slow. Below 1–2°C, they are completely immobile. There are no data on survival below 0°C but it is expected that they may survive for short periods (24–48 h) at temperatures below 0°C (R. Ripa, pers. comm. 2019). Adults stop emerging from the soil in the autumn months, when the temperatures in the soil fall below 13.5°C (in Chile around the month of May until September to October) (Ripa, 1992).</w:t>
      </w:r>
    </w:p>
    <w:p>
      <w:pPr>
        <w:widowControl w:val="on"/>
        <w:pBdr/>
        <w:spacing w:before="220" w:after="220" w:line="240" w:lineRule="auto"/>
        <w:ind w:left="0" w:right="0"/>
        <w:jc w:val="both"/>
      </w:pPr>
      <w:r>
        <w:rPr>
          <w:rFonts w:ascii="Calibri" w:hAnsi="Calibri" w:eastAsia="Calibri" w:cs="Calibri"/>
          <w:color w:val="000000"/>
          <w:sz w:val="22"/>
          <w:szCs w:val="22"/>
        </w:rPr>
        <w:t xml:space="preserve">Humidity is very important for survival of eggs and larvae, and is essential for the emergence of adults (they usually emerge after rain or irrigation). In South America, the distribution of </w:t>
      </w:r>
      <w:r>
        <w:rPr>
          <w:rFonts w:ascii="Calibri" w:hAnsi="Calibri" w:eastAsia="Calibri" w:cs="Calibri"/>
          <w:i/>
          <w:iCs/>
          <w:color w:val="000000"/>
          <w:sz w:val="22"/>
          <w:szCs w:val="22"/>
        </w:rPr>
        <w:t xml:space="preserve">N. xanthographus</w:t>
      </w:r>
      <w:r>
        <w:rPr>
          <w:rFonts w:ascii="Calibri" w:hAnsi="Calibri" w:eastAsia="Calibri" w:cs="Calibri"/>
          <w:color w:val="000000"/>
          <w:sz w:val="22"/>
          <w:szCs w:val="22"/>
        </w:rPr>
        <w:t xml:space="preserve"> is limited by minimum and maximum precipitation levels (1000–2000 mm maximum annual precipitation), except when crops are irrigated. Artificial irrigation is essential for the survival of </w:t>
      </w:r>
      <w:r>
        <w:rPr>
          <w:rFonts w:ascii="Calibri" w:hAnsi="Calibri" w:eastAsia="Calibri" w:cs="Calibri"/>
          <w:i/>
          <w:iCs/>
          <w:color w:val="000000"/>
          <w:sz w:val="22"/>
          <w:szCs w:val="22"/>
        </w:rPr>
        <w:t xml:space="preserve">N. xanthographus</w:t>
      </w:r>
      <w:r>
        <w:rPr>
          <w:rFonts w:ascii="Calibri" w:hAnsi="Calibri" w:eastAsia="Calibri" w:cs="Calibri"/>
          <w:color w:val="000000"/>
          <w:sz w:val="22"/>
          <w:szCs w:val="22"/>
        </w:rPr>
        <w:t xml:space="preserve"> in Mendoza province (Argentina) and the central area of Chile, where the environment is very dry (A. Lanteri, pers. comm.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Signs and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Above-ground foliage can show feeding damage where the adults feed from the margins of the leaves and create semicircular indentations. On grapevine, the most obvious damage is caused by adults that feed on leaves as well as buds when no leaves are available and produce ‘notching’ on the leaf margins (González, 1989; Ripa, 1992). Infestation may cause a decrease in size of shoots, leaves or bunches of grapes, as well as signs similar to potassium deficiency (R. Ripa, pers. comm. 2019).</w:t>
      </w:r>
    </w:p>
    <w:p>
      <w:pPr>
        <w:widowControl w:val="on"/>
        <w:pBdr/>
        <w:spacing w:before="220" w:after="220" w:line="240" w:lineRule="auto"/>
        <w:ind w:left="0" w:right="0"/>
        <w:jc w:val="both"/>
      </w:pPr>
      <w:r>
        <w:rPr>
          <w:rFonts w:ascii="Calibri" w:hAnsi="Calibri" w:eastAsia="Calibri" w:cs="Calibri"/>
          <w:color w:val="000000"/>
          <w:sz w:val="22"/>
          <w:szCs w:val="22"/>
        </w:rPr>
        <w:t xml:space="preserve">Feeding damage (grooves) caused by larvae may be visible on the thicker roots along with an absence of small roots if the host plant is uprooted. Feeding on the roots may also cause symptoms above ground, i.e. reduced foliage and growth. Plants appear weak and show chlorosis because of the reduced water and nutrient uptake and potassium deficiency. Severe larval damage on the roots produces wilting of the foliage and may kill the plants (González, 1989; Ripa, 1992).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0" w:after="0" w:line="240" w:lineRule="auto"/>
        <w:ind w:left="0" w:right="0"/>
        <w:jc w:val="both"/>
      </w:pPr>
      <w:r>
        <w:rPr>
          <w:rFonts w:ascii="Calibri" w:hAnsi="Calibri" w:eastAsia="Calibri" w:cs="Calibri"/>
          <w:b/>
          <w:b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oval (ellipsoidal and bluntly rounded at the ends) and yellow, and between 1 and 1.2 mm in length (Luppichini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Eggs are often arranged in clusters of 25–45 eggs in which they adhere to each other with a residue (sticky at egg laying).</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are legless, white in colour with brown head capsule and mandibles. First-instar larvae measure approximately 1.5 mm and mature larvae can reach up to 20 mm. The last abdominal segment has four thin dark bands. Morphological identification of larvae is difficult and therefore larvae should be reared to adults to allow identification.</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Pupae</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creamy white (or slightly yellowish), changing to brown before eclosion, and are 11–22 mm in length (Loiácono &amp; Diaz, 1992, citing others), although 22 mm could be an outlier and a more normal maximum would be 15 mm (R. Ripa, pers. comm. 2019).</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brown or grey-brown with white or white/yellow stripes on pronotum and elytra. They can be dark brown when they age. Adults show a high level of sexual dimorphism. The body length of females is 12–16 mm and that of males is smaller, 11–13 mm. Female rostrum is 1–1.5x as long as wide at the apex. Males are more slender than females with their rostrum being 1.25x as long as wide. Morphological characters of </w:t>
      </w:r>
      <w:r>
        <w:rPr>
          <w:rFonts w:ascii="Calibri" w:hAnsi="Calibri" w:eastAsia="Calibri" w:cs="Calibri"/>
          <w:i/>
          <w:iCs/>
          <w:color w:val="000000"/>
          <w:sz w:val="22"/>
          <w:szCs w:val="22"/>
        </w:rPr>
        <w:t xml:space="preserve">N. xanthographus</w:t>
      </w:r>
      <w:r>
        <w:rPr>
          <w:rFonts w:ascii="Calibri" w:hAnsi="Calibri" w:eastAsia="Calibri" w:cs="Calibri"/>
          <w:color w:val="000000"/>
          <w:sz w:val="22"/>
          <w:szCs w:val="22"/>
        </w:rPr>
        <w:t xml:space="preserve"> adults are given in several publications, with the most recent being Lanteri and del Río (2017). Morphologically, adults of </w:t>
      </w:r>
      <w:r>
        <w:rPr>
          <w:rFonts w:ascii="Calibri" w:hAnsi="Calibri" w:eastAsia="Calibri" w:cs="Calibri"/>
          <w:i/>
          <w:iCs/>
          <w:color w:val="000000"/>
          <w:sz w:val="22"/>
          <w:szCs w:val="22"/>
        </w:rPr>
        <w:t xml:space="preserve">N. xanthographus</w:t>
      </w:r>
      <w:r>
        <w:rPr>
          <w:rFonts w:ascii="Calibri" w:hAnsi="Calibri" w:eastAsia="Calibri" w:cs="Calibri"/>
          <w:color w:val="000000"/>
          <w:sz w:val="22"/>
          <w:szCs w:val="22"/>
        </w:rPr>
        <w:t xml:space="preserve"> can be confused with other species of the same genus, such as </w:t>
      </w:r>
      <w:r>
        <w:rPr>
          <w:rFonts w:ascii="Calibri" w:hAnsi="Calibri" w:eastAsia="Calibri" w:cs="Calibri"/>
          <w:i/>
          <w:iCs/>
          <w:color w:val="000000"/>
          <w:sz w:val="22"/>
          <w:szCs w:val="22"/>
        </w:rPr>
        <w:t xml:space="preserve">N. dissimilis, N. mimicus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N. navicularis</w:t>
      </w:r>
      <w:r>
        <w:rPr>
          <w:rFonts w:ascii="Calibri" w:hAnsi="Calibri" w:eastAsia="Calibri" w:cs="Calibri"/>
          <w:color w:val="000000"/>
          <w:sz w:val="22"/>
          <w:szCs w:val="22"/>
        </w:rPr>
        <w:t xml:space="preserve"> (Lanteri &amp; del Río, 2017), but can be distinguished from </w:t>
      </w:r>
      <w:r>
        <w:rPr>
          <w:rFonts w:ascii="Calibri" w:hAnsi="Calibri" w:eastAsia="Calibri" w:cs="Calibri"/>
          <w:i/>
          <w:iCs/>
          <w:color w:val="000000"/>
          <w:sz w:val="22"/>
          <w:szCs w:val="22"/>
        </w:rPr>
        <w:t xml:space="preserve">N. leucoloma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N. cervinus.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Feeding damage by larvae on roots may be detected if the host plant is uprooted, and there may also be above-ground symptoms (see Signs and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Feeding damage of adults on the aerial parts of the plants may also be visible. The feeding damage by adults can be mistaken for other weevil species, particularly broad-nosed weevils. On grapevine, adults are particularly injurious to young plants and sprouting of plants in spring. A low abundance of the species (all life stages) is difficult to detect.</w:t>
      </w:r>
    </w:p>
    <w:p>
      <w:pPr>
        <w:widowControl w:val="on"/>
        <w:pBdr/>
        <w:spacing w:before="220" w:after="220" w:line="240" w:lineRule="auto"/>
        <w:ind w:left="0" w:right="0"/>
        <w:jc w:val="both"/>
      </w:pPr>
      <w:r>
        <w:rPr>
          <w:rFonts w:ascii="Calibri" w:hAnsi="Calibri" w:eastAsia="Calibri" w:cs="Calibri"/>
          <w:color w:val="000000"/>
          <w:sz w:val="22"/>
          <w:szCs w:val="22"/>
        </w:rPr>
        <w:t xml:space="preserve">As an alternative to morphological identification of adults, molecular methods can be used and are detailed in a number of publications (e.g. del Río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There are over 160 accessions entered in the GenBank database (2019) and barcodes based on Cytochrome oxidase 1 (COI) are available (e.g. see </w:t>
      </w:r>
      <w:hyperlink r:id="rId90376638d098add3e" w:history="1">
        <w:r>
          <w:rPr>
            <w:rFonts w:ascii="Calibri" w:hAnsi="Calibri" w:eastAsia="Calibri" w:cs="Calibri"/>
            <w:color w:val="0000CC"/>
            <w:sz w:val="22"/>
            <w:szCs w:val="22"/>
            <w:u w:val="single"/>
          </w:rPr>
          <w:t xml:space="preserve">http://boldsystems.org</w:t>
        </w:r>
      </w:hyperlink>
      <w:r>
        <w:rPr>
          <w:rFonts w:ascii="Calibri" w:hAnsi="Calibri" w:eastAsia="Calibri" w:cs="Calibri"/>
          <w:color w:val="000000"/>
          <w:sz w:val="22"/>
          <w:szCs w:val="22"/>
        </w:rPr>
        <w:t xml:space="preserve"> and EPPO-Q-bank </w:t>
      </w:r>
      <w:hyperlink r:id="rId93036638d098add61" w:history="1">
        <w:r>
          <w:rPr>
            <w:rFonts w:ascii="Calibri" w:hAnsi="Calibri" w:eastAsia="Calibri" w:cs="Calibri"/>
            <w:color w:val="0000CC"/>
            <w:sz w:val="22"/>
            <w:szCs w:val="22"/>
            <w:u w:val="single"/>
          </w:rPr>
          <w:t xml:space="preserve">https://qbank.eppo.int</w:t>
        </w:r>
      </w:hyperlink>
      <w:r>
        <w:rPr>
          <w:rFonts w:ascii="Calibri" w:hAnsi="Calibri" w:eastAsia="Calibri" w:cs="Calibri"/>
          <w:color w:val="000000"/>
          <w:sz w:val="22"/>
          <w:szCs w:val="22"/>
        </w:rPr>
        <w:t xml:space="preserve">). A PCR method was developed to differentiate </w:t>
      </w:r>
      <w:r>
        <w:rPr>
          <w:rFonts w:ascii="Calibri" w:hAnsi="Calibri" w:eastAsia="Calibri" w:cs="Calibri"/>
          <w:i/>
          <w:iCs/>
          <w:color w:val="000000"/>
          <w:sz w:val="22"/>
          <w:szCs w:val="22"/>
        </w:rPr>
        <w:t xml:space="preserve">N. xanthographus </w:t>
      </w:r>
      <w:r>
        <w:rPr>
          <w:rFonts w:ascii="Calibri" w:hAnsi="Calibri" w:eastAsia="Calibri" w:cs="Calibri"/>
          <w:color w:val="000000"/>
          <w:sz w:val="22"/>
          <w:szCs w:val="22"/>
        </w:rPr>
        <w:t xml:space="preserve">from </w:t>
      </w:r>
      <w:r>
        <w:rPr>
          <w:rFonts w:ascii="Calibri" w:hAnsi="Calibri" w:eastAsia="Calibri" w:cs="Calibri"/>
          <w:i/>
          <w:iCs/>
          <w:color w:val="000000"/>
          <w:sz w:val="22"/>
          <w:szCs w:val="22"/>
        </w:rPr>
        <w:t xml:space="preserve">N. cervinus</w:t>
      </w:r>
      <w:r>
        <w:rPr>
          <w:rFonts w:ascii="Calibri" w:hAnsi="Calibri" w:eastAsia="Calibri" w:cs="Calibri"/>
          <w:color w:val="000000"/>
          <w:sz w:val="22"/>
          <w:szCs w:val="22"/>
        </w:rPr>
        <w:t xml:space="preserve"> (aiming at distinguishing eggs in traded commodities; Aguirre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see also Aguirre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This may be relevant for detection of introductions in the EPPO region because </w:t>
      </w:r>
      <w:r>
        <w:rPr>
          <w:rFonts w:ascii="Calibri" w:hAnsi="Calibri" w:eastAsia="Calibri" w:cs="Calibri"/>
          <w:i/>
          <w:iCs/>
          <w:color w:val="000000"/>
          <w:sz w:val="22"/>
          <w:szCs w:val="22"/>
        </w:rPr>
        <w:t xml:space="preserve">N. cervinus</w:t>
      </w:r>
      <w:r>
        <w:rPr>
          <w:rFonts w:ascii="Calibri" w:hAnsi="Calibri" w:eastAsia="Calibri" w:cs="Calibri"/>
          <w:color w:val="000000"/>
          <w:sz w:val="22"/>
          <w:szCs w:val="22"/>
        </w:rPr>
        <w:t xml:space="preserve"> has already been introduced in a number of countries (e.g. Switzerland) and is spreading (Germann,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Infested fruit, especially grapes, carrying adults in trade and the packaging material associated with infested fruit, is a major pathway for </w:t>
      </w:r>
      <w:r>
        <w:rPr>
          <w:rFonts w:ascii="Calibri" w:hAnsi="Calibri" w:eastAsia="Calibri" w:cs="Calibri"/>
          <w:i/>
          <w:iCs/>
          <w:color w:val="000000"/>
          <w:sz w:val="22"/>
          <w:szCs w:val="22"/>
        </w:rPr>
        <w:t xml:space="preserve">N. xanthographus</w:t>
      </w:r>
      <w:r>
        <w:rPr>
          <w:rFonts w:ascii="Calibri" w:hAnsi="Calibri" w:eastAsia="Calibri" w:cs="Calibri"/>
          <w:color w:val="000000"/>
          <w:sz w:val="22"/>
          <w:szCs w:val="22"/>
        </w:rPr>
        <w:t xml:space="preserve">. This weevil has been reported as travelling on fruit (e.g. CABI, 2006; USDA, 2015; USDA, 2008 citing AQAS, 2007; USDA, 2007; Biosecurity Australia, 2005), with numerous interceptions, for example on grapes and apples (for exhaustive information, see EPPO, 2020). Traded host fruit are imported for consumption or processing, and transfer to a host is generally unlikely because the pest will be destroyed during processing or damaged fruit will be identified and discarded by processors, retailers or the final consumer in enclosed conditions. However, the pest may be able to transfer to a suitable host where fruit waste from processing or damaged fruit from repacking is discarded in large quantities in the open, close to orchards. This may happen where imported fruit is stored or repacked close to production facilities.</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PRA assessed the likelihood of entry in the EPPO region on host plants for planting as high, if these plants have growing media attached. Larvae and pupae can be present in the growing medium and the presence of root material can allow for larval feeding. Bare-rooted host plants for planting were considered to be a moderate risk as eggs may be present on the material and the presence of root material can provide food material for larvae, although because only early life stages may be present they are less likely to survive. For unrooted cuttings and rooted cuttings in small plugs, this was rated a very low risk of entry.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Naupactus xanthographus</w:t>
      </w:r>
      <w:r>
        <w:rPr>
          <w:rFonts w:ascii="Calibri" w:hAnsi="Calibri" w:eastAsia="Calibri" w:cs="Calibri"/>
          <w:color w:val="000000"/>
          <w:sz w:val="22"/>
          <w:szCs w:val="22"/>
        </w:rPr>
        <w:t xml:space="preserve"> may spread naturally but since the species is flightless, natural spread is expected to be slow. Additionally, </w:t>
      </w:r>
      <w:r>
        <w:rPr>
          <w:rFonts w:ascii="Calibri" w:hAnsi="Calibri" w:eastAsia="Calibri" w:cs="Calibri"/>
          <w:i/>
          <w:iCs/>
          <w:color w:val="000000"/>
          <w:sz w:val="22"/>
          <w:szCs w:val="22"/>
        </w:rPr>
        <w:t xml:space="preserve">N. xanthographus</w:t>
      </w:r>
      <w:r>
        <w:rPr>
          <w:rFonts w:ascii="Calibri" w:hAnsi="Calibri" w:eastAsia="Calibri" w:cs="Calibri"/>
          <w:color w:val="000000"/>
          <w:sz w:val="22"/>
          <w:szCs w:val="22"/>
        </w:rPr>
        <w:t xml:space="preserve"> normally climbs on a plant and moves within this plant. It may spread between plants with branch contact or structures connecting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 America, one of the most severely affected host plants is grapevine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with damage reported in Chile, Argentina (Mendoza) and Brazil (Rio Grande do Sul) (Caballero, 1972; Ripa, 1986; Klein &amp; Waterhouse, 2000; Lanteri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w:t>
      </w:r>
      <w:r>
        <w:rPr>
          <w:rFonts w:ascii="Calibri" w:hAnsi="Calibri" w:eastAsia="Calibri" w:cs="Calibri"/>
          <w:i/>
          <w:iCs/>
          <w:color w:val="000000"/>
          <w:sz w:val="22"/>
          <w:szCs w:val="22"/>
        </w:rPr>
        <w:t xml:space="preserve">N. xanthographus</w:t>
      </w:r>
      <w:r>
        <w:rPr>
          <w:rFonts w:ascii="Calibri" w:hAnsi="Calibri" w:eastAsia="Calibri" w:cs="Calibri"/>
          <w:color w:val="000000"/>
          <w:sz w:val="22"/>
          <w:szCs w:val="22"/>
        </w:rPr>
        <w:t xml:space="preserve"> is mentioned in the management recommendations or pest inventories of various fruit and field crops in Argentina and Chile (for details see EPPO,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Chile, where </w:t>
      </w:r>
      <w:r>
        <w:rPr>
          <w:rFonts w:ascii="Calibri" w:hAnsi="Calibri" w:eastAsia="Calibri" w:cs="Calibri"/>
          <w:i/>
          <w:iCs/>
          <w:color w:val="000000"/>
          <w:sz w:val="22"/>
          <w:szCs w:val="22"/>
        </w:rPr>
        <w:t xml:space="preserve">N. xanthographus</w:t>
      </w:r>
      <w:r>
        <w:rPr>
          <w:rFonts w:ascii="Calibri" w:hAnsi="Calibri" w:eastAsia="Calibri" w:cs="Calibri"/>
          <w:color w:val="000000"/>
          <w:sz w:val="22"/>
          <w:szCs w:val="22"/>
        </w:rPr>
        <w:t xml:space="preserve"> is an introduced species, it is regarded as one of the most important pests of grapevine (González, 1989; Ripa, 1992). Additionally, in Chile, attacks on peach and nectarine have also been reported. Caballero (1972) noted that mature peach trees attacked by an average of 100 larvae decline in their production or die after 4–5 years of attack. In Chile, there is no economic damage on Citrus, but Citrus crops support the pest and Citrus fruit have been a means of movement of the pest. In Chile, reductions in grape production of up to 30% have been reported, with damage reaching up to 60% in one region (Ripa, 1992).</w:t>
      </w:r>
    </w:p>
    <w:p>
      <w:pPr>
        <w:widowControl w:val="on"/>
        <w:pBdr/>
        <w:spacing w:before="220" w:after="220" w:line="240" w:lineRule="auto"/>
        <w:ind w:left="0" w:right="0"/>
        <w:jc w:val="both"/>
      </w:pPr>
      <w:r>
        <w:rPr>
          <w:rFonts w:ascii="Calibri" w:hAnsi="Calibri" w:eastAsia="Calibri" w:cs="Calibri"/>
          <w:color w:val="000000"/>
          <w:sz w:val="22"/>
          <w:szCs w:val="22"/>
        </w:rPr>
        <w:t xml:space="preserve">In Argentina and Uruguay (where it is native), </w:t>
      </w:r>
      <w:r>
        <w:rPr>
          <w:rFonts w:ascii="Calibri" w:hAnsi="Calibri" w:eastAsia="Calibri" w:cs="Calibri"/>
          <w:i/>
          <w:iCs/>
          <w:color w:val="000000"/>
          <w:sz w:val="22"/>
          <w:szCs w:val="22"/>
        </w:rPr>
        <w:t xml:space="preserve">N. xanthographus</w:t>
      </w:r>
      <w:r>
        <w:rPr>
          <w:rFonts w:ascii="Calibri" w:hAnsi="Calibri" w:eastAsia="Calibri" w:cs="Calibri"/>
          <w:color w:val="000000"/>
          <w:sz w:val="22"/>
          <w:szCs w:val="22"/>
        </w:rPr>
        <w:t xml:space="preserve"> is usually not very damaging. Some damage has been recorded on alfalfa and garden plants in Argentina, but to a lesser extent than in Chile (Lanteri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2002). In Argentina, it causes damage in combination with other weevil species (Lanteri, pers. comm.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Naupactus xanthographus</w:t>
      </w:r>
      <w:r>
        <w:rPr>
          <w:rFonts w:ascii="Calibri" w:hAnsi="Calibri" w:eastAsia="Calibri" w:cs="Calibri"/>
          <w:color w:val="000000"/>
          <w:sz w:val="22"/>
          <w:szCs w:val="22"/>
        </w:rPr>
        <w:t xml:space="preserve"> has caused export difficulties in countries where it occurs because of the quarantine requirements of importing countries. In Chile, the presence of adult </w:t>
      </w:r>
      <w:r>
        <w:rPr>
          <w:rFonts w:ascii="Calibri" w:hAnsi="Calibri" w:eastAsia="Calibri" w:cs="Calibri"/>
          <w:i/>
          <w:iCs/>
          <w:color w:val="000000"/>
          <w:sz w:val="22"/>
          <w:szCs w:val="22"/>
        </w:rPr>
        <w:t xml:space="preserve">N. xanthographus </w:t>
      </w:r>
      <w:r>
        <w:rPr>
          <w:rFonts w:ascii="Calibri" w:hAnsi="Calibri" w:eastAsia="Calibri" w:cs="Calibri"/>
          <w:color w:val="000000"/>
          <w:sz w:val="22"/>
          <w:szCs w:val="22"/>
        </w:rPr>
        <w:t xml:space="preserve">on table grapes for export has resulted in the rejection of the commodity: between 1981/82 and 1982/1983, 43.6% and 38.6% of checked lots were rejected for export, respectively (Ripa, 1992).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Physical barriers on host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As the species is flightless, establishment of a toxic barrier on the trunk of individual host can be an effective method of preventing adults reaching the foliage of the host plant. This method involves the placement of a plastic film smeared with an insecticide paste (INIA Pasta 82.4: contains 4% concentration of azinphos-methyl) that causes insect mortality when it walks on it (Ripa, 1992). The insecticide bands must be installed before the emergence of the adults from the soil.</w:t>
      </w:r>
    </w:p>
    <w:p>
      <w:pPr>
        <w:widowControl w:val="on"/>
        <w:pBdr/>
        <w:spacing w:before="220" w:after="220" w:line="240" w:lineRule="auto"/>
        <w:ind w:left="0" w:right="0"/>
        <w:jc w:val="both"/>
      </w:pPr>
      <w:r>
        <w:rPr>
          <w:rFonts w:ascii="Calibri" w:hAnsi="Calibri" w:eastAsia="Calibri" w:cs="Calibri"/>
          <w:color w:val="000000"/>
          <w:sz w:val="22"/>
          <w:szCs w:val="22"/>
        </w:rPr>
        <w:t xml:space="preserve">In organic production areas, azadirachtin was found to be as effective as chemical treatments (Pinto &amp; Zaviezo, 2003).</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Chemical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application (e.g. indoxacarb) on the foliage has been applied in Chile against adults. Effectiveness can be achieved for up to 30 days or more (R. Ripa, pers. comm. 2019).</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Cultural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Polyethylene sheets can be placed under the host plants and the trunks can be tapped (with a rubber mallet) so that adults may fall from the infested plants and be collected in the polyethylene sheets (Ripa, 1992). However, this is mostly used as a monitoring method. Weed control is used to lower infestations by removing food sources for the larvae. New crops should not be established in contaminated fields until the pest has been eradicated. Finally, ploughing to a sufficient depth would damage and disturb life stages in the soil (R. Ripa, pers. comm.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Many hosts of </w:t>
      </w:r>
      <w:r>
        <w:rPr>
          <w:rFonts w:ascii="Calibri" w:hAnsi="Calibri" w:eastAsia="Calibri" w:cs="Calibri"/>
          <w:i/>
          <w:iCs/>
          <w:color w:val="000000"/>
          <w:sz w:val="22"/>
          <w:szCs w:val="22"/>
        </w:rPr>
        <w:t xml:space="preserve">N. xanthographus</w:t>
      </w:r>
      <w:r>
        <w:rPr>
          <w:rFonts w:ascii="Calibri" w:hAnsi="Calibri" w:eastAsia="Calibri" w:cs="Calibri"/>
          <w:color w:val="000000"/>
          <w:sz w:val="22"/>
          <w:szCs w:val="22"/>
        </w:rPr>
        <w:t xml:space="preserve"> have high economic importance in the EPPO region. In particular, the EPPO PRA highlighted that yield losses may be expected in grapevine, which is a high-value crop in the EPPO region. Damage could affect plants in production and young plants. Host fruit trees and vines are perennial plants and the establishment of </w:t>
      </w:r>
      <w:r>
        <w:rPr>
          <w:rFonts w:ascii="Calibri" w:hAnsi="Calibri" w:eastAsia="Calibri" w:cs="Calibri"/>
          <w:i/>
          <w:iCs/>
          <w:color w:val="000000"/>
          <w:sz w:val="22"/>
          <w:szCs w:val="22"/>
        </w:rPr>
        <w:t xml:space="preserve">N. xanthographus</w:t>
      </w:r>
      <w:r>
        <w:rPr>
          <w:rFonts w:ascii="Calibri" w:hAnsi="Calibri" w:eastAsia="Calibri" w:cs="Calibri"/>
          <w:color w:val="000000"/>
          <w:sz w:val="22"/>
          <w:szCs w:val="22"/>
        </w:rPr>
        <w:t xml:space="preserve"> would have long-term consequences.</w:t>
      </w:r>
    </w:p>
    <w:p>
      <w:pPr>
        <w:widowControl w:val="on"/>
        <w:pBdr/>
        <w:spacing w:before="220" w:after="220" w:line="240" w:lineRule="auto"/>
        <w:ind w:left="0" w:right="0"/>
        <w:jc w:val="both"/>
      </w:pPr>
      <w:r>
        <w:rPr>
          <w:rFonts w:ascii="Calibri" w:hAnsi="Calibri" w:eastAsia="Calibri" w:cs="Calibri"/>
          <w:color w:val="000000"/>
          <w:sz w:val="22"/>
          <w:szCs w:val="22"/>
        </w:rPr>
        <w:t xml:space="preserve">Loss of fruit harvest or young plants will depend on the type of crop, as well as on the pests already present and how they are managed. The impact may be major in the first years after </w:t>
      </w:r>
      <w:r>
        <w:rPr>
          <w:rFonts w:ascii="Calibri" w:hAnsi="Calibri" w:eastAsia="Calibri" w:cs="Calibri"/>
          <w:i/>
          <w:iCs/>
          <w:color w:val="000000"/>
          <w:sz w:val="22"/>
          <w:szCs w:val="22"/>
        </w:rPr>
        <w:t xml:space="preserve">N. xanthographus </w:t>
      </w:r>
      <w:r>
        <w:rPr>
          <w:rFonts w:ascii="Calibri" w:hAnsi="Calibri" w:eastAsia="Calibri" w:cs="Calibri"/>
          <w:color w:val="000000"/>
          <w:sz w:val="22"/>
          <w:szCs w:val="22"/>
        </w:rPr>
        <w:t xml:space="preserve">has built up damaging populations, before new control techniques are developed.</w:t>
      </w:r>
    </w:p>
    <w:p>
      <w:pPr>
        <w:widowControl w:val="on"/>
        <w:pBdr/>
        <w:spacing w:before="220" w:after="220" w:line="240" w:lineRule="auto"/>
        <w:ind w:left="0" w:right="0"/>
        <w:jc w:val="both"/>
      </w:pPr>
      <w:r>
        <w:rPr>
          <w:rFonts w:ascii="Calibri" w:hAnsi="Calibri" w:eastAsia="Calibri" w:cs="Calibri"/>
          <w:color w:val="000000"/>
          <w:sz w:val="22"/>
          <w:szCs w:val="22"/>
        </w:rPr>
        <w:t xml:space="preserve">If </w:t>
      </w:r>
      <w:r>
        <w:rPr>
          <w:rFonts w:ascii="Calibri" w:hAnsi="Calibri" w:eastAsia="Calibri" w:cs="Calibri"/>
          <w:i/>
          <w:iCs/>
          <w:color w:val="000000"/>
          <w:sz w:val="22"/>
          <w:szCs w:val="22"/>
        </w:rPr>
        <w:t xml:space="preserve">N. xanthographus</w:t>
      </w:r>
      <w:r>
        <w:rPr>
          <w:rFonts w:ascii="Calibri" w:hAnsi="Calibri" w:eastAsia="Calibri" w:cs="Calibri"/>
          <w:color w:val="000000"/>
          <w:sz w:val="22"/>
          <w:szCs w:val="22"/>
        </w:rPr>
        <w:t xml:space="preserve"> is introduced into the EPPO region, its presence may have a high impact on major fruit exporters. The pest is a quarantine pest for many countries in the Americas and Asia, and there is also a large trade of the main fruit and plant commodities within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It is not known if </w:t>
      </w:r>
      <w:r>
        <w:rPr>
          <w:rFonts w:ascii="Calibri" w:hAnsi="Calibri" w:eastAsia="Calibri" w:cs="Calibri"/>
          <w:i/>
          <w:iCs/>
          <w:color w:val="000000"/>
          <w:sz w:val="22"/>
          <w:szCs w:val="22"/>
        </w:rPr>
        <w:t xml:space="preserve">N. xanthographus</w:t>
      </w:r>
      <w:r>
        <w:rPr>
          <w:rFonts w:ascii="Calibri" w:hAnsi="Calibri" w:eastAsia="Calibri" w:cs="Calibri"/>
          <w:color w:val="000000"/>
          <w:sz w:val="22"/>
          <w:szCs w:val="22"/>
        </w:rPr>
        <w:t xml:space="preserve"> would have an impact on species other than host fruit trees and vines, or on host plants in the wild. Such effects are apparently not observed in South America. It may have an impact in gardens or on alfalfa, as reported from Argentina.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0" w:after="0" w:line="240" w:lineRule="auto"/>
        <w:ind w:left="0" w:right="0"/>
        <w:jc w:val="both"/>
      </w:pPr>
      <w:r>
        <w:rPr>
          <w:rFonts w:ascii="Calibri" w:hAnsi="Calibri" w:eastAsia="Calibri" w:cs="Calibri"/>
          <w:color w:val="000000"/>
          <w:sz w:val="22"/>
          <w:szCs w:val="22"/>
        </w:rPr>
        <w:t xml:space="preserve">The EPPO PRA (EPPO, 2020) recommended phytosanitary measures for plants for planting (other than seeds, in vitro plants, unrooted cuttings, and rooted cuttings in small plugs) with options such as pest-free areas, pest-free places of production, pest-free production sites and post-entry quarantine. For rooted cuttings in small plugs, clean growing medium should be used along with inspection and the treatment of plants against adults. For fruit of confirmed hosts, recommended phytosanitary measures include pest-free areas, pest-free places of production, pest-free production sites, harvesting during the South American winter (with information on absence of adults), washing of fruit (where feasible for the fruit concerned) or treatment of crop plus visual inspection in the crop and the consignment. In addition, both for plants and fruits, handling and packaging methods should be applied to prevent contamination by adults during storage and transport.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Aguirre C, Olivares N, Luppichini P &amp; Hinrichsen P (2015) A PCR-based diagnostic system for differentiating two weevil species (Coleoptera: Curculionidae) of economic importance to the Chilean citrus industry.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(1), 107-113.</w:t>
      </w:r>
    </w:p>
    <w:p>
      <w:pPr>
        <w:widowControl w:val="on"/>
        <w:pBdr/>
        <w:spacing w:before="220" w:after="220" w:line="240" w:lineRule="auto"/>
        <w:ind w:left="0" w:right="0"/>
        <w:jc w:val="left"/>
      </w:pPr>
      <w:r>
        <w:rPr>
          <w:rFonts w:ascii="Calibri" w:hAnsi="Calibri" w:eastAsia="Calibri" w:cs="Calibri"/>
          <w:color w:val="000000"/>
          <w:sz w:val="22"/>
          <w:szCs w:val="22"/>
        </w:rPr>
        <w:t xml:space="preserve">Aguirre C, Sánchez E, Olivares N &amp; Hinrichsen P (2021) Multiplex TaqMan real-time PCR assay for sensitive detection of two weevil species (Coleoptera: Curculionidae).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 90–99.</w:t>
      </w:r>
    </w:p>
    <w:p>
      <w:pPr>
        <w:widowControl w:val="on"/>
        <w:pBdr/>
        <w:spacing w:before="220" w:after="220" w:line="240" w:lineRule="auto"/>
        <w:ind w:left="0" w:right="0"/>
        <w:jc w:val="left"/>
      </w:pPr>
      <w:r>
        <w:rPr>
          <w:rFonts w:ascii="Calibri" w:hAnsi="Calibri" w:eastAsia="Calibri" w:cs="Calibri"/>
          <w:color w:val="000000"/>
          <w:sz w:val="22"/>
          <w:szCs w:val="22"/>
        </w:rPr>
        <w:t xml:space="preserve">Biosecurity Australia (2005) Revised Draft Import Risk Analysis Report for Table Grapes from Chile. Part B. Commonwealth of Australia. Australian Government, available at: </w:t>
      </w:r>
      <w:hyperlink r:id="rId99636638d098ae453" w:history="1">
        <w:r>
          <w:rPr>
            <w:rFonts w:ascii="Calibri" w:hAnsi="Calibri" w:eastAsia="Calibri" w:cs="Calibri"/>
            <w:color w:val="0000CC"/>
            <w:sz w:val="22"/>
            <w:szCs w:val="22"/>
            <w:u w:val="single"/>
          </w:rPr>
          <w:t xml:space="preserve">http://www.agriculture.gov.au/SiteCollectionDocuments/ba/memos/2005/2005_04a.pdf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CABI (2006) </w:t>
      </w:r>
      <w:r>
        <w:rPr>
          <w:rFonts w:ascii="Calibri" w:hAnsi="Calibri" w:eastAsia="Calibri" w:cs="Calibri"/>
          <w:i/>
          <w:iCs/>
          <w:color w:val="000000"/>
          <w:sz w:val="22"/>
          <w:szCs w:val="22"/>
        </w:rPr>
        <w:t xml:space="preserve">Crop Protection Compendium, CD-ROM</w:t>
      </w:r>
      <w:r>
        <w:rPr>
          <w:rFonts w:ascii="Calibri" w:hAnsi="Calibri" w:eastAsia="Calibri" w:cs="Calibri"/>
          <w:color w:val="000000"/>
          <w:sz w:val="22"/>
          <w:szCs w:val="22"/>
        </w:rPr>
        <w:t xml:space="preserve">.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Caballero VC (1972) Algunos aspectos de la biología y control de </w:t>
      </w:r>
      <w:r>
        <w:rPr>
          <w:rFonts w:ascii="Calibri" w:hAnsi="Calibri" w:eastAsia="Calibri" w:cs="Calibri"/>
          <w:i/>
          <w:iCs/>
          <w:color w:val="000000"/>
          <w:sz w:val="22"/>
          <w:szCs w:val="22"/>
        </w:rPr>
        <w:t xml:space="preserve">Naupactus xanthographus </w:t>
      </w:r>
      <w:r>
        <w:rPr>
          <w:rFonts w:ascii="Calibri" w:hAnsi="Calibri" w:eastAsia="Calibri" w:cs="Calibri"/>
          <w:color w:val="000000"/>
          <w:sz w:val="22"/>
          <w:szCs w:val="22"/>
        </w:rPr>
        <w:t xml:space="preserve">Germar (Coleoptera: Curculionidae) en durazneros en Chile. </w:t>
      </w:r>
      <w:r>
        <w:rPr>
          <w:rFonts w:ascii="Calibri" w:hAnsi="Calibri" w:eastAsia="Calibri" w:cs="Calibri"/>
          <w:i/>
          <w:iCs/>
          <w:color w:val="000000"/>
          <w:sz w:val="22"/>
          <w:szCs w:val="22"/>
        </w:rPr>
        <w:t xml:space="preserve">Revista Peruana De Entomología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190–194.</w:t>
      </w:r>
    </w:p>
    <w:p>
      <w:pPr>
        <w:widowControl w:val="on"/>
        <w:pBdr/>
        <w:spacing w:before="220" w:after="220" w:line="240" w:lineRule="auto"/>
        <w:ind w:left="0" w:right="0"/>
        <w:jc w:val="left"/>
      </w:pPr>
      <w:r>
        <w:rPr>
          <w:rFonts w:ascii="Calibri" w:hAnsi="Calibri" w:eastAsia="Calibri" w:cs="Calibri"/>
          <w:color w:val="000000"/>
          <w:sz w:val="22"/>
          <w:szCs w:val="22"/>
        </w:rPr>
        <w:t xml:space="preserve">del Río MG &amp; Lanteri AA (2019) Recognition of species groups of </w:t>
      </w:r>
      <w:r>
        <w:rPr>
          <w:rFonts w:ascii="Calibri" w:hAnsi="Calibri" w:eastAsia="Calibri" w:cs="Calibri"/>
          <w:i/>
          <w:iCs/>
          <w:color w:val="000000"/>
          <w:sz w:val="22"/>
          <w:szCs w:val="22"/>
        </w:rPr>
        <w:t xml:space="preserve">Naupactus </w:t>
      </w:r>
      <w:r>
        <w:rPr>
          <w:rFonts w:ascii="Calibri" w:hAnsi="Calibri" w:eastAsia="Calibri" w:cs="Calibri"/>
          <w:color w:val="000000"/>
          <w:sz w:val="22"/>
          <w:szCs w:val="22"/>
        </w:rPr>
        <w:t xml:space="preserve">Dejean (Coleoptera: Curculionidae) from Argentina and neighboring countries. </w:t>
      </w:r>
      <w:r>
        <w:rPr>
          <w:rFonts w:ascii="Calibri" w:hAnsi="Calibri" w:eastAsia="Calibri" w:cs="Calibri"/>
          <w:i/>
          <w:iCs/>
          <w:color w:val="000000"/>
          <w:sz w:val="22"/>
          <w:szCs w:val="22"/>
        </w:rPr>
        <w:t xml:space="preserve">PeerJ </w:t>
      </w:r>
      <w:r>
        <w:rPr>
          <w:rFonts w:ascii="Calibri" w:hAnsi="Calibri" w:eastAsia="Calibri" w:cs="Calibri"/>
          <w:color w:val="000000"/>
          <w:sz w:val="22"/>
          <w:szCs w:val="22"/>
        </w:rPr>
        <w:t xml:space="preserve">6, e6196. </w:t>
      </w:r>
      <w:hyperlink r:id="rId56526638d098ae572" w:history="1">
        <w:r>
          <w:rPr>
            <w:rFonts w:ascii="Calibri" w:hAnsi="Calibri" w:eastAsia="Calibri" w:cs="Calibri"/>
            <w:color w:val="0000CC"/>
            <w:sz w:val="22"/>
            <w:szCs w:val="22"/>
            <w:u w:val="single"/>
          </w:rPr>
          <w:t xml:space="preserve">https://doi.org/10.7717/peerj.6196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del Río M, Rodriguero MS, Confalonieri VA &amp; Lanteri AA (2018) Molecular and morphological phylogenetic analysis of </w:t>
      </w:r>
      <w:r>
        <w:rPr>
          <w:rFonts w:ascii="Calibri" w:hAnsi="Calibri" w:eastAsia="Calibri" w:cs="Calibri"/>
          <w:i/>
          <w:iCs/>
          <w:color w:val="000000"/>
          <w:sz w:val="22"/>
          <w:szCs w:val="22"/>
        </w:rPr>
        <w:t xml:space="preserve">Naupactus </w:t>
      </w:r>
      <w:r>
        <w:rPr>
          <w:rFonts w:ascii="Calibri" w:hAnsi="Calibri" w:eastAsia="Calibri" w:cs="Calibri"/>
          <w:color w:val="000000"/>
          <w:sz w:val="22"/>
          <w:szCs w:val="22"/>
        </w:rPr>
        <w:t xml:space="preserve">Dejean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(Curculionidae: Entiminae) and allied genera: The dilemma of classification. </w:t>
      </w:r>
      <w:r>
        <w:rPr>
          <w:rFonts w:ascii="Calibri" w:hAnsi="Calibri" w:eastAsia="Calibri" w:cs="Calibri"/>
          <w:i/>
          <w:iCs/>
          <w:color w:val="000000"/>
          <w:sz w:val="22"/>
          <w:szCs w:val="22"/>
        </w:rPr>
        <w:t xml:space="preserve">Diversity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59.</w:t>
      </w:r>
    </w:p>
    <w:p>
      <w:pPr>
        <w:widowControl w:val="on"/>
        <w:pBdr/>
        <w:spacing w:before="220" w:after="220" w:line="240" w:lineRule="auto"/>
        <w:ind w:left="0" w:right="0"/>
        <w:jc w:val="left"/>
      </w:pPr>
      <w:r>
        <w:rPr>
          <w:rFonts w:ascii="Calibri" w:hAnsi="Calibri" w:eastAsia="Calibri" w:cs="Calibri"/>
          <w:color w:val="000000"/>
          <w:sz w:val="22"/>
          <w:szCs w:val="22"/>
        </w:rPr>
        <w:t xml:space="preserve">Elgueta M &amp; Marvaldi AE (2006) Lista sistemática de las especies de curculionoidea (Insecta: Coleoptera) presentes en Chile, con su sinonimia. Publicacion Ocasional 48. 79 p. Museo Nacional de Historia natural, Santiago, Chile.</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Pest risk analysis for </w:t>
      </w:r>
      <w:r>
        <w:rPr>
          <w:rFonts w:ascii="Calibri" w:hAnsi="Calibri" w:eastAsia="Calibri" w:cs="Calibri"/>
          <w:i/>
          <w:iCs/>
          <w:color w:val="000000"/>
          <w:sz w:val="22"/>
          <w:szCs w:val="22"/>
        </w:rPr>
        <w:t xml:space="preserve">Naupactus xanthographus</w:t>
      </w:r>
      <w:r>
        <w:rPr>
          <w:rFonts w:ascii="Calibri" w:hAnsi="Calibri" w:eastAsia="Calibri" w:cs="Calibri"/>
          <w:color w:val="000000"/>
          <w:sz w:val="22"/>
          <w:szCs w:val="22"/>
        </w:rPr>
        <w:t xml:space="preserve">. EPPO, Paris. Available at </w:t>
      </w:r>
      <w:hyperlink r:id="rId47886638d098ae670" w:history="1">
        <w:r>
          <w:rPr>
            <w:rFonts w:ascii="Calibri" w:hAnsi="Calibri" w:eastAsia="Calibri" w:cs="Calibri"/>
            <w:color w:val="0000CC"/>
            <w:sz w:val="22"/>
            <w:szCs w:val="22"/>
            <w:u w:val="single"/>
          </w:rPr>
          <w:t xml:space="preserve">https://gd.eppo.int/taxon/ NAUPX A/documents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GenBank (2019) </w:t>
      </w:r>
      <w:hyperlink r:id="rId75446638d098ae6a1" w:history="1">
        <w:r>
          <w:rPr>
            <w:rFonts w:ascii="Calibri" w:hAnsi="Calibri" w:eastAsia="Calibri" w:cs="Calibri"/>
            <w:color w:val="0000CC"/>
            <w:sz w:val="22"/>
            <w:szCs w:val="22"/>
            <w:u w:val="single"/>
          </w:rPr>
          <w:t xml:space="preserve">https://www.ncbi.nlm.nih.gov/genba nk/</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Germann C (2016) First record of the neozoic species </w:t>
      </w:r>
      <w:r>
        <w:rPr>
          <w:rFonts w:ascii="Calibri" w:hAnsi="Calibri" w:eastAsia="Calibri" w:cs="Calibri"/>
          <w:i/>
          <w:iCs/>
          <w:color w:val="000000"/>
          <w:sz w:val="22"/>
          <w:szCs w:val="22"/>
        </w:rPr>
        <w:t xml:space="preserve">Naupactus cervinus </w:t>
      </w:r>
      <w:r>
        <w:rPr>
          <w:rFonts w:ascii="Calibri" w:hAnsi="Calibri" w:eastAsia="Calibri" w:cs="Calibri"/>
          <w:color w:val="000000"/>
          <w:sz w:val="22"/>
          <w:szCs w:val="22"/>
        </w:rPr>
        <w:t xml:space="preserve">Boheman, 1840 (Coleoptera, Curculionidae, Entiminae) for Switzerland with a short review of its spreading and food plants. </w:t>
      </w:r>
      <w:r>
        <w:rPr>
          <w:rFonts w:ascii="Calibri" w:hAnsi="Calibri" w:eastAsia="Calibri" w:cs="Calibri"/>
          <w:i/>
          <w:iCs/>
          <w:color w:val="000000"/>
          <w:sz w:val="22"/>
          <w:szCs w:val="22"/>
        </w:rPr>
        <w:t xml:space="preserve">Bulletin de La Société Entomologique Suisse</w:t>
      </w:r>
      <w:r>
        <w:rPr>
          <w:rFonts w:ascii="Calibri" w:hAnsi="Calibri" w:eastAsia="Calibri" w:cs="Calibri"/>
          <w:color w:val="000000"/>
          <w:sz w:val="22"/>
          <w:szCs w:val="22"/>
        </w:rPr>
        <w:t xml:space="preserve">. </w:t>
      </w:r>
      <w:hyperlink r:id="rId43486638d098ae712" w:history="1">
        <w:r>
          <w:rPr>
            <w:rFonts w:ascii="Calibri" w:hAnsi="Calibri" w:eastAsia="Calibri" w:cs="Calibri"/>
            <w:color w:val="0000CC"/>
            <w:sz w:val="22"/>
            <w:szCs w:val="22"/>
            <w:u w:val="single"/>
          </w:rPr>
          <w:t xml:space="preserve">https://doi.org/10.5281/zenodo.51884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Gonzalez RH (1983) Management of grapevine pests. Manejo de plagas de la vid. Facultad de Ciencias Agrarias, Veterinarias y Forestales, Universidad de Chile Santiago Chile, 115 pp.</w:t>
      </w:r>
    </w:p>
    <w:p>
      <w:pPr>
        <w:widowControl w:val="on"/>
        <w:pBdr/>
        <w:spacing w:before="220" w:after="220" w:line="240" w:lineRule="auto"/>
        <w:ind w:left="0" w:right="0"/>
        <w:jc w:val="left"/>
      </w:pPr>
      <w:r>
        <w:rPr>
          <w:rFonts w:ascii="Calibri" w:hAnsi="Calibri" w:eastAsia="Calibri" w:cs="Calibri"/>
          <w:color w:val="000000"/>
          <w:sz w:val="22"/>
          <w:szCs w:val="22"/>
        </w:rPr>
        <w:t xml:space="preserve">González (1989) Insectos y acaros de importancia agricola y cuarentenaria en Chile. Universidad de Chile: 310 pp.</w:t>
      </w:r>
    </w:p>
    <w:p>
      <w:pPr>
        <w:widowControl w:val="on"/>
        <w:pBdr/>
        <w:spacing w:before="220" w:after="220" w:line="240" w:lineRule="auto"/>
        <w:ind w:left="0" w:right="0"/>
        <w:jc w:val="left"/>
      </w:pPr>
      <w:r>
        <w:rPr>
          <w:rFonts w:ascii="Calibri" w:hAnsi="Calibri" w:eastAsia="Calibri" w:cs="Calibri"/>
          <w:color w:val="000000"/>
          <w:sz w:val="22"/>
          <w:szCs w:val="22"/>
        </w:rPr>
        <w:t xml:space="preserve">Guzmán NV, Lanteri AA &amp; Confalonieri VA (2012) Colonization ability of two invasive weevils with different reproductive modes. </w:t>
      </w:r>
      <w:r>
        <w:rPr>
          <w:rFonts w:ascii="Calibri" w:hAnsi="Calibri" w:eastAsia="Calibri" w:cs="Calibri"/>
          <w:i/>
          <w:iCs/>
          <w:color w:val="000000"/>
          <w:sz w:val="22"/>
          <w:szCs w:val="22"/>
        </w:rPr>
        <w:t xml:space="preserve">Evolutionary Ecology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1371–1390.</w:t>
      </w:r>
    </w:p>
    <w:p>
      <w:pPr>
        <w:widowControl w:val="on"/>
        <w:pBdr/>
        <w:spacing w:before="220" w:after="220" w:line="240" w:lineRule="auto"/>
        <w:ind w:left="0" w:right="0"/>
        <w:jc w:val="left"/>
      </w:pPr>
      <w:r>
        <w:rPr>
          <w:rFonts w:ascii="Calibri" w:hAnsi="Calibri" w:eastAsia="Calibri" w:cs="Calibri"/>
          <w:color w:val="000000"/>
          <w:sz w:val="22"/>
          <w:szCs w:val="22"/>
        </w:rPr>
        <w:t xml:space="preserve">Klein KC &amp; Waterhouse DF (2000) The distribution and importance of arthropods associated with agriculture and forestry in Chile (Distribucion e importancia de los arthropodos asociados a la agricultura y silvicultura en Chile). ACIAR Monograph No. 68, 234 pp.</w:t>
      </w:r>
    </w:p>
    <w:p>
      <w:pPr>
        <w:widowControl w:val="on"/>
        <w:pBdr/>
        <w:spacing w:before="220" w:after="220" w:line="240" w:lineRule="auto"/>
        <w:ind w:left="0" w:right="0"/>
        <w:jc w:val="left"/>
      </w:pPr>
      <w:r>
        <w:rPr>
          <w:rFonts w:ascii="Calibri" w:hAnsi="Calibri" w:eastAsia="Calibri" w:cs="Calibri"/>
          <w:color w:val="000000"/>
          <w:sz w:val="22"/>
          <w:szCs w:val="22"/>
        </w:rPr>
        <w:t xml:space="preserve">Lanteri AA, Marvaldi AE &amp; Suarez SM (2002) Gorgojos de la Argentina y sus plantas huespedes, Tomo I: Apionidae y Curculionidae. Publicacion Especial de la Sociedad Entomologica Argentina.</w:t>
      </w:r>
    </w:p>
    <w:p>
      <w:pPr>
        <w:widowControl w:val="on"/>
        <w:pBdr/>
        <w:spacing w:before="220" w:after="220" w:line="240" w:lineRule="auto"/>
        <w:ind w:left="0" w:right="0"/>
        <w:jc w:val="left"/>
      </w:pPr>
      <w:r>
        <w:rPr>
          <w:rFonts w:ascii="Calibri" w:hAnsi="Calibri" w:eastAsia="Calibri" w:cs="Calibri"/>
          <w:color w:val="000000"/>
          <w:sz w:val="22"/>
          <w:szCs w:val="22"/>
        </w:rPr>
        <w:t xml:space="preserve">Lanteri A &amp; del Río MG (2017) </w:t>
      </w:r>
      <w:r>
        <w:rPr>
          <w:rFonts w:ascii="Calibri" w:hAnsi="Calibri" w:eastAsia="Calibri" w:cs="Calibri"/>
          <w:i/>
          <w:iCs/>
          <w:color w:val="000000"/>
          <w:sz w:val="22"/>
          <w:szCs w:val="22"/>
        </w:rPr>
        <w:t xml:space="preserve">Naupactus xanthographus </w:t>
      </w:r>
      <w:r>
        <w:rPr>
          <w:rFonts w:ascii="Calibri" w:hAnsi="Calibri" w:eastAsia="Calibri" w:cs="Calibri"/>
          <w:color w:val="000000"/>
          <w:sz w:val="22"/>
          <w:szCs w:val="22"/>
        </w:rPr>
        <w:t xml:space="preserve">(Germar) species group (Curculionidae: Entiminae: Naupactini): a comprehensive taxonomic treatment. </w:t>
      </w:r>
      <w:r>
        <w:rPr>
          <w:rFonts w:ascii="Calibri" w:hAnsi="Calibri" w:eastAsia="Calibri" w:cs="Calibri"/>
          <w:i/>
          <w:iCs/>
          <w:color w:val="000000"/>
          <w:sz w:val="22"/>
          <w:szCs w:val="22"/>
        </w:rPr>
        <w:t xml:space="preserve">Journal of Natural History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27–28.</w:t>
      </w:r>
    </w:p>
    <w:p>
      <w:pPr>
        <w:widowControl w:val="on"/>
        <w:pBdr/>
        <w:spacing w:before="220" w:after="220" w:line="240" w:lineRule="auto"/>
        <w:ind w:left="0" w:right="0"/>
        <w:jc w:val="left"/>
      </w:pPr>
      <w:r>
        <w:rPr>
          <w:rFonts w:ascii="Calibri" w:hAnsi="Calibri" w:eastAsia="Calibri" w:cs="Calibri"/>
          <w:color w:val="000000"/>
          <w:sz w:val="22"/>
          <w:szCs w:val="22"/>
        </w:rPr>
        <w:t xml:space="preserve">Loiácono MS &amp; Días NB (1992) Immature stages of </w:t>
      </w:r>
      <w:r>
        <w:rPr>
          <w:rFonts w:ascii="Calibri" w:hAnsi="Calibri" w:eastAsia="Calibri" w:cs="Calibri"/>
          <w:i/>
          <w:iCs/>
          <w:color w:val="000000"/>
          <w:sz w:val="22"/>
          <w:szCs w:val="22"/>
        </w:rPr>
        <w:t xml:space="preserve">Naupactus xanthographus </w:t>
      </w:r>
      <w:r>
        <w:rPr>
          <w:rFonts w:ascii="Calibri" w:hAnsi="Calibri" w:eastAsia="Calibri" w:cs="Calibri"/>
          <w:color w:val="000000"/>
          <w:sz w:val="22"/>
          <w:szCs w:val="22"/>
        </w:rPr>
        <w:t xml:space="preserve">(Germar) Coleoptera, Curculionidae), with notes on its life history. </w:t>
      </w:r>
      <w:r>
        <w:rPr>
          <w:rFonts w:ascii="Calibri" w:hAnsi="Calibri" w:eastAsia="Calibri" w:cs="Calibri"/>
          <w:i/>
          <w:iCs/>
          <w:color w:val="000000"/>
          <w:sz w:val="22"/>
          <w:szCs w:val="22"/>
        </w:rPr>
        <w:t xml:space="preserve">Revista Brasileira de Entomologia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177–186.</w:t>
      </w:r>
    </w:p>
    <w:p>
      <w:pPr>
        <w:widowControl w:val="on"/>
        <w:pBdr/>
        <w:spacing w:before="220" w:after="220" w:line="240" w:lineRule="auto"/>
        <w:ind w:left="0" w:right="0"/>
        <w:jc w:val="left"/>
      </w:pPr>
      <w:r>
        <w:rPr>
          <w:rFonts w:ascii="Calibri" w:hAnsi="Calibri" w:eastAsia="Calibri" w:cs="Calibri"/>
          <w:color w:val="000000"/>
          <w:sz w:val="22"/>
          <w:szCs w:val="22"/>
        </w:rPr>
        <w:t xml:space="preserve">Luppichini BP, Isla F, Henriquez IU, Olivares N, Fernando PY &amp; Alvarez (2013) Manejo del Burrito de la vid, </w:t>
      </w:r>
      <w:r>
        <w:rPr>
          <w:rFonts w:ascii="Calibri" w:hAnsi="Calibri" w:eastAsia="Calibri" w:cs="Calibri"/>
          <w:i/>
          <w:iCs/>
          <w:color w:val="000000"/>
          <w:sz w:val="22"/>
          <w:szCs w:val="22"/>
        </w:rPr>
        <w:t xml:space="preserve">Naupactus xanthographus </w:t>
      </w:r>
      <w:r>
        <w:rPr>
          <w:rFonts w:ascii="Calibri" w:hAnsi="Calibri" w:eastAsia="Calibri" w:cs="Calibri"/>
          <w:color w:val="000000"/>
          <w:sz w:val="22"/>
          <w:szCs w:val="22"/>
        </w:rPr>
        <w:t xml:space="preserve">(Germar) y otros curculiónidos asociados a vides.</w:t>
      </w:r>
    </w:p>
    <w:p>
      <w:pPr>
        <w:widowControl w:val="on"/>
        <w:pBdr/>
        <w:spacing w:before="220" w:after="220" w:line="240" w:lineRule="auto"/>
        <w:ind w:left="0" w:right="0"/>
        <w:jc w:val="left"/>
      </w:pPr>
      <w:r>
        <w:rPr>
          <w:rFonts w:ascii="Calibri" w:hAnsi="Calibri" w:eastAsia="Calibri" w:cs="Calibri"/>
          <w:color w:val="000000"/>
          <w:sz w:val="22"/>
          <w:szCs w:val="22"/>
        </w:rPr>
        <w:t xml:space="preserve">Pinto L &amp; Zaviezo T (2003) Efectividad de bandas en base a aceites y polibuteno en el control del burrito de la vid </w:t>
      </w:r>
      <w:r>
        <w:rPr>
          <w:rFonts w:ascii="Calibri" w:hAnsi="Calibri" w:eastAsia="Calibri" w:cs="Calibri"/>
          <w:i/>
          <w:iCs/>
          <w:color w:val="000000"/>
          <w:sz w:val="22"/>
          <w:szCs w:val="22"/>
        </w:rPr>
        <w:t xml:space="preserve">Naupactus xanthographus </w:t>
      </w:r>
      <w:r>
        <w:rPr>
          <w:rFonts w:ascii="Calibri" w:hAnsi="Calibri" w:eastAsia="Calibri" w:cs="Calibri"/>
          <w:color w:val="000000"/>
          <w:sz w:val="22"/>
          <w:szCs w:val="22"/>
        </w:rPr>
        <w:t xml:space="preserve">(Coleoptera: Curculionidae). </w:t>
      </w:r>
      <w:r>
        <w:rPr>
          <w:rFonts w:ascii="Calibri" w:hAnsi="Calibri" w:eastAsia="Calibri" w:cs="Calibri"/>
          <w:i/>
          <w:iCs/>
          <w:color w:val="000000"/>
          <w:sz w:val="22"/>
          <w:szCs w:val="22"/>
        </w:rPr>
        <w:t xml:space="preserve">Ciencia e Investigación Agraria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69–77.</w:t>
      </w:r>
    </w:p>
    <w:p>
      <w:pPr>
        <w:widowControl w:val="on"/>
        <w:pBdr/>
        <w:spacing w:before="220" w:after="220" w:line="240" w:lineRule="auto"/>
        <w:ind w:left="0" w:right="0"/>
        <w:jc w:val="left"/>
      </w:pPr>
      <w:r>
        <w:rPr>
          <w:rFonts w:ascii="Calibri" w:hAnsi="Calibri" w:eastAsia="Calibri" w:cs="Calibri"/>
          <w:color w:val="000000"/>
          <w:sz w:val="22"/>
          <w:szCs w:val="22"/>
        </w:rPr>
        <w:t xml:space="preserve">Ripa R (1986) Contribución al conocimiento del ciclo del burrito de los frutales </w:t>
      </w:r>
      <w:r>
        <w:rPr>
          <w:rFonts w:ascii="Calibri" w:hAnsi="Calibri" w:eastAsia="Calibri" w:cs="Calibri"/>
          <w:i/>
          <w:iCs/>
          <w:color w:val="000000"/>
          <w:sz w:val="22"/>
          <w:szCs w:val="22"/>
        </w:rPr>
        <w:t xml:space="preserve">Naupactus xanthographus </w:t>
      </w:r>
      <w:r>
        <w:rPr>
          <w:rFonts w:ascii="Calibri" w:hAnsi="Calibri" w:eastAsia="Calibri" w:cs="Calibri"/>
          <w:color w:val="000000"/>
          <w:sz w:val="22"/>
          <w:szCs w:val="22"/>
        </w:rPr>
        <w:t xml:space="preserve">(Germar) (Coleóptero: Curculionidae). </w:t>
      </w:r>
      <w:r>
        <w:rPr>
          <w:rFonts w:ascii="Calibri" w:hAnsi="Calibri" w:eastAsia="Calibri" w:cs="Calibri"/>
          <w:i/>
          <w:iCs/>
          <w:color w:val="000000"/>
          <w:sz w:val="22"/>
          <w:szCs w:val="22"/>
        </w:rPr>
        <w:t xml:space="preserve">Agricultura Técnica (Chile)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33–40.</w:t>
      </w:r>
    </w:p>
    <w:p>
      <w:pPr>
        <w:widowControl w:val="on"/>
        <w:pBdr/>
        <w:spacing w:before="220" w:after="220" w:line="240" w:lineRule="auto"/>
        <w:ind w:left="0" w:right="0"/>
        <w:jc w:val="left"/>
      </w:pPr>
      <w:r>
        <w:rPr>
          <w:rFonts w:ascii="Calibri" w:hAnsi="Calibri" w:eastAsia="Calibri" w:cs="Calibri"/>
          <w:color w:val="000000"/>
          <w:sz w:val="22"/>
          <w:szCs w:val="22"/>
        </w:rPr>
        <w:t xml:space="preserve">Ripa R (1992) Burrito de los frutales </w:t>
      </w:r>
      <w:r>
        <w:rPr>
          <w:rFonts w:ascii="Calibri" w:hAnsi="Calibri" w:eastAsia="Calibri" w:cs="Calibri"/>
          <w:i/>
          <w:iCs/>
          <w:color w:val="000000"/>
          <w:sz w:val="22"/>
          <w:szCs w:val="22"/>
        </w:rPr>
        <w:t xml:space="preserve">Naupactus xanthographus </w:t>
      </w:r>
      <w:r>
        <w:rPr>
          <w:rFonts w:ascii="Calibri" w:hAnsi="Calibri" w:eastAsia="Calibri" w:cs="Calibri"/>
          <w:color w:val="000000"/>
          <w:sz w:val="22"/>
          <w:szCs w:val="22"/>
        </w:rPr>
        <w:t xml:space="preserve">(Germar), INIA, La Cruz, Chile.</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(2015) Risk Assessment for the Importation of Fresh Lemon (</w:t>
      </w:r>
      <w:r>
        <w:rPr>
          <w:rFonts w:ascii="Calibri" w:hAnsi="Calibri" w:eastAsia="Calibri" w:cs="Calibri"/>
          <w:i/>
          <w:iCs/>
          <w:color w:val="000000"/>
          <w:sz w:val="22"/>
          <w:szCs w:val="22"/>
        </w:rPr>
        <w:t xml:space="preserve">Citrus limon </w:t>
      </w:r>
      <w:r>
        <w:rPr>
          <w:rFonts w:ascii="Calibri" w:hAnsi="Calibri" w:eastAsia="Calibri" w:cs="Calibri"/>
          <w:color w:val="000000"/>
          <w:sz w:val="22"/>
          <w:szCs w:val="22"/>
        </w:rPr>
        <w:t xml:space="preserve">(L.) Burm. f.) Fruit from Northwest Argentina into the Continental United States. USDA, USA.</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(2008) Pathway-Initiated Risk Analysis of the Importation of </w:t>
      </w:r>
      <w:r>
        <w:rPr>
          <w:rFonts w:ascii="Calibri" w:hAnsi="Calibri" w:eastAsia="Calibri" w:cs="Calibri"/>
          <w:i/>
          <w:iCs/>
          <w:color w:val="000000"/>
          <w:sz w:val="22"/>
          <w:szCs w:val="22"/>
        </w:rPr>
        <w:t xml:space="preserve">Vaccinium </w:t>
      </w:r>
      <w:r>
        <w:rPr>
          <w:rFonts w:ascii="Calibri" w:hAnsi="Calibri" w:eastAsia="Calibri" w:cs="Calibri"/>
          <w:color w:val="000000"/>
          <w:sz w:val="22"/>
          <w:szCs w:val="22"/>
        </w:rPr>
        <w:t xml:space="preserve">spp. Fruit from countries in Central and South America into the continental United States. USDA, USA.</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(2007) Importation of fresh highbush and rabbit-eye blueberry (</w:t>
      </w:r>
      <w:r>
        <w:rPr>
          <w:rFonts w:ascii="Calibri" w:hAnsi="Calibri" w:eastAsia="Calibri" w:cs="Calibri"/>
          <w:i/>
          <w:iCs/>
          <w:color w:val="000000"/>
          <w:sz w:val="22"/>
          <w:szCs w:val="22"/>
        </w:rPr>
        <w:t xml:space="preserve">Vaccinium corymbosum </w:t>
      </w:r>
      <w:r>
        <w:rPr>
          <w:rFonts w:ascii="Calibri" w:hAnsi="Calibri" w:eastAsia="Calibri" w:cs="Calibri"/>
          <w:color w:val="000000"/>
          <w:sz w:val="22"/>
          <w:szCs w:val="22"/>
        </w:rPr>
        <w:t xml:space="preserve">L </w:t>
      </w:r>
      <w:r>
        <w:rPr>
          <w:rFonts w:ascii="Calibri" w:hAnsi="Calibri" w:eastAsia="Calibri" w:cs="Calibri"/>
          <w:i/>
          <w:iCs/>
          <w:color w:val="000000"/>
          <w:sz w:val="22"/>
          <w:szCs w:val="22"/>
        </w:rPr>
        <w:t xml:space="preserve">&amp; V. virgatum </w:t>
      </w:r>
      <w:r>
        <w:rPr>
          <w:rFonts w:ascii="Calibri" w:hAnsi="Calibri" w:eastAsia="Calibri" w:cs="Calibri"/>
          <w:color w:val="000000"/>
          <w:sz w:val="22"/>
          <w:szCs w:val="22"/>
        </w:rPr>
        <w:t xml:space="preserve">Aiton) fruit into the Continental United States from Uruguay, USDA, USA.</w:t>
      </w:r>
    </w:p>
    <w:p>
      <w:pPr>
        <w:widowControl w:val="on"/>
        <w:pBdr/>
        <w:spacing w:before="220" w:after="220" w:line="240" w:lineRule="auto"/>
        <w:ind w:left="0" w:right="0"/>
        <w:jc w:val="left"/>
      </w:pPr>
      <w:r>
        <w:rPr>
          <w:rFonts w:ascii="Calibri" w:hAnsi="Calibri" w:eastAsia="Calibri" w:cs="Calibri"/>
          <w:color w:val="000000"/>
          <w:sz w:val="22"/>
          <w:szCs w:val="22"/>
        </w:rPr>
        <w:t xml:space="preserve">Vicchi FR (2014) Biodiversidad de artrópodos en un suelo cultivado con </w:t>
      </w:r>
      <w:r>
        <w:rPr>
          <w:rFonts w:ascii="Calibri" w:hAnsi="Calibri" w:eastAsia="Calibri" w:cs="Calibri"/>
          <w:i/>
          <w:iCs/>
          <w:color w:val="000000"/>
          <w:sz w:val="22"/>
          <w:szCs w:val="22"/>
        </w:rPr>
        <w:t xml:space="preserve">Vitis vinifera </w:t>
      </w:r>
      <w:r>
        <w:rPr>
          <w:rFonts w:ascii="Calibri" w:hAnsi="Calibri" w:eastAsia="Calibri" w:cs="Calibri"/>
          <w:color w:val="000000"/>
          <w:sz w:val="22"/>
          <w:szCs w:val="22"/>
        </w:rPr>
        <w:t xml:space="preserve">L. en Barrancas, Mendoza. Monitoreo de larvas rizófagas. Working paper.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by the EPPO Secretariat based on the pest risk analysis produced by an EPPO expert working group in 2019. The expert working group was composed of N. Avendaño Garcia (Tecnologias y Servicios Agrarios, ES), G. Franco (Agenzia regionale per lo sviluppo rurale del Friuli Venezia Giulia, IT), A. Korycinska (Defra, GB), A. Lanteri (Museo de La Plata, AR), R. Ripa (Centro de Entomología Aplicada Ltda, CL), D. van der Gaag (NPPO, NL), A. Wilstermann (Julius Kuehn-Institute, DE) and M. Zekiri (Ministry of Agriculture Forestry and Water Economy, MC).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Naupactus xanthographus</w:t>
      </w:r>
      <w:r>
        <w:rPr>
          <w:rFonts w:ascii="Calibri" w:hAnsi="Calibri" w:eastAsia="Calibri" w:cs="Calibri"/>
          <w:color w:val="000000"/>
          <w:sz w:val="22"/>
          <w:szCs w:val="22"/>
        </w:rPr>
        <w:t xml:space="preserve">. EPPO datasheets on pests recommended for regulation. Available online. </w:t>
      </w:r>
      <w:hyperlink r:id="rId52116638d098aebd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first published in the EPPO Bulletin in 2022. It is now maintained in an electronic format in the EPPO Global Database. The sections on 'Identity', ‘Hosts’, and 'Geographical distribution' are automatically updated from the database. For other sections, the date of last revision is indicated on the right.</w:t>
      </w:r>
      <w:r>
        <w:rPr>
          <w:rFonts w:ascii="Calibri" w:hAnsi="Calibri" w:eastAsia="Calibri" w:cs="Calibri"/>
          <w:color w:val="000000"/>
          <w:sz w:val="22"/>
          <w:szCs w:val="22"/>
        </w:rPr>
        <w:br/>
        <w:br/>
        <w:t xml:space="preserve">EPPO (2022) Datasheets on pests recommended for regulation. </w:t>
      </w:r>
      <w:r>
        <w:rPr>
          <w:rFonts w:ascii="Calibri" w:hAnsi="Calibri" w:eastAsia="Calibri" w:cs="Calibri"/>
          <w:i/>
          <w:iCs/>
          <w:color w:val="000000"/>
          <w:sz w:val="22"/>
          <w:szCs w:val="22"/>
        </w:rPr>
        <w:t xml:space="preserve">Naupactus xanthographus. EPPO Bulletin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(2), 374–378. </w:t>
      </w:r>
      <w:hyperlink r:id="rId18996638d098aec71" w:history="1">
        <w:r>
          <w:rPr>
            <w:rFonts w:ascii="Calibri" w:hAnsi="Calibri" w:eastAsia="Calibri" w:cs="Calibri"/>
            <w:color w:val="0000CC"/>
            <w:sz w:val="22"/>
            <w:szCs w:val="22"/>
            <w:u w:val="single"/>
          </w:rPr>
          <w:t xml:space="preserve">https://doi.org/10.1111/epp.12833</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519455">
    <w:multiLevelType w:val="hybridMultilevel"/>
    <w:lvl w:ilvl="0" w:tplc="84453804">
      <w:start w:val="1"/>
      <w:numFmt w:val="decimal"/>
      <w:lvlText w:val="%1."/>
      <w:lvlJc w:val="left"/>
      <w:pPr>
        <w:ind w:left="720" w:hanging="360"/>
      </w:pPr>
    </w:lvl>
    <w:lvl w:ilvl="1" w:tplc="84453804" w:tentative="1">
      <w:start w:val="1"/>
      <w:numFmt w:val="lowerLetter"/>
      <w:lvlText w:val="%2."/>
      <w:lvlJc w:val="left"/>
      <w:pPr>
        <w:ind w:left="1440" w:hanging="360"/>
      </w:pPr>
    </w:lvl>
    <w:lvl w:ilvl="2" w:tplc="84453804" w:tentative="1">
      <w:start w:val="1"/>
      <w:numFmt w:val="lowerRoman"/>
      <w:lvlText w:val="%3."/>
      <w:lvlJc w:val="right"/>
      <w:pPr>
        <w:ind w:left="2160" w:hanging="180"/>
      </w:pPr>
    </w:lvl>
    <w:lvl w:ilvl="3" w:tplc="84453804" w:tentative="1">
      <w:start w:val="1"/>
      <w:numFmt w:val="decimal"/>
      <w:lvlText w:val="%4."/>
      <w:lvlJc w:val="left"/>
      <w:pPr>
        <w:ind w:left="2880" w:hanging="360"/>
      </w:pPr>
    </w:lvl>
    <w:lvl w:ilvl="4" w:tplc="84453804" w:tentative="1">
      <w:start w:val="1"/>
      <w:numFmt w:val="lowerLetter"/>
      <w:lvlText w:val="%5."/>
      <w:lvlJc w:val="left"/>
      <w:pPr>
        <w:ind w:left="3600" w:hanging="360"/>
      </w:pPr>
    </w:lvl>
    <w:lvl w:ilvl="5" w:tplc="84453804" w:tentative="1">
      <w:start w:val="1"/>
      <w:numFmt w:val="lowerRoman"/>
      <w:lvlText w:val="%6."/>
      <w:lvlJc w:val="right"/>
      <w:pPr>
        <w:ind w:left="4320" w:hanging="180"/>
      </w:pPr>
    </w:lvl>
    <w:lvl w:ilvl="6" w:tplc="84453804" w:tentative="1">
      <w:start w:val="1"/>
      <w:numFmt w:val="decimal"/>
      <w:lvlText w:val="%7."/>
      <w:lvlJc w:val="left"/>
      <w:pPr>
        <w:ind w:left="5040" w:hanging="360"/>
      </w:pPr>
    </w:lvl>
    <w:lvl w:ilvl="7" w:tplc="84453804" w:tentative="1">
      <w:start w:val="1"/>
      <w:numFmt w:val="lowerLetter"/>
      <w:lvlText w:val="%8."/>
      <w:lvlJc w:val="left"/>
      <w:pPr>
        <w:ind w:left="5760" w:hanging="360"/>
      </w:pPr>
    </w:lvl>
    <w:lvl w:ilvl="8" w:tplc="84453804" w:tentative="1">
      <w:start w:val="1"/>
      <w:numFmt w:val="lowerRoman"/>
      <w:lvlText w:val="%9."/>
      <w:lvlJc w:val="right"/>
      <w:pPr>
        <w:ind w:left="6480" w:hanging="180"/>
      </w:pPr>
    </w:lvl>
  </w:abstractNum>
  <w:abstractNum w:abstractNumId="48519454">
    <w:multiLevelType w:val="hybridMultilevel"/>
    <w:lvl w:ilvl="0" w:tplc="188816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519454">
    <w:abstractNumId w:val="48519454"/>
  </w:num>
  <w:num w:numId="48519455">
    <w:abstractNumId w:val="4851945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99075498" Type="http://schemas.microsoft.com/office/2011/relationships/commentsExtended" Target="commentsExtended.xml"/><Relationship Id="rId988400662" Type="http://schemas.microsoft.com/office/2011/relationships/people" Target="people.xml"/><Relationship Id="rId19566638d098ab603" Type="http://schemas.openxmlformats.org/officeDocument/2006/relationships/hyperlink" Target="https://gd.eppo.int/taxon/NAUPXA/" TargetMode="External"/><Relationship Id="rId46836638d098ab644" Type="http://schemas.openxmlformats.org/officeDocument/2006/relationships/hyperlink" Target="https://gd.eppo.int/taxon/NAUPXA/categorization" TargetMode="External"/><Relationship Id="rId46086638d098abf05" Type="http://schemas.openxmlformats.org/officeDocument/2006/relationships/hyperlink" Target="https://gd.eppo.int/taxon/NAUPXA/photos" TargetMode="External"/><Relationship Id="rId90376638d098add3e" Type="http://schemas.openxmlformats.org/officeDocument/2006/relationships/hyperlink" Target="http://boldsystems.org" TargetMode="External"/><Relationship Id="rId93036638d098add61" Type="http://schemas.openxmlformats.org/officeDocument/2006/relationships/hyperlink" Target="https://qbank.eppo.int" TargetMode="External"/><Relationship Id="rId99636638d098ae453" Type="http://schemas.openxmlformats.org/officeDocument/2006/relationships/hyperlink" Target="http://www.agriculture.gov.au/SiteCollectionDocuments/ba/memos/2005/2005_04a.pdf" TargetMode="External"/><Relationship Id="rId56526638d098ae572" Type="http://schemas.openxmlformats.org/officeDocument/2006/relationships/hyperlink" Target="https://doi.org/10.7717/peerj.6196" TargetMode="External"/><Relationship Id="rId47886638d098ae670" Type="http://schemas.openxmlformats.org/officeDocument/2006/relationships/hyperlink" Target="https://gd.eppo.int/taxon/%20NAUPX%20A/documents" TargetMode="External"/><Relationship Id="rId75446638d098ae6a1" Type="http://schemas.openxmlformats.org/officeDocument/2006/relationships/hyperlink" Target="https://www.ncbi.nlm.nih.gov/genba%20nk/" TargetMode="External"/><Relationship Id="rId43486638d098ae712" Type="http://schemas.openxmlformats.org/officeDocument/2006/relationships/hyperlink" Target="https://doi.org/10.5281/zenodo.51884" TargetMode="External"/><Relationship Id="rId52116638d098aebde" Type="http://schemas.openxmlformats.org/officeDocument/2006/relationships/hyperlink" Target="https://gd.eppo.int" TargetMode="External"/><Relationship Id="rId18996638d098aec71" Type="http://schemas.openxmlformats.org/officeDocument/2006/relationships/hyperlink" Target="https://doi.org/10.1111/epp.12833" TargetMode="External"/><Relationship Id="rId95306638d098abe16" Type="http://schemas.openxmlformats.org/officeDocument/2006/relationships/image" Target="media/imgrId95306638d098abe16.jpg"/><Relationship Id="rId45496638d098ad6b5" Type="http://schemas.openxmlformats.org/officeDocument/2006/relationships/image" Target="media/imgrId45496638d098ad6b5.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