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Naupactus xanthographus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Naupactus xanthographus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Leptocerus xanthographus</w:t>
            </w:r>
            <w:r>
              <w:rPr>
                <w:rFonts w:ascii="Calibri" w:hAnsi="Calibri" w:eastAsia="Calibri" w:cs="Calibri"/>
                <w:color w:val="000000"/>
                <w:position w:val="-3"/>
                <w:sz w:val="22"/>
                <w:szCs w:val="22"/>
              </w:rPr>
              <w:t xml:space="preserve"> Germar, </w:t>
            </w:r>
            <w:r>
              <w:rPr>
                <w:rFonts w:ascii="Calibri" w:hAnsi="Calibri" w:eastAsia="Calibri" w:cs="Calibri"/>
                <w:i/>
                <w:iCs/>
                <w:color w:val="000000"/>
                <w:position w:val="-3"/>
                <w:sz w:val="22"/>
                <w:szCs w:val="22"/>
              </w:rPr>
              <w:t xml:space="preserve">Pantomorus xanthographus</w:t>
            </w:r>
            <w:r>
              <w:rPr>
                <w:rFonts w:ascii="Calibri" w:hAnsi="Calibri" w:eastAsia="Calibri" w:cs="Calibri"/>
                <w:color w:val="000000"/>
                <w:position w:val="-3"/>
                <w:sz w:val="22"/>
                <w:szCs w:val="22"/>
              </w:rPr>
              <w:t xml:space="preserve"> Durán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fruit tree weevil, grapevine weevil</w:t>
            </w:r>
            <w:hyperlink r:id="rId78006aaa66034f36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55616aaa66034f3a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NAUPXA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617790" name="name37746aaa66034fa6b" descr="1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61.jpg"/>
                          <pic:cNvPicPr/>
                        </pic:nvPicPr>
                        <pic:blipFill>
                          <a:blip r:embed="rId67896aaa66034fa69" cstate="print"/>
                          <a:stretch>
                            <a:fillRect/>
                          </a:stretch>
                        </pic:blipFill>
                        <pic:spPr>
                          <a:xfrm>
                            <a:off x="0" y="0"/>
                            <a:ext cx="2160000" cy="1281600"/>
                          </a:xfrm>
                          <a:prstGeom prst="rect">
                            <a:avLst/>
                          </a:prstGeom>
                          <a:ln w="0">
                            <a:noFill/>
                          </a:ln>
                        </pic:spPr>
                      </pic:pic>
                    </a:graphicData>
                  </a:graphic>
                </wp:inline>
              </w:drawing>
            </w:r>
            <w:hyperlink r:id="rId70596aaa66034fb5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1821) is a neotropical genus of broad-nosed weevils containing approximately 200 species distributed from Southern Mexico to Argentina (del Río &amp; Lanteri, 2019).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was first described by Germar in 1824, who previously classified the species as </w:t>
      </w:r>
      <w:r>
        <w:rPr>
          <w:rFonts w:ascii="Calibri" w:hAnsi="Calibri" w:eastAsia="Calibri" w:cs="Calibri"/>
          <w:i/>
          <w:iCs/>
          <w:color w:val="000000"/>
          <w:sz w:val="22"/>
          <w:szCs w:val="22"/>
        </w:rPr>
        <w:t xml:space="preserve">Leptocerus xanthographus</w:t>
      </w:r>
      <w:r>
        <w:rPr>
          <w:rFonts w:ascii="Calibri" w:hAnsi="Calibri" w:eastAsia="Calibri" w:cs="Calibri"/>
          <w:color w:val="000000"/>
          <w:sz w:val="22"/>
          <w:szCs w:val="22"/>
        </w:rPr>
        <w:t xml:space="preserve"> (Elgueta &amp; Marvaldi,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been recorded on many woody plants, but also on some herbaceous hosts, in-cluding field crops such as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and weeds. Many cultivated woody fruit trees and bushes are hosts, including several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species. In South America,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is one of its preferred host plants (Lanteri &amp; del Río, 2017). In its native range in South America,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moved onto many new host plants, including recent commercial crops, exotic to that continent, such as blueberries. It is noted that all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species are polyphagous, but that they show host preferences.</w:t>
      </w: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paraguariensis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is native to South America, East of the Andes. The native range includes Southern Brazil, Paraguay, Uruguay and Central-Northeastern Argentina. The species is non-native to Chile, where it was first introduced in the 1920s–1930s (Gonzalez, 1983). It has also been introduced to the Juan Fernandez Islands and Easter Island (Guzmán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Lanteri &amp; del Río, 2017). The species is not known to be established anywhere outside of South America.</w:t>
      </w:r>
      <w:r>
        <w:drawing>
          <wp:inline distT="0" distB="0" distL="0" distR="0">
            <wp:extent cx="6120000" cy="3067200"/>
            <wp:docPr id="82216831" name="name96576aaa660350e0a" descr="NAUPX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UPXA_distribution_map.jpg"/>
                    <pic:cNvPicPr/>
                  </pic:nvPicPr>
                  <pic:blipFill>
                    <a:blip r:embed="rId32606aaa660350e0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Santa Catarina), Chile (Easter Island), Paraguay,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reproduces sexually and the female lay eggs in clusters in the upper parts of the plants (normally in protected areas such as crevices, e.g. within cracks of bark)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female can lay between 200 and 600 eggs during her lifetime (R. Ripa, pers. comm. 2019). On grapevine, eggs are usually laid on the upper part of the trunk or on  branches in plant parts protected from the sun. Eggs may incidentally be laid in dried rolled leaves, although this has only been observed on citrus leaves (R. Ripa, pers. comm. 2019) or where  leaves have been rolled by mechanical damage or other pests (e.g. tortricids in tender leaves in peaches)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eggs are laid in summer and autumn (January to the end of March or the beginning of April) (González, 1989). Egg development time varies depending on the ambient temperatures. In the field, egg development probably takes at least 30 days in the summer (A. Lanteri, pers. comm. 2019). Newly hatched larvae fall to the ground, enter the soil and start to feed on the rootlets of the host plants. The larvae generally live in the soil at depths of 20–60 cm, and rarely below that, although they have been recorded up to 120 cm in certain soil textures (Ripa, 1992; R. Ripa, pers. comm. 2019). The development of the larval stage takes on average 9 months, with five instars in total (R. Ripa, pers. comm. 2019). According to Ripa (1992), in Chile, there are larvae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soil in a pupal cell which is lined with body secretions. The development of the pupal cell and pupation occur at depths of 20–30 cm below the surface (R. Ripa, pers. comm. 2019; Vicchi, 2014). The pupal stage requires about 30 days before the adult starts to emerge. On emergence, the adult requires at least 30 days in the soil to mature and harden the exoskeleton before it can bore an exit gallery to the surface of the soil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generally univoltine (i.e. has one generation per year), although the life cycle may be prolonged according to climatic conditions. In the literature, the life cycle is reported to take between 12 and 16 months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Lanteri &amp; del Río, 2017 citing González, 1983 and Ripa, 1986; Ripa, 1992). However, in dry areas and during very dry summers, the larval development is longer and will continue until the next spring or summer. In this case the life cycle lasts 16–18 months (A. Lanteri, pers. comm. 2019). Some life stages (larvae, pupae, adults) are present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two main peaks of adult emergence: the first is in late spring (starting in September) and the second in early summer (starting in December); a third may occur in late summer to early autumn (March to April in Chile, Valparaiso region; Ripa, 1986). According to Caballero (1972), adults can live for 8 months in laboratory conditions. However, other observations under laboratory conditions have observed a maximum survival of 4 months for adults (A. Lanteri, pers. comm. 2019). Adults feed on the aerial parts of host plants (predominantly leaves but also flower buds and leaf buds). Although feeding on fruit has been mentioned in the literature, it is considered highly unlikely because the mouthparts of the adults are not suited to this (EPPO, 2020). Following mating, females can oviposit 30–35 days after emergence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generally seen above ground when temperatures are between 15 and 40°C, but they are more frequent over 25°C. At low temperatures (5–10°C) adults become very slow. Below 1–2°C, they are completely immobile. There are no data on survival below 0°C but it is expected that they may survive for short periods (24–48 h) at temperatures below 0°C (R. Ripa, pers. comm. 2019). Adults stop emerging from the soil in the autumn months, when the temperatures in the soil fall below 13.5°C (in Chile around the month of May until September to October)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Humidity is very important for survival of eggs and larvae, and is essential for the emergence of adults (they usually emerge after rain or irrigation). In South America, the distribution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limited by minimum and maximum precipitation levels (1000–2000 mm maximum annual precipitation), except when crops are irrigated. Artificial irrigation is essential for the survival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in Mendoza province (Argentina) and the central area of Chile, where the environment is very dry (A. Lanteri, pers. comm.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foliage can show feeding damage where the adults feed from the margins of the leaves and create semicircular indentations. On grapevine, the most obvious damage is caused by adults that feed on leaves as well as buds when no leaves are available and produce ‘notching’ on the leaf margins (González, 1989; Ripa, 1992). Infestation may cause a decrease in size of shoots, leaves or bunches of grapes, as well as signs similar to potassium deficiency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(grooves) caused by larvae may be visible on the thicker roots along with an absence of small roots if the host plant is uprooted. Feeding on the roots may also cause symptoms above ground, i.e. reduced foliage and growth. Plants appear weak and show chlorosis because of the reduced water and nutrient uptake and potassium deficiency. Severe larval damage on the roots produces wilting of the foliage and may kill the plants (González, 1989;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0" w:after="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(ellipsoidal and bluntly rounded at the ends) and yellow, and between 1 and 1.2 mm in length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Eggs are often arranged in clusters of 25–45 eggs in which they adhere to each other with a residue (sticky at egg laying).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white in colour with brown head capsule and mandibles. First-instar larvae measure approximately 1.5 mm and mature larvae can reach up to 20 mm. The last abdominal segment has four thin dark bands. Morphological identification of larvae is difficult and therefore larvae should be reared to adults to allow identification.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creamy white (or slightly yellowish), changing to brown before eclosion, and are 11–22 mm in length (Loiácono &amp; Diaz, 1992, citing others), although 22 mm could be an outlier and a more normal maximum would be 15 mm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brown or grey-brown with white or white/yellow stripes on pronotum and elytra. They can be dark brown when they age. Adults show a high level of sexual dimorphism. The body length of females is 12–16 mm and that of males is smaller, 11–13 mm. Female rostrum is 1–1.5x as long as wide at the apex. Males are more slender than females with their rostrum being 1.25x as long as wide. Morphological characters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adults are given in several publications, with the most recent being Lanteri and del Río (2017). Morphologically, adults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can be confused with other species of the same genus, such as </w:t>
      </w:r>
      <w:r>
        <w:rPr>
          <w:rFonts w:ascii="Calibri" w:hAnsi="Calibri" w:eastAsia="Calibri" w:cs="Calibri"/>
          <w:i/>
          <w:iCs/>
          <w:color w:val="000000"/>
          <w:sz w:val="22"/>
          <w:szCs w:val="22"/>
        </w:rPr>
        <w:t xml:space="preserve">N. dissimilis, N. mimicus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navicularis</w:t>
      </w:r>
      <w:r>
        <w:rPr>
          <w:rFonts w:ascii="Calibri" w:hAnsi="Calibri" w:eastAsia="Calibri" w:cs="Calibri"/>
          <w:color w:val="000000"/>
          <w:sz w:val="22"/>
          <w:szCs w:val="22"/>
        </w:rPr>
        <w:t xml:space="preserve"> (Lanteri &amp; del Río, 2017), but can be distinguished from </w:t>
      </w: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cervinus.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by larvae on roots may be detected if the host plant is uprooted, and there may also be above-ground symptoms (see 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of adults on the aerial parts of the plants may also be visible. The feeding damage by adults can be mistaken for other weevil species, particularly broad-nosed weevils. On grapevine, adults are particularly injurious to young plants and sprouting of plants in spring. A low abundance of the species (all life stages) is difficult to detect.</w:t>
      </w:r>
    </w:p>
    <w:p>
      <w:pPr>
        <w:widowControl w:val="on"/>
        <w:pBdr/>
        <w:spacing w:before="220" w:after="220" w:line="240" w:lineRule="auto"/>
        <w:ind w:left="0" w:right="0"/>
        <w:jc w:val="both"/>
      </w:pPr>
      <w:r>
        <w:rPr>
          <w:rFonts w:ascii="Calibri" w:hAnsi="Calibri" w:eastAsia="Calibri" w:cs="Calibri"/>
          <w:color w:val="000000"/>
          <w:sz w:val="22"/>
          <w:szCs w:val="22"/>
        </w:rPr>
        <w:t xml:space="preserve">As an alternative to morphological identification of adults, molecular methods can be used and are detailed in a number of publications (e.g. del Río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over 160 accessions entered in the GenBank database (2019) and barcodes based on Cytochrome oxidase 1 (COI) are available (e.g. see </w:t>
      </w:r>
      <w:hyperlink r:id="rId48256aaa6603514d0" w:history="1">
        <w:r>
          <w:rPr>
            <w:rFonts w:ascii="Calibri" w:hAnsi="Calibri" w:eastAsia="Calibri" w:cs="Calibri"/>
            <w:color w:val="0000CC"/>
            <w:sz w:val="22"/>
            <w:szCs w:val="22"/>
            <w:u w:val="single"/>
          </w:rPr>
          <w:t xml:space="preserve">http://boldsystems.org</w:t>
        </w:r>
      </w:hyperlink>
      <w:r>
        <w:rPr>
          <w:rFonts w:ascii="Calibri" w:hAnsi="Calibri" w:eastAsia="Calibri" w:cs="Calibri"/>
          <w:color w:val="000000"/>
          <w:sz w:val="22"/>
          <w:szCs w:val="22"/>
        </w:rPr>
        <w:t xml:space="preserve"> and EPPO-Q-bank </w:t>
      </w:r>
      <w:hyperlink r:id="rId20486aaa660351504" w:history="1">
        <w:r>
          <w:rPr>
            <w:rFonts w:ascii="Calibri" w:hAnsi="Calibri" w:eastAsia="Calibri" w:cs="Calibri"/>
            <w:color w:val="0000CC"/>
            <w:sz w:val="22"/>
            <w:szCs w:val="22"/>
            <w:u w:val="single"/>
          </w:rPr>
          <w:t xml:space="preserve">https://qbank.eppo.int</w:t>
        </w:r>
      </w:hyperlink>
      <w:r>
        <w:rPr>
          <w:rFonts w:ascii="Calibri" w:hAnsi="Calibri" w:eastAsia="Calibri" w:cs="Calibri"/>
          <w:color w:val="000000"/>
          <w:sz w:val="22"/>
          <w:szCs w:val="22"/>
        </w:rPr>
        <w:t xml:space="preserve">). A PCR method was developed to differentiate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(aiming at distinguishing eggs in traded commodities;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also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This may be relevant for detection of introductions in the EPPO region because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has already been introduced in a number of countries (e.g. Switzerland) and is spreading (Germann,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especially grapes, carrying adults in trade and the packaging material associated with infested fruit, is a major pathway for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This weevil has been reported as travelling on fruit (e.g. CABI, 2006; USDA, 2015; USDA, 2008 citing AQAS, 2007; USDA, 2007; Biosecurity Australia, 2005), with numerous interceptions, for example on grapes and apples (for exhaustive information, see EPPO, 2020). 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in the EPPO region on host plants for planting as high, if these plants have growing media attached. Larvae and pupae can be present in the growing medium and the presence of root material can allow for larval feeding. Bare-rooted host plants for planting were considered to be a moderate risk as eggs may be present on the material and the presence of root material can provide food material for larvae, although because only early life stages may be present they are less likely to survive. For unrooted cuttings and rooted cuttings in small plugs, this was rated a very low risk of entry.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may spread naturally but since the species is flightless, natural spread is expected to be slow. Additionally,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normally climbs on a plant and moves within this plant. It may spread between plants with branch contact or structures connecting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one of the most severely affected host plants is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with damage reported in Chile, Argentina (Mendoza) and Brazil (Rio Grande do Sul) (Caballero, 1972; Ripa, 1986; Klein &amp; Waterhouse, 2000; Lanteri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mentioned in the management recommendations or pest inventories of various fruit and field crops in Argentina and Chile (for details see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where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an introduced species, it is regarded as one of the most important pests of grapevine (González, 1989; Ripa, 1992). Additionally, in Chile, attacks on peach and nectarine have also been reported. Caballero (1972) noted that mature peach trees attacked by an average of 100 larvae decline in their production or die after 4–5 years of attack. In Chile, there is no economic damage on Citrus, but Citrus crops support the pest and Citrus fruit have been a means of movement of the pest. In Chile, reductions in grape production of up to 30% have been reported, with damage reaching up to 60% in one region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and Uruguay (where it is native),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usually not very damaging. Some damage has been recorded on alfalfa and garden plants in Argentina, but to a lesser extent than in Chile (Lanteri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In Argentina, it causes damage in combination with other weevil species (Lanteri, pers. comm.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caused export difficulties in countries where it occurs because of the quarantine requirements of importing countries. In Chile, the presence of adult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on table grapes for export has resulted in the rejection of the commodity: between 1981/82 and 1982/1983, 43.6% and 38.6% of checked lots were rejected for export, respectively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Physical barriers on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flightless, establishment of a toxic barrier on the trunk of individual host can be an effective method of preventing adults reaching the foliage of the host plant. This method involves the placement of a plastic film smeared with an insecticide paste (INIA Pasta 82.4: contains 4% concentration of azinphos-methyl) that causes insect mortality when it walks on it (Ripa, 1992). The insecticide bands must be installed before the emergence of the adults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production areas, azadirachtin was found to be as effective as chemical treatments (Pinto &amp; Zaviezo, 2003).</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application (e.g. indoxacarb) on the foliage has been applied in Chile against adults. Effectiveness can be achieved for up to 30 days or more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Polyethylene sheets can be placed under the host plants and the trunks can be tapped (with a rubber mallet) so that adults may fall from the infested plants and be collected in the polyethylene sheets (Ripa, 1992). However, this is mostly used as a monitoring method. Weed control is used to lower infestations by removing food sources for the larvae. New crops should not be established in contaminated fields until the pest has been eradicated. Finally, ploughing to a sufficient depth would damage and disturb life stages in the soil (R. Ripa, pers. comm.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hosts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have high economic importance in the EPPO region. In particular, the EPPO PRA highlighted that yield losses may be expected in grapevine, which is a high-value crop in the EPPO region. Damage could affect plants in production and young plants. Host fruit trees and vines are perennial plants and the establishment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long-term consequences.</w:t>
      </w:r>
    </w:p>
    <w:p>
      <w:pPr>
        <w:widowControl w:val="on"/>
        <w:pBdr/>
        <w:spacing w:before="220" w:after="220" w:line="240" w:lineRule="auto"/>
        <w:ind w:left="0" w:right="0"/>
        <w:jc w:val="both"/>
      </w:pPr>
      <w:r>
        <w:rPr>
          <w:rFonts w:ascii="Calibri" w:hAnsi="Calibri" w:eastAsia="Calibri" w:cs="Calibri"/>
          <w:color w:val="000000"/>
          <w:sz w:val="22"/>
          <w:szCs w:val="22"/>
        </w:rPr>
        <w:t xml:space="preserve">Loss of fruit harvest or young plants will depend on the type of crop, as well as on the pests already present and how they are managed. The impact may be major in the first years after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built up damaging populations, before new control techniques are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introduced into the EPPO region, its presence may have a high impact on major fruit exporters. The pest is a quarantine pest for many countries in the Americas and Asia, and there is also a large trade of the main fruit and plant commodities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an impact on species other than host fruit trees and vines, or on host plants in the wild. Such effects are apparently not observed in South America. It may have an impact in gardens or on alfalfa, as reported from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 EPPO PRA (EPPO, 2020) recommended phytosanitary measures for plants for planting (other than seeds, in vitro plants, unrooted cuttings, and rooted cuttings in small plugs) with options such as pest-free areas, pest-free places of production, pest-free production sites and post-entry quarantine. For rooted cuttings in small plugs, clean growing medium should be used along with inspection and the treatment of plants against adults. For fruit of confirmed hosts, recommended phytosanitary measures include pest-free areas, pest-free places of production, pest-free production sites, harvesting during the South American winter (with information on absence of adults), washing of fruit (where feasible for the fruit concerned) or treatment of crop plus visual inspection in the crop and the consignment. In addition, both for plants and fruits, handling and packaging methods should be applied to prevent contamination by adults during storage and transport.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Olivares N, Luppichini P &amp; Hinrichsen P (2015) A PCR-based diagnostic system for differentiating two weevil species (Coleoptera: Curculionidae) of economic importance to the Chilean citrus industry.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(1),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Sánchez E, Olivares N &amp; Hinrichsen P (2021) Multiplex TaqMan real-time PCR assay for sensitive detection of two weevil species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90–99.</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Australia (2005) Revised Draft Import Risk Analysis Report for Table Grapes from Chile. Part B. Commonwealth of Australia. Australian Government, available at: </w:t>
      </w:r>
      <w:hyperlink r:id="rId89846aaa660351cc2" w:history="1">
        <w:r>
          <w:rPr>
            <w:rFonts w:ascii="Calibri" w:hAnsi="Calibri" w:eastAsia="Calibri" w:cs="Calibri"/>
            <w:color w:val="0000CC"/>
            <w:sz w:val="22"/>
            <w:szCs w:val="22"/>
            <w:u w:val="single"/>
          </w:rPr>
          <w:t xml:space="preserve">http://www.agriculture.gov.au/SiteCollectionDocuments/ba/memos/2005/2005_04a.pdf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(2006) </w:t>
      </w:r>
      <w:r>
        <w:rPr>
          <w:rFonts w:ascii="Calibri" w:hAnsi="Calibri" w:eastAsia="Calibri" w:cs="Calibri"/>
          <w:i/>
          <w:iCs/>
          <w:color w:val="000000"/>
          <w:sz w:val="22"/>
          <w:szCs w:val="22"/>
        </w:rPr>
        <w:t xml:space="preserve">Crop Protection Compendium, CD-ROM</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Caballero VC (1972) Algunos aspectos de la biología y control de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en durazneros en Chile. </w:t>
      </w:r>
      <w:r>
        <w:rPr>
          <w:rFonts w:ascii="Calibri" w:hAnsi="Calibri" w:eastAsia="Calibri" w:cs="Calibri"/>
          <w:i/>
          <w:iCs/>
          <w:color w:val="000000"/>
          <w:sz w:val="22"/>
          <w:szCs w:val="22"/>
        </w:rPr>
        <w:t xml:space="preserve">Revista Peruana De Entomología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190–194.</w:t>
      </w:r>
    </w:p>
    <w:p>
      <w:pPr>
        <w:widowControl w:val="on"/>
        <w:pBdr/>
        <w:spacing w:before="220" w:after="220" w:line="240" w:lineRule="auto"/>
        <w:ind w:left="0" w:right="0"/>
        <w:jc w:val="left"/>
      </w:pPr>
      <w:r>
        <w:rPr>
          <w:rFonts w:ascii="Calibri" w:hAnsi="Calibri" w:eastAsia="Calibri" w:cs="Calibri"/>
          <w:color w:val="000000"/>
          <w:sz w:val="22"/>
          <w:szCs w:val="22"/>
        </w:rPr>
        <w:t xml:space="preserve">del Río MG &amp; Lanteri AA (2019) Recognition of species groups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(Coleoptera: Curculionidae) from Argentina and neighboring countries. </w:t>
      </w:r>
      <w:r>
        <w:rPr>
          <w:rFonts w:ascii="Calibri" w:hAnsi="Calibri" w:eastAsia="Calibri" w:cs="Calibri"/>
          <w:i/>
          <w:iCs/>
          <w:color w:val="000000"/>
          <w:sz w:val="22"/>
          <w:szCs w:val="22"/>
        </w:rPr>
        <w:t xml:space="preserve">PeerJ </w:t>
      </w:r>
      <w:r>
        <w:rPr>
          <w:rFonts w:ascii="Calibri" w:hAnsi="Calibri" w:eastAsia="Calibri" w:cs="Calibri"/>
          <w:color w:val="000000"/>
          <w:sz w:val="22"/>
          <w:szCs w:val="22"/>
        </w:rPr>
        <w:t xml:space="preserve">6, e6196. </w:t>
      </w:r>
      <w:hyperlink r:id="rId47636aaa660351de9" w:history="1">
        <w:r>
          <w:rPr>
            <w:rFonts w:ascii="Calibri" w:hAnsi="Calibri" w:eastAsia="Calibri" w:cs="Calibri"/>
            <w:color w:val="0000CC"/>
            <w:sz w:val="22"/>
            <w:szCs w:val="22"/>
            <w:u w:val="single"/>
          </w:rPr>
          <w:t xml:space="preserve">https://doi.org/10.7717/peerj.6196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del Río M, Rodriguero MS, Confalonieri VA &amp; Lanteri AA (2018) Molecular and morphological phylogenetic analysis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(Curculionidae: Entiminae) and allied genera: The dilemma of classification. </w:t>
      </w:r>
      <w:r>
        <w:rPr>
          <w:rFonts w:ascii="Calibri" w:hAnsi="Calibri" w:eastAsia="Calibri" w:cs="Calibri"/>
          <w:i/>
          <w:iCs/>
          <w:color w:val="000000"/>
          <w:sz w:val="22"/>
          <w:szCs w:val="22"/>
        </w:rPr>
        <w:t xml:space="preserve">Diversity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Elgueta M &amp; Marvaldi AE (2006) Lista sistemática de las especies de curculionoidea (Insecta: Coleoptera) presentes en Chile, con su sinonimia. Publicacion Ocasional 48. 79 p. Museo Nacional de Historia natural, Santiago, Chile.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Paris. Available at </w:t>
      </w:r>
      <w:hyperlink r:id="rId93416aaa660351eeb" w:history="1">
        <w:r>
          <w:rPr>
            <w:rFonts w:ascii="Calibri" w:hAnsi="Calibri" w:eastAsia="Calibri" w:cs="Calibri"/>
            <w:color w:val="0000CC"/>
            <w:sz w:val="22"/>
            <w:szCs w:val="22"/>
            <w:u w:val="single"/>
          </w:rPr>
          <w:t xml:space="preserve">https://gd.eppo.int/taxon/ NAUPX A/documents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GenBank (2019) </w:t>
      </w:r>
      <w:hyperlink r:id="rId92506aaa660351f1c" w:history="1">
        <w:r>
          <w:rPr>
            <w:rFonts w:ascii="Calibri" w:hAnsi="Calibri" w:eastAsia="Calibri" w:cs="Calibri"/>
            <w:color w:val="0000CC"/>
            <w:sz w:val="22"/>
            <w:szCs w:val="22"/>
            <w:u w:val="single"/>
          </w:rPr>
          <w:t xml:space="preserve">https://www.ncbi.nlm.nih.gov/genba nk/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Germann C (2016) First record of the neozoic species </w:t>
      </w:r>
      <w:r>
        <w:rPr>
          <w:rFonts w:ascii="Calibri" w:hAnsi="Calibri" w:eastAsia="Calibri" w:cs="Calibri"/>
          <w:i/>
          <w:iCs/>
          <w:color w:val="000000"/>
          <w:sz w:val="22"/>
          <w:szCs w:val="22"/>
        </w:rPr>
        <w:t xml:space="preserve">Naupactus cervinus </w:t>
      </w:r>
      <w:r>
        <w:rPr>
          <w:rFonts w:ascii="Calibri" w:hAnsi="Calibri" w:eastAsia="Calibri" w:cs="Calibri"/>
          <w:color w:val="000000"/>
          <w:sz w:val="22"/>
          <w:szCs w:val="22"/>
        </w:rPr>
        <w:t xml:space="preserve">Boheman, 1840 (Coleoptera, Curculionidae, Entiminae) for Switzerland with a short review of its spreading and food plants. </w:t>
      </w:r>
      <w:r>
        <w:rPr>
          <w:rFonts w:ascii="Calibri" w:hAnsi="Calibri" w:eastAsia="Calibri" w:cs="Calibri"/>
          <w:i/>
          <w:iCs/>
          <w:color w:val="000000"/>
          <w:sz w:val="22"/>
          <w:szCs w:val="22"/>
        </w:rPr>
        <w:t xml:space="preserve">Bulletin de La Société Entomologique Suisse</w:t>
      </w:r>
      <w:r>
        <w:rPr>
          <w:rFonts w:ascii="Calibri" w:hAnsi="Calibri" w:eastAsia="Calibri" w:cs="Calibri"/>
          <w:color w:val="000000"/>
          <w:sz w:val="22"/>
          <w:szCs w:val="22"/>
        </w:rPr>
        <w:t xml:space="preserve">. </w:t>
      </w:r>
      <w:hyperlink r:id="rId82266aaa660351f8e" w:history="1">
        <w:r>
          <w:rPr>
            <w:rFonts w:ascii="Calibri" w:hAnsi="Calibri" w:eastAsia="Calibri" w:cs="Calibri"/>
            <w:color w:val="0000CC"/>
            <w:sz w:val="22"/>
            <w:szCs w:val="22"/>
            <w:u w:val="single"/>
          </w:rPr>
          <w:t xml:space="preserve">https://doi.org/10.5281/zenodo.51884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RH (1983) Management of grapevine pests. Manejo de plagas de la vid. Facultad de Ciencias Agrarias, Veterinarias y Forestales, Universidad de Chile Santiago Chile,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(1989) Insectos y acaros de importancia agricola y cuarentenaria en Chile. Universidad de Chile: 310 pp.</w:t>
      </w:r>
    </w:p>
    <w:p>
      <w:pPr>
        <w:widowControl w:val="on"/>
        <w:pBdr/>
        <w:spacing w:before="220" w:after="220" w:line="240" w:lineRule="auto"/>
        <w:ind w:left="0" w:right="0"/>
        <w:jc w:val="left"/>
      </w:pPr>
      <w:r>
        <w:rPr>
          <w:rFonts w:ascii="Calibri" w:hAnsi="Calibri" w:eastAsia="Calibri" w:cs="Calibri"/>
          <w:color w:val="000000"/>
          <w:sz w:val="22"/>
          <w:szCs w:val="22"/>
        </w:rPr>
        <w:t xml:space="preserve">Guzmán NV, Lanteri AA &amp; Confalonieri VA (2012) Colonization ability of two invasive weevils with different reproductive modes. </w:t>
      </w:r>
      <w:r>
        <w:rPr>
          <w:rFonts w:ascii="Calibri" w:hAnsi="Calibri" w:eastAsia="Calibri" w:cs="Calibri"/>
          <w:i/>
          <w:iCs/>
          <w:color w:val="000000"/>
          <w:sz w:val="22"/>
          <w:szCs w:val="22"/>
        </w:rPr>
        <w:t xml:space="preserve">Evolutionary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1371–1390.</w:t>
      </w:r>
    </w:p>
    <w:p>
      <w:pPr>
        <w:widowControl w:val="on"/>
        <w:pBdr/>
        <w:spacing w:before="220" w:after="220" w:line="240" w:lineRule="auto"/>
        <w:ind w:left="0" w:right="0"/>
        <w:jc w:val="left"/>
      </w:pPr>
      <w:r>
        <w:rPr>
          <w:rFonts w:ascii="Calibri" w:hAnsi="Calibri" w:eastAsia="Calibri" w:cs="Calibri"/>
          <w:color w:val="000000"/>
          <w:sz w:val="22"/>
          <w:szCs w:val="22"/>
        </w:rPr>
        <w:t xml:space="preserve">Klein KC &amp; Waterhouse DF (2000) The distribution and importance of arthropods associated with agriculture and forestry in Chile (Distribucion e importancia de los arthropodos asociados a la agricultura y silvicultura en Chile). ACIAR Monograph No. 68, 234 pp.</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Marvaldi AE &amp; Suarez SM (2002) Gorgojos de la Argentina y sus plantas huespedes, Tomo I: Apionidae y Curculionidae. Publicacion Especial de la Sociedad Entomologica Argentina.</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 &amp; del Río MG (2017)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species group (Curculionidae: Entiminae: Naupactini): a comprehensive taxonomic treatment. </w:t>
      </w:r>
      <w:r>
        <w:rPr>
          <w:rFonts w:ascii="Calibri" w:hAnsi="Calibri" w:eastAsia="Calibri" w:cs="Calibri"/>
          <w:i/>
          <w:iCs/>
          <w:color w:val="000000"/>
          <w:sz w:val="22"/>
          <w:szCs w:val="22"/>
        </w:rPr>
        <w:t xml:space="preserve">Journal of Natural History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Loiácono MS &amp; Días NB (1992) Immature stages of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with notes on its life history.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Luppichini BP, Isla F, Henriquez IU, Olivares N, Fernando PY &amp; Alvarez (2013) Manejo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y otros curculiónidos asociados a vides.</w:t>
      </w:r>
    </w:p>
    <w:p>
      <w:pPr>
        <w:widowControl w:val="on"/>
        <w:pBdr/>
        <w:spacing w:before="220" w:after="220" w:line="240" w:lineRule="auto"/>
        <w:ind w:left="0" w:right="0"/>
        <w:jc w:val="left"/>
      </w:pPr>
      <w:r>
        <w:rPr>
          <w:rFonts w:ascii="Calibri" w:hAnsi="Calibri" w:eastAsia="Calibri" w:cs="Calibri"/>
          <w:color w:val="000000"/>
          <w:sz w:val="22"/>
          <w:szCs w:val="22"/>
        </w:rPr>
        <w:t xml:space="preserve">Pinto L &amp; Zaviezo T (2003) Efectividad de bandas en base a aceites y polibuteno en el control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Ciencia e Investigación Agraria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69–77.</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(1986) Contribución al conocimiento del ciclo del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(Coleóptero: Curculionidae). </w:t>
      </w:r>
      <w:r>
        <w:rPr>
          <w:rFonts w:ascii="Calibri" w:hAnsi="Calibri" w:eastAsia="Calibri" w:cs="Calibri"/>
          <w:i/>
          <w:iCs/>
          <w:color w:val="000000"/>
          <w:sz w:val="22"/>
          <w:szCs w:val="22"/>
        </w:rPr>
        <w:t xml:space="preserve">Agricultura Técnica (Chile)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(1992)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INIA, La Cruz, Chile.</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(2015) Risk Assessment for the Importation of Fresh Lemon (</w:t>
      </w:r>
      <w:r>
        <w:rPr>
          <w:rFonts w:ascii="Calibri" w:hAnsi="Calibri" w:eastAsia="Calibri" w:cs="Calibri"/>
          <w:i/>
          <w:iCs/>
          <w:color w:val="000000"/>
          <w:sz w:val="22"/>
          <w:szCs w:val="22"/>
        </w:rPr>
        <w:t xml:space="preserve">Citrus limon </w:t>
      </w:r>
      <w:r>
        <w:rPr>
          <w:rFonts w:ascii="Calibri" w:hAnsi="Calibri" w:eastAsia="Calibri" w:cs="Calibri"/>
          <w:color w:val="000000"/>
          <w:sz w:val="22"/>
          <w:szCs w:val="22"/>
        </w:rPr>
        <w:t xml:space="preserve">(L.) Burm. f.) Fruit from Northwest Argentina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Pathway-Initiated Risk Analysis of the Importation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spp. Fruit from countries in Central and South America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(2007) Importation of fresh highbush and rabbit-eye blueberry (</w:t>
      </w:r>
      <w:r>
        <w:rPr>
          <w:rFonts w:ascii="Calibri" w:hAnsi="Calibri" w:eastAsia="Calibri" w:cs="Calibri"/>
          <w:i/>
          <w:iCs/>
          <w:color w:val="000000"/>
          <w:sz w:val="22"/>
          <w:szCs w:val="22"/>
        </w:rPr>
        <w:t xml:space="preserve">Vaccinium corymbosum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&amp; V. virgatum </w:t>
      </w:r>
      <w:r>
        <w:rPr>
          <w:rFonts w:ascii="Calibri" w:hAnsi="Calibri" w:eastAsia="Calibri" w:cs="Calibri"/>
          <w:color w:val="000000"/>
          <w:sz w:val="22"/>
          <w:szCs w:val="22"/>
        </w:rPr>
        <w:t xml:space="preserve">Aiton) fruit into the Continental United States from Uruguay,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Vicchi FR (2014) Biodiversidad de artrópodos en un suelo cultivado con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L. en Barrancas, Mendoza. Monitoreo de larvas rizófagas. Working paper.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2019. The expert working group was composed of N. Avendaño Garcia (Tecnologias y Servicios Agrarios, ES), G. Franco (Agenzia regionale per lo sviluppo rurale del Friuli Venezia Giulia, IT), A. Korycinska (Defra, GB), A. Lanteri (Museo de La Plata, AR), R. Ripa (Centro de Entomología Aplicada Ltda, CL), D. van der Gaag (NPPO, NL), A. Wilstermann (Julius Kuehn-Institute, DE) and M. Zekiri (Ministry of Agriculture Forestry and Water Economy, MC).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datasheets on pests recommended for regulation. Available online. </w:t>
      </w:r>
      <w:hyperlink r:id="rId92356aaa66035249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br/>
        <w:t xml:space="preserve">EPPO (2022) Datasheets on pests recommended for regulation. </w:t>
      </w:r>
      <w:r>
        <w:rPr>
          <w:rFonts w:ascii="Calibri" w:hAnsi="Calibri" w:eastAsia="Calibri" w:cs="Calibri"/>
          <w:i/>
          <w:iCs/>
          <w:color w:val="000000"/>
          <w:sz w:val="22"/>
          <w:szCs w:val="22"/>
        </w:rPr>
        <w:t xml:space="preserve">Naupactus xanthographus.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374–378. </w:t>
      </w:r>
      <w:hyperlink r:id="rId88636aaa66035252a"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741718">
    <w:multiLevelType w:val="hybridMultilevel"/>
    <w:lvl w:ilvl="0" w:tplc="64614844">
      <w:start w:val="1"/>
      <w:numFmt w:val="decimal"/>
      <w:lvlText w:val="%1."/>
      <w:lvlJc w:val="left"/>
      <w:pPr>
        <w:ind w:left="720" w:hanging="360"/>
      </w:pPr>
    </w:lvl>
    <w:lvl w:ilvl="1" w:tplc="64614844" w:tentative="1">
      <w:start w:val="1"/>
      <w:numFmt w:val="lowerLetter"/>
      <w:lvlText w:val="%2."/>
      <w:lvlJc w:val="left"/>
      <w:pPr>
        <w:ind w:left="1440" w:hanging="360"/>
      </w:pPr>
    </w:lvl>
    <w:lvl w:ilvl="2" w:tplc="64614844" w:tentative="1">
      <w:start w:val="1"/>
      <w:numFmt w:val="lowerRoman"/>
      <w:lvlText w:val="%3."/>
      <w:lvlJc w:val="right"/>
      <w:pPr>
        <w:ind w:left="2160" w:hanging="180"/>
      </w:pPr>
    </w:lvl>
    <w:lvl w:ilvl="3" w:tplc="64614844" w:tentative="1">
      <w:start w:val="1"/>
      <w:numFmt w:val="decimal"/>
      <w:lvlText w:val="%4."/>
      <w:lvlJc w:val="left"/>
      <w:pPr>
        <w:ind w:left="2880" w:hanging="360"/>
      </w:pPr>
    </w:lvl>
    <w:lvl w:ilvl="4" w:tplc="64614844" w:tentative="1">
      <w:start w:val="1"/>
      <w:numFmt w:val="lowerLetter"/>
      <w:lvlText w:val="%5."/>
      <w:lvlJc w:val="left"/>
      <w:pPr>
        <w:ind w:left="3600" w:hanging="360"/>
      </w:pPr>
    </w:lvl>
    <w:lvl w:ilvl="5" w:tplc="64614844" w:tentative="1">
      <w:start w:val="1"/>
      <w:numFmt w:val="lowerRoman"/>
      <w:lvlText w:val="%6."/>
      <w:lvlJc w:val="right"/>
      <w:pPr>
        <w:ind w:left="4320" w:hanging="180"/>
      </w:pPr>
    </w:lvl>
    <w:lvl w:ilvl="6" w:tplc="64614844" w:tentative="1">
      <w:start w:val="1"/>
      <w:numFmt w:val="decimal"/>
      <w:lvlText w:val="%7."/>
      <w:lvlJc w:val="left"/>
      <w:pPr>
        <w:ind w:left="5040" w:hanging="360"/>
      </w:pPr>
    </w:lvl>
    <w:lvl w:ilvl="7" w:tplc="64614844" w:tentative="1">
      <w:start w:val="1"/>
      <w:numFmt w:val="lowerLetter"/>
      <w:lvlText w:val="%8."/>
      <w:lvlJc w:val="left"/>
      <w:pPr>
        <w:ind w:left="5760" w:hanging="360"/>
      </w:pPr>
    </w:lvl>
    <w:lvl w:ilvl="8" w:tplc="64614844" w:tentative="1">
      <w:start w:val="1"/>
      <w:numFmt w:val="lowerRoman"/>
      <w:lvlText w:val="%9."/>
      <w:lvlJc w:val="right"/>
      <w:pPr>
        <w:ind w:left="6480" w:hanging="180"/>
      </w:pPr>
    </w:lvl>
  </w:abstractNum>
  <w:abstractNum w:abstractNumId="75741717">
    <w:multiLevelType w:val="hybridMultilevel"/>
    <w:lvl w:ilvl="0" w:tplc="469660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741717">
    <w:abstractNumId w:val="75741717"/>
  </w:num>
  <w:num w:numId="75741718">
    <w:abstractNumId w:val="757417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8598543" Type="http://schemas.microsoft.com/office/2011/relationships/commentsExtended" Target="commentsExtended.xml"/><Relationship Id="rId301052159" Type="http://schemas.microsoft.com/office/2011/relationships/people" Target="people.xml"/><Relationship Id="rId78006aaa66034f36b" Type="http://schemas.openxmlformats.org/officeDocument/2006/relationships/hyperlink" Target="https://gd.eppo.int/taxon/NAUPXA/" TargetMode="External"/><Relationship Id="rId55616aaa66034f3ae" Type="http://schemas.openxmlformats.org/officeDocument/2006/relationships/hyperlink" Target="https://gd.eppo.int/taxon/NAUPXA/categorization" TargetMode="External"/><Relationship Id="rId70596aaa66034fb59" Type="http://schemas.openxmlformats.org/officeDocument/2006/relationships/hyperlink" Target="https://gd.eppo.int/taxon/NAUPXA/photos" TargetMode="External"/><Relationship Id="rId48256aaa6603514d0" Type="http://schemas.openxmlformats.org/officeDocument/2006/relationships/hyperlink" Target="http://boldsystems.org" TargetMode="External"/><Relationship Id="rId20486aaa660351504" Type="http://schemas.openxmlformats.org/officeDocument/2006/relationships/hyperlink" Target="https://qbank.eppo.int" TargetMode="External"/><Relationship Id="rId89846aaa660351cc2" Type="http://schemas.openxmlformats.org/officeDocument/2006/relationships/hyperlink" Target="http://www.agriculture.gov.au/SiteCollectionDocuments/ba/memos/2005/2005_04a.pdf" TargetMode="External"/><Relationship Id="rId47636aaa660351de9" Type="http://schemas.openxmlformats.org/officeDocument/2006/relationships/hyperlink" Target="https://doi.org/10.7717/peerj.6196" TargetMode="External"/><Relationship Id="rId93416aaa660351eeb" Type="http://schemas.openxmlformats.org/officeDocument/2006/relationships/hyperlink" Target="https://gd.eppo.int/taxon/%20NAUPX%20A/documents" TargetMode="External"/><Relationship Id="rId92506aaa660351f1c" Type="http://schemas.openxmlformats.org/officeDocument/2006/relationships/hyperlink" Target="https://www.ncbi.nlm.nih.gov/genba%20nk/" TargetMode="External"/><Relationship Id="rId82266aaa660351f8e" Type="http://schemas.openxmlformats.org/officeDocument/2006/relationships/hyperlink" Target="https://doi.org/10.5281/zenodo.51884" TargetMode="External"/><Relationship Id="rId92356aaa660352496" Type="http://schemas.openxmlformats.org/officeDocument/2006/relationships/hyperlink" Target="https://gd.eppo.int" TargetMode="External"/><Relationship Id="rId88636aaa66035252a" Type="http://schemas.openxmlformats.org/officeDocument/2006/relationships/hyperlink" Target="https://doi.org/10.1111/epp.12833" TargetMode="External"/><Relationship Id="rId67896aaa66034fa69" Type="http://schemas.openxmlformats.org/officeDocument/2006/relationships/image" Target="media/imgrId67896aaa66034fa69.jpg"/><Relationship Id="rId32606aaa660350e08" Type="http://schemas.openxmlformats.org/officeDocument/2006/relationships/image" Target="media/imgrId32606aaa660350e0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