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Nacobbus aberrans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Nacobbus aberrans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(Thorne) Thorne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aberrans</w:t>
            </w:r>
            <w:r>
              <w:rPr>
                <w:rFonts w:ascii="Calibri" w:hAnsi="Calibri" w:eastAsia="Calibri" w:cs="Calibri"/>
                <w:color w:val="000000"/>
                <w:position w:val="-3"/>
                <w:sz w:val="22"/>
                <w:szCs w:val="22"/>
              </w:rPr>
              <w:t xml:space="preserve"> Thorne, </w:t>
            </w:r>
            <w:r>
              <w:rPr>
                <w:rFonts w:ascii="Calibri" w:hAnsi="Calibri" w:eastAsia="Calibri" w:cs="Calibri"/>
                <w:i/>
                <w:iCs/>
                <w:color w:val="000000"/>
                <w:position w:val="-3"/>
                <w:sz w:val="22"/>
                <w:szCs w:val="22"/>
              </w:rPr>
              <w:t xml:space="preserve">Nacobbus batatiformis</w:t>
            </w:r>
            <w:r>
              <w:rPr>
                <w:rFonts w:ascii="Calibri" w:hAnsi="Calibri" w:eastAsia="Calibri" w:cs="Calibri"/>
                <w:color w:val="000000"/>
                <w:position w:val="-3"/>
                <w:sz w:val="22"/>
                <w:szCs w:val="22"/>
              </w:rPr>
              <w:t xml:space="preserve"> Thorne &amp; Schuster, </w:t>
            </w:r>
            <w:r>
              <w:rPr>
                <w:rFonts w:ascii="Calibri" w:hAnsi="Calibri" w:eastAsia="Calibri" w:cs="Calibri"/>
                <w:i/>
                <w:iCs/>
                <w:color w:val="000000"/>
                <w:position w:val="-3"/>
                <w:sz w:val="22"/>
                <w:szCs w:val="22"/>
              </w:rPr>
              <w:t xml:space="preserve">Nacobbus serendipiticus bolivianus</w:t>
            </w:r>
            <w:r>
              <w:rPr>
                <w:rFonts w:ascii="Calibri" w:hAnsi="Calibri" w:eastAsia="Calibri" w:cs="Calibri"/>
                <w:color w:val="000000"/>
                <w:position w:val="-3"/>
                <w:sz w:val="22"/>
                <w:szCs w:val="22"/>
              </w:rPr>
              <w:t xml:space="preserve"> Lordello, Zamith &amp; Boock, </w:t>
            </w:r>
            <w:r>
              <w:rPr>
                <w:rFonts w:ascii="Calibri" w:hAnsi="Calibri" w:eastAsia="Calibri" w:cs="Calibri"/>
                <w:i/>
                <w:iCs/>
                <w:color w:val="000000"/>
                <w:position w:val="-3"/>
                <w:sz w:val="22"/>
                <w:szCs w:val="22"/>
              </w:rPr>
              <w:t xml:space="preserve">Nacobbus serendipiticus</w:t>
            </w:r>
            <w:r>
              <w:rPr>
                <w:rFonts w:ascii="Calibri" w:hAnsi="Calibri" w:eastAsia="Calibri" w:cs="Calibri"/>
                <w:color w:val="000000"/>
                <w:position w:val="-3"/>
                <w:sz w:val="22"/>
                <w:szCs w:val="22"/>
              </w:rPr>
              <w:t xml:space="preserve"> Franklin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root-knot nematode</w:t>
            </w:r>
            <w:hyperlink r:id="rId18936a424a2ee30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7916a424a2ee31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NACOBA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304488" name="name82756a424a2ee3628" descr="15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85.jpg"/>
                          <pic:cNvPicPr/>
                        </pic:nvPicPr>
                        <pic:blipFill>
                          <a:blip r:embed="rId76056a424a2ee3625" cstate="print"/>
                          <a:stretch>
                            <a:fillRect/>
                          </a:stretch>
                        </pic:blipFill>
                        <pic:spPr>
                          <a:xfrm>
                            <a:off x="0" y="0"/>
                            <a:ext cx="2160000" cy="1281600"/>
                          </a:xfrm>
                          <a:prstGeom prst="rect">
                            <a:avLst/>
                          </a:prstGeom>
                          <a:ln w="0">
                            <a:noFill/>
                          </a:ln>
                        </pic:spPr>
                      </pic:pic>
                    </a:graphicData>
                  </a:graphic>
                </wp:inline>
              </w:drawing>
            </w:r>
            <w:hyperlink r:id="rId80566a424a2ee372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is still in revision. Sher (1970) reviewed the genus and synonymized </w:t>
      </w:r>
      <w:r>
        <w:rPr>
          <w:rFonts w:ascii="Calibri" w:hAnsi="Calibri" w:eastAsia="Calibri" w:cs="Calibri"/>
          <w:i/>
          <w:iCs/>
          <w:color w:val="000000"/>
          <w:sz w:val="22"/>
          <w:szCs w:val="22"/>
        </w:rPr>
        <w:t xml:space="preserve">N. batatiformis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serendipiticus</w:t>
      </w:r>
      <w:r>
        <w:rPr>
          <w:rFonts w:ascii="Calibri" w:hAnsi="Calibri" w:eastAsia="Calibri" w:cs="Calibri"/>
          <w:color w:val="000000"/>
          <w:sz w:val="22"/>
          <w:szCs w:val="22"/>
        </w:rPr>
        <w:t xml:space="preserve"> and the subspecies </w:t>
      </w:r>
      <w:r>
        <w:rPr>
          <w:rFonts w:ascii="Calibri" w:hAnsi="Calibri" w:eastAsia="Calibri" w:cs="Calibri"/>
          <w:i/>
          <w:iCs/>
          <w:color w:val="000000"/>
          <w:sz w:val="22"/>
          <w:szCs w:val="22"/>
        </w:rPr>
        <w:t xml:space="preserve">N. serendipiticus bolivianus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Subsequently, the term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was used because of the great variability observed in the new populations detected, mainly at morphological, physiological and genetic levels. Recently, in order to clarify the taxonomic status of this complex, an integrative taxonomic analysis was carried out, using morphometric and molecular data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results supported the identification of three nominal species: i) </w:t>
      </w:r>
      <w:r>
        <w:rPr>
          <w:rFonts w:ascii="Calibri" w:hAnsi="Calibri" w:eastAsia="Calibri" w:cs="Calibri"/>
          <w:i/>
          <w:iCs/>
          <w:color w:val="000000"/>
          <w:sz w:val="22"/>
          <w:szCs w:val="22"/>
        </w:rPr>
        <w:t xml:space="preserve">N. aberrans sensu stricto</w:t>
      </w:r>
      <w:r>
        <w:rPr>
          <w:rFonts w:ascii="Calibri" w:hAnsi="Calibri" w:eastAsia="Calibri" w:cs="Calibri"/>
          <w:color w:val="000000"/>
          <w:sz w:val="22"/>
          <w:szCs w:val="22"/>
        </w:rPr>
        <w:t xml:space="preserve">, mainly distributed in Mexico and Ecuador; ii) </w:t>
      </w:r>
      <w:r>
        <w:rPr>
          <w:rFonts w:ascii="Calibri" w:hAnsi="Calibri" w:eastAsia="Calibri" w:cs="Calibri"/>
          <w:i/>
          <w:iCs/>
          <w:color w:val="000000"/>
          <w:sz w:val="22"/>
          <w:szCs w:val="22"/>
        </w:rPr>
        <w:t xml:space="preserve">N. bolivianus </w:t>
      </w:r>
      <w:r>
        <w:rPr>
          <w:rFonts w:ascii="Calibri" w:hAnsi="Calibri" w:eastAsia="Calibri" w:cs="Calibri"/>
          <w:color w:val="000000"/>
          <w:sz w:val="22"/>
          <w:szCs w:val="22"/>
        </w:rPr>
        <w:t xml:space="preserve">(ex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serendipiticus bolivianus</w:t>
      </w:r>
      <w:r>
        <w:rPr>
          <w:rFonts w:ascii="Calibri" w:hAnsi="Calibri" w:eastAsia="Calibri" w:cs="Calibri"/>
          <w:color w:val="000000"/>
          <w:sz w:val="22"/>
          <w:szCs w:val="22"/>
        </w:rPr>
        <w:t xml:space="preserve">), present in Bolivia and Peru;</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iii) </w:t>
      </w:r>
      <w:r>
        <w:rPr>
          <w:rFonts w:ascii="Calibri" w:hAnsi="Calibri" w:eastAsia="Calibri" w:cs="Calibri"/>
          <w:i/>
          <w:iCs/>
          <w:color w:val="000000"/>
          <w:sz w:val="22"/>
          <w:szCs w:val="22"/>
        </w:rPr>
        <w:t xml:space="preserve">N. celatus</w:t>
      </w:r>
      <w:r>
        <w:rPr>
          <w:rFonts w:ascii="Calibri" w:hAnsi="Calibri" w:eastAsia="Calibri" w:cs="Calibri"/>
          <w:color w:val="000000"/>
          <w:sz w:val="22"/>
          <w:szCs w:val="22"/>
        </w:rPr>
        <w:t xml:space="preserve">, a new species widely distributed in the lowlands of Argentina. However, there are many populations that have not yet been correctly identified and should be considered as </w:t>
      </w:r>
      <w:r>
        <w:rPr>
          <w:rFonts w:ascii="Calibri" w:hAnsi="Calibri" w:eastAsia="Calibri" w:cs="Calibri"/>
          <w:i/>
          <w:iCs/>
          <w:color w:val="000000"/>
          <w:sz w:val="22"/>
          <w:szCs w:val="22"/>
        </w:rPr>
        <w:t xml:space="preserve">N. aberrans s.l.</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is highly polyphagous, attacking at least 84 plant species of 24 families, including crops, native plants, and weeds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Doucet &amp; Lax, 2005; EPPO, 2009). Potato, tomato, pepper, sugarbeet and bean are the most economically significant hosts. Weeds can function as a permanent source of inoculum in cultivated crops or as reservoirs in the absence of the culture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Doucet &amp; Lax, 2005). Nematode populations from different geographic origins may show distinct behaviours when interacting with the same plant species or cultivar. This indicates that certain populations possess the ability to invade and proliferate within roots of a given plant, while others are unable to infest them. Consequently, based on these host preferences, populations can be differentiated into groups, races, biotypes or pathotypes (Castiblanco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Franco &amp; Main, 2008;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which are associated with specific host ranges and geographic areas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hypochondriacus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confertifolia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 var. pendulum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roseum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berlandieri var.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fragilis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Pelecyphora vivipara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indigenous to the American continent (Sher, 1970). Although quarantine records and interceptions of contaminated plant material have been reported in other countries, such as England, the Netherlands and Russia, there is so far no evidence of establishment of this nematode outside the Americas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r>
        <w:drawing>
          <wp:inline distT="0" distB="0" distL="0" distR="0">
            <wp:extent cx="6120000" cy="3067200"/>
            <wp:docPr id="34844370" name="name73536a424a2ee4d91" descr="NACOB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OBA_distribution_map.jpg"/>
                    <pic:cNvPicPr/>
                  </pic:nvPicPr>
                  <pic:blipFill>
                    <a:blip r:embed="rId65156a424a2ee4d8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Colorado, Kansas, Montana, Nebraska, South Dakota, Utah,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has four juvenile stages (J1 inside the egg, J2-J4) and the adults (male, immature and mature female). The J2-J4 and immature female (filiform) are infective, migratory and endoparasitic stages and can be found inside the roots and/or in the soil. The immature female establishes near the central root cylinder, becoming a sedentary endoparasite with a fusiform body. Feeding and development is accompanied by histological changes and gall formation by the roots, and eggs are laid in a gelatinous matrix which protrudes from the root surface into the soil. Development can be completed in about 37-48 days at 22-24 °C and even extend up to almost a year (observed when the nematode infests potato tubers). J3 and J4 are able to survive for more than 10 months in a quiescent state under the lenticels of stored potato tubers (Costilla, 1985a). The nematode is adapted to a wide range of climatic conditions; it is resistant to low temperatures (below -10 °C) and above 30 °C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Under laboratory conditions,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survived after 4 months in infested roots and soil at -13 °C, and 8 months in air-dried soil (7-9% RH) (Jatala &amp; Kaltenbach,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are similar to those caused by the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and it is not possible to differentiate these nematodes from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based on this root symptom. Infested potato tubers do not show visible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is characterized by the females having a single ovary (two in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and males having a bursa. Mature females in the root galls are fusiform with tapered posterior position contrasting with the rounded posterior end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mature females. Although the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mature female can be easily identified, the free mobile stages can be confused with other species, especially those of the family Pratylenchidae (Anthoine &amp; Mugniéry, 2005). The immature female is vermiform and is found in roots and in soil. The tail of immature females and juveniles (J2-J4) is rounded whereas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J2 has a tapered tail. See also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technique will depend on the type of material to be tested (roots, potato tubers, or soil samples). In roots, direct dissection of the galls can reveal the presence of fusiform females. Roots or potato peelings can be processed using the maceration-centrifugal-flotation (Coolen, 1979) or maceration-flotation method (Costilla, 1985b). During periods of temperature decline and drought, dormant stages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in soil can tolerate desiccation for 24 months. As a consequence, the nematode extraction from the soil using routine methods may be nil or very low. This makes it difficult to accurately assess the level of population density prior to sowing or transplanting a susceptible crop (Cristóbal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main techniques for nematode detection in soil samples are Baermann funnel or its modification, flotation-centrifugation with sugar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 closed bag method’ described by Ortuño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 molecular diagnostic method for detecting </w:t>
      </w:r>
      <w:r>
        <w:rPr>
          <w:rFonts w:ascii="Calibri" w:hAnsi="Calibri" w:eastAsia="Calibri" w:cs="Calibri"/>
          <w:i/>
          <w:iCs/>
          <w:color w:val="000000"/>
          <w:sz w:val="22"/>
          <w:szCs w:val="22"/>
        </w:rPr>
        <w:t xml:space="preserve">N. aberrans s.l. </w:t>
      </w:r>
      <w:r>
        <w:rPr>
          <w:rFonts w:ascii="Calibri" w:hAnsi="Calibri" w:eastAsia="Calibri" w:cs="Calibri"/>
          <w:color w:val="000000"/>
          <w:sz w:val="22"/>
          <w:szCs w:val="22"/>
        </w:rPr>
        <w:t xml:space="preserve">in soil and in potato tubers was developed by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More details are given in the EPPO diagnostic protocol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spread in contaminated potato tubers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with the movement of infested plants and soil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ranked as one of the top ten nematode pests in the world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impact on yield depends on different factors, such as population pathotype/group, initial density, climatic conditions, soil type, and the crop/cultivar selected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 Andean region, it is one of the main pests of the potato crop, reducing yields by about 10-73% (Canto-Saenz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Tomato production is reduced by around 60-75% in Ecuador (Corrales Arango, 2007) and by 12-83% in Mexico (Cristóbal-Alejo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sugarbeet, losses range between 10-20% in the USA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up to 36% on bean in Mexico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Nematicides alone do not effectively reduce populations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strategies that need to be rationally applied include: crop rotation, use of tolerant/resistant cultivars, use of trap and antagonistic plants, avoiding the spread of infected tubers, use of non-infested seed potato, application of organic amendments, solarisation, stubble burning, weed control, cleaning of farm machinery, and chemical and biological control (Franco, 1994;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Biological control strategies using different organisms (such as bacteria, fungi and entomopathogenic nematodes) and other eco-compatible approaches (metabolites, essential oils, plant extracts, phytohormones and amendments), either alone or as part of a combined control strategy show good results to reduce the root damage (less galls) and the nematode reproduction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field evaluations need to be further developed.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adaptive capacity to different environments and its wide host range,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a major threat if it were to be introduced into new regions or if new pathotypes/groups were to be introduced into new areas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distribution is restricted to the American continent, it has quarantine importance and is subject to international legislation to prevent its spread to other regions, such as the European Union. Detection in potato tubers is very important for regulatory and seed certification purposes. Post-entry quarantine procedures in the EPPO region are needed, together with equivalent checks before export to avoid the introduction of the South American potato pathotype/group. Only material for scientific purposes should normally be imported from South and North America. From other countries where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known to occur, the simplest practical measure is to restrict the introduction of soil, as such or accompanying plants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&amp; Mugniéry D (2005) Variability of the ITS rDNA and identification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(Nematoda: Pratylenchidae) by rDNA amplification.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SD, Manzanilla-López RH, Franco J, Peteira B &amp; Kerry BR (2005) A molecular diagnostic method for detecting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in soil and in potato tubers.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193-202.</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Arcos MJ, Jatala P, Haddad R (1996) Morphology,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197.</w:t>
      </w:r>
    </w:p>
    <w:p>
      <w:pPr>
        <w:widowControl w:val="on"/>
        <w:pBdr/>
        <w:spacing w:before="220" w:after="220" w:line="240" w:lineRule="auto"/>
        <w:ind w:left="0" w:right="0"/>
        <w:jc w:val="left"/>
      </w:pPr>
      <w:r>
        <w:rPr>
          <w:rFonts w:ascii="Calibri" w:hAnsi="Calibri" w:eastAsia="Calibri" w:cs="Calibri"/>
          <w:color w:val="000000"/>
          <w:sz w:val="22"/>
          <w:szCs w:val="22"/>
        </w:rPr>
        <w:t xml:space="preserve">Castiblanco O, Franco J &amp; Montecinos R (1999) Razas y gama de hospedantes en diferentes poblaciones del nematodo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85-96.</w:t>
      </w:r>
    </w:p>
    <w:p>
      <w:pPr>
        <w:widowControl w:val="on"/>
        <w:pBdr/>
        <w:spacing w:before="220" w:after="220" w:line="240" w:lineRule="auto"/>
        <w:ind w:left="0" w:right="0"/>
        <w:jc w:val="left"/>
      </w:pPr>
      <w:r>
        <w:rPr>
          <w:rFonts w:ascii="Calibri" w:hAnsi="Calibri" w:eastAsia="Calibri" w:cs="Calibri"/>
          <w:color w:val="000000"/>
          <w:sz w:val="22"/>
          <w:szCs w:val="22"/>
        </w:rPr>
        <w:t xml:space="preserve">Coolen WA (1979) Methods for the extraction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and other nematodes from roots and soil. In: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Systematics, Biology and Control (Eds Lamberti F &amp; Taylor CE), pp. 317–329.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Corrales Arango A (2007) Dinámica poblacional del ‘nematodo del rosario de la raíz’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las prácticas culturales del cultivo de tomate de mesa (</w:t>
      </w:r>
      <w:r>
        <w:rPr>
          <w:rFonts w:ascii="Calibri" w:hAnsi="Calibri" w:eastAsia="Calibri" w:cs="Calibri"/>
          <w:i/>
          <w:iCs/>
          <w:color w:val="000000"/>
          <w:sz w:val="22"/>
          <w:szCs w:val="22"/>
        </w:rPr>
        <w:t xml:space="preserve">Lycopersicum esculentum </w:t>
      </w:r>
      <w:r>
        <w:rPr>
          <w:rFonts w:ascii="Calibri" w:hAnsi="Calibri" w:eastAsia="Calibri" w:cs="Calibri"/>
          <w:color w:val="000000"/>
          <w:sz w:val="22"/>
          <w:szCs w:val="22"/>
        </w:rPr>
        <w:t xml:space="preserve">Mill) y pérdidas que causa. Ibarra-Imbabura (Degree Thesis). Universidad Técnica del Norte, Ibarra, Ecuador.</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(1985a) El falso nematode del nudo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y su relación con el cultivo de papa en el Noroeste argentino.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79-97.</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(1985b) Un método rápido para la extracción y observación de estados juveniles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tubérculos de papa</w:t>
      </w:r>
      <w:r>
        <w:rPr>
          <w:rFonts w:ascii="Calibri" w:hAnsi="Calibri" w:eastAsia="Calibri" w:cs="Calibri"/>
          <w:i/>
          <w:iCs/>
          <w:color w:val="000000"/>
          <w:sz w:val="22"/>
          <w:szCs w:val="22"/>
        </w:rPr>
        <w:t xml:space="preserve">. 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 AJ, Cid del Prado IV, Marbán-Mendoza N, Sánchez GP, Mora-Aguilera G &amp; Manzanilla LRH (2001) Sobrevivencia de estadios biológicos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condiciones de campo.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Cristóbal-Alejo J, Mora-Aguilera G, Manzanilla-López RH, Marbán-Mendoza N, Sánchez-García P, Cid del Prado Vera I &amp; Evans K (2006) Epidemiology and integrated control of </w:t>
      </w:r>
      <w:r>
        <w:rPr>
          <w:rFonts w:ascii="Calibri" w:hAnsi="Calibri" w:eastAsia="Calibri" w:cs="Calibri"/>
          <w:i/>
          <w:iCs/>
          <w:color w:val="000000"/>
          <w:sz w:val="22"/>
          <w:szCs w:val="22"/>
        </w:rPr>
        <w:t xml:space="preserve">Nacobbus aberrans </w:t>
      </w:r>
      <w:r>
        <w:rPr>
          <w:rFonts w:ascii="Calibri" w:hAnsi="Calibri" w:eastAsia="Calibri" w:cs="Calibri"/>
          <w:color w:val="000000"/>
          <w:sz w:val="22"/>
          <w:szCs w:val="22"/>
        </w:rPr>
        <w:t xml:space="preserve">on tomato in Mexico.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727-737.</w:t>
      </w:r>
    </w:p>
    <w:p>
      <w:pPr>
        <w:widowControl w:val="on"/>
        <w:pBdr/>
        <w:spacing w:before="220" w:after="220" w:line="240" w:lineRule="auto"/>
        <w:ind w:left="0" w:right="0"/>
        <w:jc w:val="left"/>
      </w:pPr>
      <w:r>
        <w:rPr>
          <w:rFonts w:ascii="Calibri" w:hAnsi="Calibri" w:eastAsia="Calibri" w:cs="Calibri"/>
          <w:color w:val="000000"/>
          <w:sz w:val="22"/>
          <w:szCs w:val="22"/>
        </w:rPr>
        <w:t xml:space="preserve">Doucet ME &amp; Lax P (2005)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 género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en Argentina. 6. La especie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(Thorne, 1935) Thorne &amp; Allen, 1944 (Nematoda: Tylenchida) y su relación con la agricultura. </w:t>
      </w:r>
      <w:r>
        <w:rPr>
          <w:rFonts w:ascii="Calibri" w:hAnsi="Calibri" w:eastAsia="Calibri" w:cs="Calibri"/>
          <w:i/>
          <w:iCs/>
          <w:color w:val="000000"/>
          <w:sz w:val="22"/>
          <w:szCs w:val="22"/>
        </w:rPr>
        <w:t xml:space="preserve">Anales de la Academia Nacional de Agronomía y Veterinaria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Pest categorisation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e05249. </w:t>
      </w:r>
      <w:hyperlink r:id="rId60896a424a2ee5e28" w:history="1">
        <w:r>
          <w:rPr>
            <w:rFonts w:ascii="Calibri" w:hAnsi="Calibri" w:eastAsia="Calibri" w:cs="Calibri"/>
            <w:color w:val="0000CC"/>
            <w:sz w:val="22"/>
            <w:szCs w:val="22"/>
            <w:u w:val="single"/>
          </w:rPr>
          <w:t xml:space="preserve">https://doi.org/10.2903/j.efsa.2018.5249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7/5(2)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376-381.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3/93 (1) Management of phytosanitary risks for potato crops resulting from movement of soil associated with root crops and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418–435.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(1994) Problemas de nematodos en la producción de papa en climas templados en la región andina.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179-195.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Ortuño N, Oros R &amp; Main G (1996)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on potato in Bolivia.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204.</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&amp; Main G (2008) Management of nematodes of Andean tuber and grain crops. In: </w:t>
      </w:r>
      <w:r>
        <w:rPr>
          <w:rFonts w:ascii="Calibri" w:hAnsi="Calibri" w:eastAsia="Calibri" w:cs="Calibri"/>
          <w:i/>
          <w:iCs/>
          <w:color w:val="000000"/>
          <w:sz w:val="22"/>
          <w:szCs w:val="22"/>
        </w:rPr>
        <w:t xml:space="preserve">Integrated Management and Biocontrol of Vegetable and Grain Crops Nematodes</w:t>
      </w:r>
      <w:r>
        <w:rPr>
          <w:rFonts w:ascii="Calibri" w:hAnsi="Calibri" w:eastAsia="Calibri" w:cs="Calibri"/>
          <w:color w:val="000000"/>
          <w:sz w:val="22"/>
          <w:szCs w:val="22"/>
        </w:rPr>
        <w:t xml:space="preserve">. Ciancio A, Mukerji KG (eds.). Springer, Dordrecht, Netherlands, 99-117.</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Di-Vito M &amp; Ferris H (1984) Influence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densities on growth of sugarbeet and kochia in pots.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Chitambar JJ, Chitwood DJ &amp; Handoo ZA (2005) The potato pathotype of the false-root knot nematode,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A List of Exotic Nematode Plant Pests of Agricultural and Environmental Significance to the United States. University of Nebraska-Lincoln, Society of Nematologists, and USDA-APHIS.</w:t>
      </w:r>
    </w:p>
    <w:p>
      <w:pPr>
        <w:widowControl w:val="on"/>
        <w:pBdr/>
        <w:spacing w:before="220" w:after="220" w:line="240" w:lineRule="auto"/>
        <w:ind w:left="0" w:right="0"/>
        <w:jc w:val="left"/>
      </w:pPr>
      <w:r>
        <w:rPr>
          <w:rFonts w:ascii="Calibri" w:hAnsi="Calibri" w:eastAsia="Calibri" w:cs="Calibri"/>
          <w:color w:val="000000"/>
          <w:sz w:val="22"/>
          <w:szCs w:val="22"/>
        </w:rPr>
        <w:t xml:space="preserve">Jatala P &amp; Kaltenbach R (1979) Survival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adverse conditions (Abstract).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Lax P, Rondan Dueñas JC, Coronel NB, Gardenal CN, Bima P &amp; Doucet ME (2011) Host range study of Argentine </w:t>
      </w:r>
      <w:r>
        <w:rPr>
          <w:rFonts w:ascii="Calibri" w:hAnsi="Calibri" w:eastAsia="Calibri" w:cs="Calibri"/>
          <w:i/>
          <w:iCs/>
          <w:color w:val="000000"/>
          <w:sz w:val="22"/>
          <w:szCs w:val="22"/>
        </w:rPr>
        <w:t xml:space="preserve">Nacobbus aberrans sensu</w:t>
      </w:r>
      <w:r>
        <w:rPr>
          <w:rFonts w:ascii="Calibri" w:hAnsi="Calibri" w:eastAsia="Calibri" w:cs="Calibri"/>
          <w:color w:val="000000"/>
          <w:sz w:val="22"/>
          <w:szCs w:val="22"/>
        </w:rPr>
        <w:t xml:space="preserve"> Sher populations and comments on the differential host test.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1414-1420.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Tordable MC, Macagno J, Bima P &amp; Doucet ME (2013) Response of different potato cultivars to the presence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83-90.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Gonzalez-Ittig RE, Rondan Dueñas JC, Andrade AJ, Gardenal CN, Franco J &amp; Doucet ME (2021) Decrypting species in the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(Nematoda: Pratylenchidae) complex using integrative taxonomy.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667-688.</w:t>
      </w:r>
    </w:p>
    <w:p>
      <w:pPr>
        <w:widowControl w:val="on"/>
        <w:pBdr/>
        <w:spacing w:before="220" w:after="220" w:line="240" w:lineRule="auto"/>
        <w:ind w:left="0" w:right="0"/>
        <w:jc w:val="left"/>
      </w:pPr>
      <w:r>
        <w:rPr>
          <w:rFonts w:ascii="Calibri" w:hAnsi="Calibri" w:eastAsia="Calibri" w:cs="Calibri"/>
          <w:color w:val="000000"/>
          <w:sz w:val="22"/>
          <w:szCs w:val="22"/>
        </w:rPr>
        <w:t xml:space="preserve">Lax P, Passone MA, Becerra AG, Sosa AL, Ciancio A, Finetti Sialer MM &amp; Rosso LC (2022) Sustainable strategies for management of the ‘false root-knot nematode’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Frontiers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1046315. </w:t>
      </w:r>
      <w:hyperlink r:id="rId34466a424a2ee63ac" w:history="1">
        <w:r>
          <w:rPr>
            <w:rFonts w:ascii="Calibri" w:hAnsi="Calibri" w:eastAsia="Calibri" w:cs="Calibri"/>
            <w:color w:val="0000CC"/>
            <w:sz w:val="22"/>
            <w:szCs w:val="22"/>
            <w:u w:val="single"/>
          </w:rPr>
          <w:t xml:space="preserve">https://doi.org/10.3389/fpls.2022.1046315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Manzanilla-López RH, Costilla MA, Doucet M, Inserra RN, Lehman PS, Cid del Prado-Vera I, Souza RM &amp; Evans K (2002) 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(Nematoda: Pratylenchidae): systematics, distribution, biology and management.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149-227.</w:t>
      </w:r>
    </w:p>
    <w:p>
      <w:pPr>
        <w:widowControl w:val="on"/>
        <w:pBdr/>
        <w:spacing w:before="220" w:after="220" w:line="240" w:lineRule="auto"/>
        <w:ind w:left="0" w:right="0"/>
        <w:jc w:val="left"/>
      </w:pPr>
      <w:r>
        <w:rPr>
          <w:rFonts w:ascii="Calibri" w:hAnsi="Calibri" w:eastAsia="Calibri" w:cs="Calibri"/>
          <w:color w:val="000000"/>
          <w:sz w:val="22"/>
          <w:szCs w:val="22"/>
        </w:rPr>
        <w:t xml:space="preserve">Ortuño N, Oros R, Main G &amp; Franco J (1996) Detección de nematodos por el método de la bolsa cerrada. </w:t>
      </w:r>
      <w:r>
        <w:rPr>
          <w:rFonts w:ascii="Calibri" w:hAnsi="Calibri" w:eastAsia="Calibri" w:cs="Calibri"/>
          <w:i/>
          <w:iCs/>
          <w:color w:val="000000"/>
          <w:sz w:val="22"/>
          <w:szCs w:val="22"/>
        </w:rPr>
        <w:t xml:space="preserve">Serie Ficha Técnica</w:t>
      </w:r>
      <w:r>
        <w:rPr>
          <w:rFonts w:ascii="Calibri" w:hAnsi="Calibri" w:eastAsia="Calibri" w:cs="Calibri"/>
          <w:color w:val="000000"/>
          <w:sz w:val="22"/>
          <w:szCs w:val="22"/>
        </w:rPr>
        <w:t xml:space="preserve"> 2/96.</w:t>
      </w:r>
    </w:p>
    <w:p>
      <w:pPr>
        <w:widowControl w:val="on"/>
        <w:pBdr/>
        <w:spacing w:before="220" w:after="220" w:line="240" w:lineRule="auto"/>
        <w:ind w:left="0" w:right="0"/>
        <w:jc w:val="left"/>
      </w:pPr>
      <w:r>
        <w:rPr>
          <w:rFonts w:ascii="Calibri" w:hAnsi="Calibri" w:eastAsia="Calibri" w:cs="Calibri"/>
          <w:color w:val="000000"/>
          <w:sz w:val="22"/>
          <w:szCs w:val="22"/>
        </w:rPr>
        <w:t xml:space="preserve">Sher SA (1970) Revision of 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Thorne and Allen, 1944 (Nematoda: Tylenchoidea).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Paola Lax, Instituto de Diversidad y Ecología Animal (CONICET-UNC), Facultad de Ciencias Exactas, Físicas y Naturales, Universidad Nacional de Córdoba, Córdoba,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EPPO datasheets on pests recommended for regulation. Available online. </w:t>
      </w:r>
      <w:hyperlink r:id="rId75726a424a2ee659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144, </w:t>
      </w:r>
      <w:r>
        <w:rPr>
          <w:rFonts w:ascii="Calibri" w:hAnsi="Calibri" w:eastAsia="Calibri" w:cs="Calibri"/>
          <w:i/>
          <w:iCs/>
          <w:color w:val="000000"/>
          <w:sz w:val="22"/>
          <w:szCs w:val="22"/>
        </w:rPr>
        <w:t xml:space="preserve">Nacobbus aberrans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61-66. </w:t>
      </w:r>
      <w:hyperlink r:id="rId62346a424a2ee6707" w:history="1">
        <w:r>
          <w:rPr>
            <w:rFonts w:ascii="Calibri" w:hAnsi="Calibri" w:eastAsia="Calibri" w:cs="Calibri"/>
            <w:color w:val="0000CC"/>
            <w:sz w:val="22"/>
            <w:szCs w:val="22"/>
            <w:u w:val="single"/>
          </w:rPr>
          <w:t xml:space="preserve">https://doi.org/10.1111/j.1365-2338.1984.tb01983.x</w:t>
        </w:r>
      </w:hyperlink>
    </w:p>
    <w:p>
      <w:r>
        <w:drawing>
          <wp:inline distT="0" distB="0" distL="0" distR="0">
            <wp:extent cx="1800000" cy="604800"/>
            <wp:docPr id="95793323" name="name78776a424a2ee677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066a424a2ee677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403627">
    <w:multiLevelType w:val="hybridMultilevel"/>
    <w:lvl w:ilvl="0" w:tplc="40636122">
      <w:start w:val="1"/>
      <w:numFmt w:val="decimal"/>
      <w:lvlText w:val="%1."/>
      <w:lvlJc w:val="left"/>
      <w:pPr>
        <w:ind w:left="720" w:hanging="360"/>
      </w:pPr>
    </w:lvl>
    <w:lvl w:ilvl="1" w:tplc="40636122" w:tentative="1">
      <w:start w:val="1"/>
      <w:numFmt w:val="lowerLetter"/>
      <w:lvlText w:val="%2."/>
      <w:lvlJc w:val="left"/>
      <w:pPr>
        <w:ind w:left="1440" w:hanging="360"/>
      </w:pPr>
    </w:lvl>
    <w:lvl w:ilvl="2" w:tplc="40636122" w:tentative="1">
      <w:start w:val="1"/>
      <w:numFmt w:val="lowerRoman"/>
      <w:lvlText w:val="%3."/>
      <w:lvlJc w:val="right"/>
      <w:pPr>
        <w:ind w:left="2160" w:hanging="180"/>
      </w:pPr>
    </w:lvl>
    <w:lvl w:ilvl="3" w:tplc="40636122" w:tentative="1">
      <w:start w:val="1"/>
      <w:numFmt w:val="decimal"/>
      <w:lvlText w:val="%4."/>
      <w:lvlJc w:val="left"/>
      <w:pPr>
        <w:ind w:left="2880" w:hanging="360"/>
      </w:pPr>
    </w:lvl>
    <w:lvl w:ilvl="4" w:tplc="40636122" w:tentative="1">
      <w:start w:val="1"/>
      <w:numFmt w:val="lowerLetter"/>
      <w:lvlText w:val="%5."/>
      <w:lvlJc w:val="left"/>
      <w:pPr>
        <w:ind w:left="3600" w:hanging="360"/>
      </w:pPr>
    </w:lvl>
    <w:lvl w:ilvl="5" w:tplc="40636122" w:tentative="1">
      <w:start w:val="1"/>
      <w:numFmt w:val="lowerRoman"/>
      <w:lvlText w:val="%6."/>
      <w:lvlJc w:val="right"/>
      <w:pPr>
        <w:ind w:left="4320" w:hanging="180"/>
      </w:pPr>
    </w:lvl>
    <w:lvl w:ilvl="6" w:tplc="40636122" w:tentative="1">
      <w:start w:val="1"/>
      <w:numFmt w:val="decimal"/>
      <w:lvlText w:val="%7."/>
      <w:lvlJc w:val="left"/>
      <w:pPr>
        <w:ind w:left="5040" w:hanging="360"/>
      </w:pPr>
    </w:lvl>
    <w:lvl w:ilvl="7" w:tplc="40636122" w:tentative="1">
      <w:start w:val="1"/>
      <w:numFmt w:val="lowerLetter"/>
      <w:lvlText w:val="%8."/>
      <w:lvlJc w:val="left"/>
      <w:pPr>
        <w:ind w:left="5760" w:hanging="360"/>
      </w:pPr>
    </w:lvl>
    <w:lvl w:ilvl="8" w:tplc="40636122" w:tentative="1">
      <w:start w:val="1"/>
      <w:numFmt w:val="lowerRoman"/>
      <w:lvlText w:val="%9."/>
      <w:lvlJc w:val="right"/>
      <w:pPr>
        <w:ind w:left="6480" w:hanging="180"/>
      </w:pPr>
    </w:lvl>
  </w:abstractNum>
  <w:abstractNum w:abstractNumId="28403626">
    <w:multiLevelType w:val="hybridMultilevel"/>
    <w:lvl w:ilvl="0" w:tplc="939724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403626">
    <w:abstractNumId w:val="28403626"/>
  </w:num>
  <w:num w:numId="28403627">
    <w:abstractNumId w:val="284036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9179378" Type="http://schemas.microsoft.com/office/2011/relationships/commentsExtended" Target="commentsExtended.xml"/><Relationship Id="rId983998662" Type="http://schemas.microsoft.com/office/2011/relationships/people" Target="people.xml"/><Relationship Id="rId18936a424a2ee30af" Type="http://schemas.openxmlformats.org/officeDocument/2006/relationships/hyperlink" Target="https://gd.eppo.int/taxon/NACOBA/" TargetMode="External"/><Relationship Id="rId77916a424a2ee311a" Type="http://schemas.openxmlformats.org/officeDocument/2006/relationships/hyperlink" Target="https://gd.eppo.int/taxon/NACOBA/categorization" TargetMode="External"/><Relationship Id="rId80566a424a2ee372e" Type="http://schemas.openxmlformats.org/officeDocument/2006/relationships/hyperlink" Target="https://gd.eppo.int/taxon/NACOBA/photos" TargetMode="External"/><Relationship Id="rId60896a424a2ee5e28" Type="http://schemas.openxmlformats.org/officeDocument/2006/relationships/hyperlink" Target="https://doi.org/10.2903/j.efsa.2018.5249" TargetMode="External"/><Relationship Id="rId34466a424a2ee63ac" Type="http://schemas.openxmlformats.org/officeDocument/2006/relationships/hyperlink" Target="https://doi.org/10.3389/fpls.2022.1046315" TargetMode="External"/><Relationship Id="rId75726a424a2ee659f" Type="http://schemas.openxmlformats.org/officeDocument/2006/relationships/hyperlink" Target="https://gd.eppo.int" TargetMode="External"/><Relationship Id="rId62346a424a2ee6707" Type="http://schemas.openxmlformats.org/officeDocument/2006/relationships/hyperlink" Target="https://doi.org/10.1111/j.1365-2338.1984.tb01983.x" TargetMode="External"/><Relationship Id="rId76056a424a2ee3625" Type="http://schemas.openxmlformats.org/officeDocument/2006/relationships/image" Target="media/imgrId76056a424a2ee3625.jpg"/><Relationship Id="rId65156a424a2ee4d8e" Type="http://schemas.openxmlformats.org/officeDocument/2006/relationships/image" Target="media/imgrId65156a424a2ee4d8e.jpg"/><Relationship Id="rId34066a424a2ee6770" Type="http://schemas.openxmlformats.org/officeDocument/2006/relationships/image" Target="media/imgrId34066a424a2ee677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