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Stagonosporopsis chrysanthemi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Stagonosporopsis chrysanthemi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 Stevens) P.W. Crous, N. Vaghefi &amp; P.W.J. Taylor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Pleosporomycetidae: Pleosporales: Didymellaceae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Ascochyta chrysanthemi</w:t>
            </w:r>
            <w:r>
              <w:rPr>
                <w:rFonts w:ascii="Calibri" w:hAnsi="Calibri" w:eastAsia="Calibri" w:cs="Calibri"/>
                <w:color w:val="000000"/>
                <w:position w:val="-3"/>
                <w:sz w:val="22"/>
                <w:szCs w:val="22"/>
              </w:rPr>
              <w:t xml:space="preserve"> F. Stevens, </w:t>
            </w:r>
            <w:r>
              <w:rPr>
                <w:rFonts w:ascii="Calibri" w:hAnsi="Calibri" w:eastAsia="Calibri" w:cs="Calibri"/>
                <w:i/>
                <w:iCs/>
                <w:color w:val="000000"/>
                <w:position w:val="-3"/>
                <w:sz w:val="22"/>
                <w:szCs w:val="22"/>
              </w:rPr>
              <w:t xml:space="preserve">Didymella ligulicola</w:t>
            </w:r>
            <w:r>
              <w:rPr>
                <w:rFonts w:ascii="Calibri" w:hAnsi="Calibri" w:eastAsia="Calibri" w:cs="Calibri"/>
                <w:color w:val="000000"/>
                <w:position w:val="-3"/>
                <w:sz w:val="22"/>
                <w:szCs w:val="22"/>
              </w:rPr>
              <w:t xml:space="preserve"> (Baker, Dimock &amp; Davis) von Arx, </w:t>
            </w:r>
            <w:r>
              <w:rPr>
                <w:rFonts w:ascii="Calibri" w:hAnsi="Calibri" w:eastAsia="Calibri" w:cs="Calibri"/>
                <w:i/>
                <w:iCs/>
                <w:color w:val="000000"/>
                <w:position w:val="-3"/>
                <w:sz w:val="22"/>
                <w:szCs w:val="22"/>
              </w:rPr>
              <w:t xml:space="preserve">Mycosphaerella ligulicola</w:t>
            </w:r>
            <w:r>
              <w:rPr>
                <w:rFonts w:ascii="Calibri" w:hAnsi="Calibri" w:eastAsia="Calibri" w:cs="Calibri"/>
                <w:color w:val="000000"/>
                <w:position w:val="-3"/>
                <w:sz w:val="22"/>
                <w:szCs w:val="22"/>
              </w:rPr>
              <w:t xml:space="preserve"> Baker, Dimock &amp; Davis, </w:t>
            </w:r>
            <w:r>
              <w:rPr>
                <w:rFonts w:ascii="Calibri" w:hAnsi="Calibri" w:eastAsia="Calibri" w:cs="Calibri"/>
                <w:i/>
                <w:iCs/>
                <w:color w:val="000000"/>
                <w:position w:val="-3"/>
                <w:sz w:val="22"/>
                <w:szCs w:val="22"/>
              </w:rPr>
              <w:t xml:space="preserve">Phoma ligulicola var. ligulicola</w:t>
            </w:r>
            <w:r>
              <w:rPr>
                <w:rFonts w:ascii="Calibri" w:hAnsi="Calibri" w:eastAsia="Calibri" w:cs="Calibri"/>
                <w:color w:val="000000"/>
                <w:position w:val="-3"/>
                <w:sz w:val="22"/>
                <w:szCs w:val="22"/>
              </w:rPr>
              <w:t xml:space="preserve"> Boerema, </w:t>
            </w:r>
            <w:r>
              <w:rPr>
                <w:rFonts w:ascii="Calibri" w:hAnsi="Calibri" w:eastAsia="Calibri" w:cs="Calibri"/>
                <w:i/>
                <w:iCs/>
                <w:color w:val="000000"/>
                <w:position w:val="-3"/>
                <w:sz w:val="22"/>
                <w:szCs w:val="22"/>
              </w:rPr>
              <w:t xml:space="preserve">Stagonosporopsis ligulicola var. ligulicola</w:t>
            </w:r>
            <w:r>
              <w:rPr>
                <w:rFonts w:ascii="Calibri" w:hAnsi="Calibri" w:eastAsia="Calibri" w:cs="Calibri"/>
                <w:color w:val="000000"/>
                <w:position w:val="-3"/>
                <w:sz w:val="22"/>
                <w:szCs w:val="22"/>
              </w:rPr>
              <w:t xml:space="preserve"> (Baker, Dimock &amp; Davis) Aveskamp, Gruyter &amp; Verkley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flower blight of chrysanthemum, ray blight of chrysanthemum, stem canker of chrysanthemum</w:t>
            </w:r>
            <w:hyperlink r:id="rId237069889b73a7bc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05269889b73a7c0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MYCOLG</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016063" name="name629269889b73a82a8" descr="1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5.jpg"/>
                          <pic:cNvPicPr/>
                        </pic:nvPicPr>
                        <pic:blipFill>
                          <a:blip r:embed="rId194669889b73a82a6" cstate="print"/>
                          <a:stretch>
                            <a:fillRect/>
                          </a:stretch>
                        </pic:blipFill>
                        <pic:spPr>
                          <a:xfrm>
                            <a:off x="0" y="0"/>
                            <a:ext cx="2160000" cy="1281600"/>
                          </a:xfrm>
                          <a:prstGeom prst="rect">
                            <a:avLst/>
                          </a:prstGeom>
                          <a:ln w="0">
                            <a:noFill/>
                          </a:ln>
                        </pic:spPr>
                      </pic:pic>
                    </a:graphicData>
                  </a:graphic>
                </wp:inline>
              </w:drawing>
            </w:r>
            <w:hyperlink r:id="rId343769889b73a83d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Not to be confused with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(Tassi) Garibaldi &amp; Gullino (syn. </w:t>
      </w:r>
      <w:r>
        <w:rPr>
          <w:rFonts w:ascii="Calibri" w:hAnsi="Calibri" w:eastAsia="Calibri" w:cs="Calibri"/>
          <w:i/>
          <w:iCs/>
          <w:color w:val="000000"/>
          <w:sz w:val="22"/>
          <w:szCs w:val="22"/>
        </w:rPr>
        <w:t xml:space="preserve">Sphaerella chrysanthemi</w:t>
      </w:r>
      <w:r>
        <w:rPr>
          <w:rFonts w:ascii="Calibri" w:hAnsi="Calibri" w:eastAsia="Calibri" w:cs="Calibri"/>
          <w:color w:val="000000"/>
          <w:sz w:val="22"/>
          <w:szCs w:val="22"/>
        </w:rPr>
        <w:t xml:space="preserve"> Tassi = </w:t>
      </w:r>
      <w:r>
        <w:rPr>
          <w:rFonts w:ascii="Calibri" w:hAnsi="Calibri" w:eastAsia="Calibri" w:cs="Calibri"/>
          <w:i/>
          <w:iCs/>
          <w:color w:val="000000"/>
          <w:sz w:val="22"/>
          <w:szCs w:val="22"/>
        </w:rPr>
        <w:t xml:space="preserve">Mycosphaerella chrysanthemi</w:t>
      </w:r>
      <w:r>
        <w:rPr>
          <w:rFonts w:ascii="Calibri" w:hAnsi="Calibri" w:eastAsia="Calibri" w:cs="Calibri"/>
          <w:color w:val="000000"/>
          <w:sz w:val="22"/>
          <w:szCs w:val="22"/>
        </w:rPr>
        <w:t xml:space="preserve"> (Tassi) Tomilin). The name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has been erroneously used as synonymous to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(for example, see Punithalingam, 1980). This was based on a study by Garibaldi &amp; Gullino (1971) that reported morphological identity of the ray blight pathogen described in the USA (at the time known as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and a little-known fungus described in Italy (at the time known as </w:t>
      </w:r>
      <w:r>
        <w:rPr>
          <w:rFonts w:ascii="Calibri" w:hAnsi="Calibri" w:eastAsia="Calibri" w:cs="Calibri"/>
          <w:i/>
          <w:iCs/>
          <w:color w:val="000000"/>
          <w:sz w:val="22"/>
          <w:szCs w:val="22"/>
        </w:rPr>
        <w:t xml:space="preserve">Sphaerella chrysanthemi</w:t>
      </w:r>
      <w:r>
        <w:rPr>
          <w:rFonts w:ascii="Calibri" w:hAnsi="Calibri" w:eastAsia="Calibri" w:cs="Calibri"/>
          <w:color w:val="000000"/>
          <w:sz w:val="22"/>
          <w:szCs w:val="22"/>
        </w:rPr>
        <w:t xml:space="preserve">). Later, Walker &amp; Baker (1983) studied the type specimen of both species and demonstrated that the American species was morphologically distinct and rejected the synonymy of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suggested by Garibaldi &amp; Gullino (1971). For more information see Walker &amp; Baker (1983) and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220" w:after="220" w:line="240" w:lineRule="auto"/>
        <w:ind w:left="0" w:right="0"/>
        <w:jc w:val="both"/>
      </w:pPr>
      <w:r>
        <w:rPr>
          <w:rFonts w:ascii="Calibri" w:hAnsi="Calibri" w:eastAsia="Calibri" w:cs="Calibri"/>
          <w:color w:val="000000"/>
          <w:sz w:val="22"/>
          <w:szCs w:val="22"/>
        </w:rPr>
        <w:t xml:space="preserve">Taxonomy of the ray blight pathogen was revised in 2012 based on multi-locus phylogenetic analyses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Currently, three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are recognized as the cause of ray blight disease on Asteraceae.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identified as the cause of ray blight on chrysanthemums while </w:t>
      </w:r>
      <w:r>
        <w:rPr>
          <w:rFonts w:ascii="Calibri" w:hAnsi="Calibri" w:eastAsia="Calibri" w:cs="Calibri"/>
          <w:i/>
          <w:iCs/>
          <w:color w:val="000000"/>
          <w:sz w:val="22"/>
          <w:szCs w:val="22"/>
        </w:rPr>
        <w:t xml:space="preserve">S. inoxydabilis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tanaceti</w:t>
      </w:r>
      <w:r>
        <w:rPr>
          <w:rFonts w:ascii="Calibri" w:hAnsi="Calibri" w:eastAsia="Calibri" w:cs="Calibri"/>
          <w:color w:val="000000"/>
          <w:sz w:val="22"/>
          <w:szCs w:val="22"/>
        </w:rPr>
        <w:t xml:space="preserve"> are recognized as the cause of ray blight on other Asteraceae species in Europe and Australia, respectively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are florists' chrysanthemums,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the former being the original host on which this pathogen was described (Stevens, 1907). Later, annual chrysanthemum (</w:t>
      </w:r>
      <w:r>
        <w:rPr>
          <w:rFonts w:ascii="Calibri" w:hAnsi="Calibri" w:eastAsia="Calibri" w:cs="Calibri"/>
          <w:i/>
          <w:iCs/>
          <w:color w:val="000000"/>
          <w:sz w:val="22"/>
          <w:szCs w:val="22"/>
        </w:rPr>
        <w:t xml:space="preserve">Chrysanthemum carinatum</w:t>
      </w:r>
      <w:r>
        <w:rPr>
          <w:rFonts w:ascii="Calibri" w:hAnsi="Calibri" w:eastAsia="Calibri" w:cs="Calibri"/>
          <w:color w:val="000000"/>
          <w:sz w:val="22"/>
          <w:szCs w:val="22"/>
        </w:rPr>
        <w:t xml:space="preserve">), endives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Dahlia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variabilis</w:t>
      </w:r>
      <w:r>
        <w:rPr>
          <w:rFonts w:ascii="Calibri" w:hAnsi="Calibri" w:eastAsia="Calibri" w:cs="Calibri"/>
          <w:color w:val="000000"/>
          <w:sz w:val="22"/>
          <w:szCs w:val="22"/>
        </w:rPr>
        <w:t xml:space="preserve">), globe artichokes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crispa</w:t>
      </w:r>
      <w:r>
        <w:rPr>
          <w:rFonts w:ascii="Calibri" w:hAnsi="Calibri" w:eastAsia="Calibri" w:cs="Calibri"/>
          <w:color w:val="000000"/>
          <w:sz w:val="22"/>
          <w:szCs w:val="22"/>
        </w:rPr>
        <w:t xml:space="preserve">), rudbeckia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sunflowers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Zinnia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were reported to be infected by artificial inoculation (Chesters &amp; Blakeman, 1967). Pyrethrum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is also established as an experimental host for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after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inoculation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Records established prior to the molecular reclassification of the pathogen in 2012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should be treated with caution as the identity of the isolates are not confirmed. For example, DAR 28714 previously identified as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on Zinnia (Walker &amp; Baker, 1983) was later reclassified as </w:t>
      </w:r>
      <w:r>
        <w:rPr>
          <w:rFonts w:ascii="Calibri" w:hAnsi="Calibri" w:eastAsia="Calibri" w:cs="Calibri"/>
          <w:i/>
          <w:iCs/>
          <w:color w:val="000000"/>
          <w:sz w:val="22"/>
          <w:szCs w:val="22"/>
        </w:rPr>
        <w:t xml:space="preserve">Stagonosporopsis caricae</w:t>
      </w:r>
      <w:r>
        <w:rPr>
          <w:rFonts w:ascii="Calibri" w:hAnsi="Calibri" w:eastAsia="Calibri" w:cs="Calibri"/>
          <w:color w:val="000000"/>
          <w:sz w:val="22"/>
          <w:szCs w:val="22"/>
        </w:rPr>
        <w:t xml:space="preserve"> (Marin-Felix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main potential hosts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would be chrysanthemums grown under protected conditions and outdoors.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Boerema &amp; Van Kesteren (1974) have suggested that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ligulicola</w:t>
      </w:r>
      <w:r>
        <w:rPr>
          <w:rFonts w:ascii="Calibri" w:hAnsi="Calibri" w:eastAsia="Calibri" w:cs="Calibri"/>
          <w:color w:val="000000"/>
          <w:sz w:val="22"/>
          <w:szCs w:val="22"/>
        </w:rPr>
        <w:t xml:space="preserve"> at the time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was present in Italy before introduction from the USA, Walker &amp; Baker (1983) consider the fungi involved to be distinct (see Notes on taxonomy and nomenclature). On this basis, the fungus causing ray blight of chrysanthemum originated in North America and is believed not to have reached Europe until the 1960s (Walker &amp; Baker, 1983).</w:t>
      </w:r>
    </w:p>
    <w:p>
      <w:pPr>
        <w:widowControl w:val="on"/>
        <w:pBdr/>
        <w:spacing w:before="220" w:after="220" w:line="240" w:lineRule="auto"/>
        <w:ind w:left="0" w:right="0"/>
        <w:jc w:val="both"/>
      </w:pPr>
      <w:r>
        <w:rPr>
          <w:rFonts w:ascii="Calibri" w:hAnsi="Calibri" w:eastAsia="Calibri" w:cs="Calibri"/>
          <w:color w:val="000000"/>
          <w:sz w:val="22"/>
          <w:szCs w:val="22"/>
        </w:rPr>
        <w:t xml:space="preserve">Records dated prior to the molecular characterization of the pathogen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should be treated with caution as the identity of the isolates cannot be confirmed and some reports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were subsequently found to belong to other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w:t>
      </w:r>
    </w:p>
    <w:p>
      <w:r>
        <w:drawing>
          <wp:inline distT="0" distB="0" distL="0" distR="0">
            <wp:extent cx="6120000" cy="3067200"/>
            <wp:docPr id="1473546" name="name207469889b73a9c6e" descr="MYCOLG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OLG_distribution_map.jpg"/>
                    <pic:cNvPicPr/>
                  </pic:nvPicPr>
                  <pic:blipFill>
                    <a:blip r:embed="rId546369889b73a9c6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Ireland, Israel, Italy (mainland), Lithuania, Luxembourg, Moldova, Republic of, Norway, Poland, Romania, Russian Federation, Serbia, Slovakia, Tunisia, United Kingdom (Channel Islands, England, Northern Ireland)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Kenya, Malawi, Tanzania, United Republic of,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(Andhra Pradesh), Israel,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(California, Florida, Mississippi, New York, North Carolina, Ohio, Pennsylvania, South Dakota)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Tasmania),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principal source of primary inoculum contributing to ray blight epidemics is ascospores, which mature during the winter and early spring in pseudothecia on diseased host tissue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Ascospores are discharged throughout the season and carried in air currents (McCoy, 1973) causing scattered infections through much of the flowering season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Airborne ascospores are forcibly discharged (McCoy, 1973) and may disperse over longer distances and infect neighbouring fields (Blakeman &amp; Hadley, 1968). Under experimental conditions on chrysanthemum stem and leaf tissue, pseudothecia developed in seven days at 20°C from the time of inoculation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Lower temperatures delayed pseudothecia formation (25 days at 10°C) while temperatures higher than 25°C inhibited development of pseudothecia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In naturally infected plants, pseudothecia were reported to be less abundant, but once plant samples were dried and incubated in the laboratory, an increase in the number of pseudothecia was observed within six to eight weeks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which form readily and abundantly on infected flower buds and peduncles and less so on stems and leaves, are also overwintering structures that can survive temperatures as low as -29°C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Upon artificial inoculation of chrysanthemum leaves and stems in the laboratory, pycnidia developed in three days at 26°C (optimal growth temperature) while pycnidial formation was inhibited at 30°C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Pycnidia are produced under both dry and humid conditions (relative humidity of 2 to 85%) but splash-dispersal of pynidiospores occurs only in humid conditions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Pynidiospores exude in gelatinous drops (cirri) and are spread by rain splash, misting, infested tools and clothing or hands of workers. Infection by waterborne pynidiospores result in localized streaks of infection in the crop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Given sufficient moisture, spores can infect petals within 6 hours and over a wide temperature range (6-30°C) but the optimal temperature for infection is 20-26°C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pynidiospores penetrate directly through or between epidermal cells, and a characteristic, much branched, short-celled mycelium quickly grows through the tissue, both intra- and intercellularly, causing a moist, brown decay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produces a phytotoxin that is able to induce leaf symptoms similar to those caused by the pathogen itself (Schadler &amp; Bateman, 1974). For more information see Stevens (1907), McCoy (1971),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can survive as epiphytic mycelium on chrysanthemum cuttings for 12 weeks (Chesters &amp; Blakeman, 1966) and, more importantly, as pseudothecia and pycnidia, which are the overwintering organs and can survive over a broad range of temperatures on infected plants outside (-29 to 30°C)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Sclerotia have been reported to survive in the soil for eight weeks (Blakeman and Hornby, 1966), however, the identity of the isolates is not confirmed. Therefore, this record should be treated with caution as the original descriptions of the ray blight pathogen (Stevens, 1907; Walker &amp; Baker, 1983) did not mention production of sclerotia.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Ray blight caused by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affects chrysanthemum under favorable conditions on potted plants, stock beds and cuttings grown in the field and protected areas (Engelhard 1984;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Flowers and cuttings are particularly susceptible, but all plant parts are affected and present symptoms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1961).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cuttings</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Cuttings are usually attacked at the terminal bud, from which point the infection spreads downwards to the whole plant. Unopened buds, bracts and stem tissue become darkened. On leaves, the fungus causes irregular brownish-black blotches, 2-3 cm across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Under favourable conditions, these rapidly coalesce and the leaf-rots. On stems, symptoms are associated with the points at which the diseased leaves adjoin, with wounds, or at the cutting base. During rooting, symptom development may be arrested, but diseased tissues remain on the plant and constitute a source of inoculum.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adult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Stem lesions, which may girdle the stem and are often localized at the base or nodes, are associated with an abnormal appearance in the corresponding shoots, without the latter being contaminated by the fungus. This is due to production of a phytotoxin which induces drooping of terminal growth, makes leaves smaller, chlorotic and more or less brittle, and causes slight dwarfing.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infection, spots develop, initially on one side of the blossom only. The spots appear reddish on light-coloured cultivars and brownish on darker ones. Infection subsequently spreads rapidly, and complete rotting of the flower head may occur, the infected florets sticking together. The fungus then grows down the peduncle, blackening and weakening the tissue, so that the head eventually droops and wilts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Flower and leaf symptoms may be confused with those due to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while rotting of cuttings resembles that due to </w:t>
      </w:r>
      <w:r>
        <w:rPr>
          <w:rFonts w:ascii="Calibri" w:hAnsi="Calibri" w:eastAsia="Calibri" w:cs="Calibri"/>
          <w:i/>
          <w:iCs/>
          <w:color w:val="000000"/>
          <w:sz w:val="22"/>
          <w:szCs w:val="22"/>
        </w:rPr>
        <w:t xml:space="preserve">B. cinerea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Pythium</w:t>
      </w:r>
      <w:r>
        <w:rPr>
          <w:rFonts w:ascii="Calibri" w:hAnsi="Calibri" w:eastAsia="Calibri" w:cs="Calibri"/>
          <w:color w:val="000000"/>
          <w:sz w:val="22"/>
          <w:szCs w:val="22"/>
        </w:rPr>
        <w:t xml:space="preserve"> infection. In case of doubt, reproductive structures should be carefully examined. </w:t>
      </w:r>
      <w:r>
        <w:rPr>
          <w:rFonts w:ascii="Calibri" w:hAnsi="Calibri" w:eastAsia="Calibri" w:cs="Calibri"/>
          <w:i/>
          <w:iCs/>
          <w:color w:val="000000"/>
          <w:sz w:val="22"/>
          <w:szCs w:val="22"/>
        </w:rPr>
        <w:t xml:space="preserve">B. cinerea</w:t>
      </w:r>
      <w:r>
        <w:rPr>
          <w:rFonts w:ascii="Calibri" w:hAnsi="Calibri" w:eastAsia="Calibri" w:cs="Calibri"/>
          <w:color w:val="000000"/>
          <w:sz w:val="22"/>
          <w:szCs w:val="22"/>
        </w:rPr>
        <w:t xml:space="preserve"> is distinguishable by the copious grey spores it produces. Septoria leaf spots (caused by </w:t>
      </w:r>
      <w:r>
        <w:rPr>
          <w:rFonts w:ascii="Calibri" w:hAnsi="Calibri" w:eastAsia="Calibri" w:cs="Calibri"/>
          <w:i/>
          <w:iCs/>
          <w:color w:val="000000"/>
          <w:sz w:val="22"/>
          <w:szCs w:val="22"/>
        </w:rPr>
        <w:t xml:space="preserve">Septoria</w:t>
      </w:r>
      <w:r>
        <w:rPr>
          <w:rFonts w:ascii="Calibri" w:hAnsi="Calibri" w:eastAsia="Calibri" w:cs="Calibri"/>
          <w:color w:val="000000"/>
          <w:sz w:val="22"/>
          <w:szCs w:val="22"/>
        </w:rPr>
        <w:t xml:space="preserve"> spp.) have more definite lesion margins and the central areas have a characteristic sheen. For more information, see Stevens (1907), Nillsson (1963), Sauthoff (1963).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visible with a x15 hand lens as depressed, thin-walled, globose bodies of two sizes: small (72 x 180 µm) which are aggregated on the petals, and large (111 x 325 µm) which are scattered on the stems and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Pycnidiospores exude in short columns, are hyaline, continuous (10-40%) and septate (60-90%, usually with one septum, occasionally with more), ovoid to cylindrical with a pronounced tendency to irregularity and an extreme variability in dimensions; continuous spores 6-22 x 2.5-8 µm, mostly 8.5-13 x 3.5-5.5 µm; septate spores 9-23 x 3-6.5 µm, mostly 13-15.5 x 4-5 µm. For more information, see Sauthoff (1963), Blakeman &amp; Hadley (1968), Boerema &amp; Bollen (1975).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shows phialidic ontogeny. Septation of the spores is a secondary process, related to temperature, and is probably a function of spore size. In culture, on oatmeal agar at 20-22°C, with a variable light-dark cycle, the majority of the pycnidiospores remain one-celled, 3.5-15 x 1.5-3.5 µm, mostly 4-8.5 x 2-3 µm.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homothallic and produces abundant pseudothecia in culture and on infected plants incubated in the laboratory for three to eight weeks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2016a,b). Pseudothecia are less commonly found on infected stems and flowers exposed outdoors during the winter, and are round and more erumpent than pycnidia, have dark-brown, thick-walled outer cells and are 96-224 µm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Ascospores are hyaline to greyish, fusiform to elliptical, uniseptate, 12-16 x 4-6 µm.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place or site of production is not effective at detecting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as the disease may be latent and symptoms may be confused with other diseases (EFSA, 2013). If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suspected, samples should be sent to the laboratory for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can be performed from all plant parts showing symptoms, but also seeds can be plated and the obtained culture characterized and identified.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can be easily isolated on pea agar and cherry decoction agar (Stevens, 1907;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For morphological studies, potato dextrose agar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oat meal agar or malt agar can be used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Colony diameter on OA approximately 7 cm after seven days, regular to slightly irregular, colourless/greenish olivaceous to dull green olivaceous, often in a zonate pattern; with sparse to abundant, felted to floccose, white to pale olivaceous grey aerial mycelium; reverse grey olivaceous to fawn/hazel or olivaceous grey, more or less discolouring due to a diffusible pigment. On MA, slower growth, 5–6 cm in diameter after seven days, sometimes with a pale luteous pigment production. Only the anamorph of the pathogen is produced in culture (Van der 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with pycnidia developing on and in the agar medium (OA).</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identification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based on micro-morphological features requires expertise and is not always possible due to morphological similarity to other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spp. that cause ray blight on Asteraceae, thus, molecular sequencing is necessary for correct identification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A multiplex PCR test capable of differentiating the three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ray blight symptoms on Asteraceae has been developed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on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is under development.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has a relatively low dispersal potential on its own. Pathways for movement include host plants for planting (including seed), cut flowers of host plants and soil and other growing media (EFSA, 2013). Infected cuttings of host plants can be a pathway for movement, as the pathogen is capable of surviving epiphytically on symptomless plant cuttings. Soil and other growing media attached to roots can also be a source of inoculum and therefore potted plants of hosts, and non-hosts with infected soil, can be a pathway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recent reports of the effects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on chrysanthemum crops (EFSA, 2013). Historically, the disease has caused economic impacts, and these are recorded for North America. The disease was recorded in North Carolina (USA) in 1904 and remained localized and of little importance until the late 1940s when, concurrent with the intensification of chrysanthemum flower and pot plant production, it began to cause serious losses throughout the distribution range. In North America from 1946-47, the disease was described as destructive (EFSA, 2013). In 1975, in Connecticut, the disease was reported to be particularly important on chrysanthemum cuttings in propagating benches under mist and 50% losses occurred.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present in the EU sporadically but there are no reports of the pathogen causing damage on chrysanthemum crops in the EU (EFSA, 2013). Additionally, EFSA (2013) conclude that the overall impact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in the EU is minor.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practices in places of production can reduce the spread and infection by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EFSA (2013) highlight that the use of use of pathogen-free propagation material, monitoring of the crop, avoiding overhead irrigation, proper management of waste plant material, soil disinfestation with steam, use of clean irrigation water and general hygiene measures can be used to avoid occurrence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Rapid removal of infected plants can help reduce disease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historically, the disease has been controlled successfully with benomyl. However, repeated and excessive usage of this fungicide (and thiophanate-methyl) over a number of years has led to the development of resistant isolates (Punithalingam, 1980). EFSA (2013) note that recent information on fungicides for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poor.</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is no biological control method available (CABI,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the potential for further establishment and spread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in the EPPO region (EFSA, 2013). Host plants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are popular ornamentals in the EPPO region and are widely grown in public and private gardens. The crop is cultivated in open fields and greenhouses.The Netherlands and Italy are the main European producers of chrysanthemum cut flowers whereas potted plants are produced throughout the EPPO region. Maintaining the current import procedures, production practices and control measures can keep the phytosanitary risk to a minimal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host plant material should be used (see EPPO, 2002). In countries where the disease occurs, growing-season inspections should be carried out, especially during rooting of cuttings, but also on mother plants and at flowering. Rooted or unrooted cuttings should come from rooting beds or plants, respectively, which were found free from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during the last growing season. Symptoms may develop in transit on blooms which are apparently healthy when cut. For imported consignments and inspections of places of production of chrysanthemum plants, visual inspection should be conducted and if suspected symptoms are detected, a sample should be sent for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KF, Dimock A &amp; Davis LH (1949) Life history and control of the </w:t>
      </w:r>
      <w:r>
        <w:rPr>
          <w:rFonts w:ascii="Calibri" w:hAnsi="Calibri" w:eastAsia="Calibri" w:cs="Calibri"/>
          <w:i/>
          <w:iCs/>
          <w:color w:val="000000"/>
          <w:sz w:val="22"/>
          <w:szCs w:val="22"/>
        </w:rPr>
        <w:t xml:space="preserve">Ascochyta</w:t>
      </w:r>
      <w:r>
        <w:rPr>
          <w:rFonts w:ascii="Calibri" w:hAnsi="Calibri" w:eastAsia="Calibri" w:cs="Calibri"/>
          <w:color w:val="000000"/>
          <w:sz w:val="22"/>
          <w:szCs w:val="22"/>
        </w:rPr>
        <w:t xml:space="preserve"> ray blight of chrysanthemum.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789-805.</w:t>
      </w:r>
    </w:p>
    <w:p>
      <w:pPr>
        <w:widowControl w:val="on"/>
        <w:pBdr/>
        <w:spacing w:before="220" w:after="220" w:line="240" w:lineRule="auto"/>
        <w:ind w:left="0" w:right="0"/>
        <w:jc w:val="left"/>
      </w:pPr>
      <w:r>
        <w:rPr>
          <w:rFonts w:ascii="Calibri" w:hAnsi="Calibri" w:eastAsia="Calibri" w:cs="Calibri"/>
          <w:color w:val="000000"/>
          <w:sz w:val="22"/>
          <w:szCs w:val="22"/>
        </w:rPr>
        <w:t xml:space="preserve">Blakeman JP &amp; Hadley G (1968) The pattern of asexual sporulation in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Blakeman JP &amp; Hornby D (1966) The persistence of </w:t>
      </w:r>
      <w:r>
        <w:rPr>
          <w:rFonts w:ascii="Calibri" w:hAnsi="Calibri" w:eastAsia="Calibri" w:cs="Calibri"/>
          <w:i/>
          <w:iCs/>
          <w:color w:val="000000"/>
          <w:sz w:val="22"/>
          <w:szCs w:val="22"/>
        </w:rPr>
        <w:t xml:space="preserve">Colletotrichum coccodes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in soil, with special reference to sclerotia and conidia.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227-240.</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de Gruyter J, Noordeloos ME &amp; Hamers MEC (2004)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identification manual. Differentiation of specific and infra-specific taxa in culture. CABI publishing, Wallingford, UK, 470 pp.</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&amp; Bollen GJ (1975) Conidiogenesis and conidial septation as differentiating criteria between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Ascochyta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111-144.</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&amp; Van Kesteren HA (1974) [Some special fungal infections VI]. </w:t>
      </w:r>
      <w:r>
        <w:rPr>
          <w:rFonts w:ascii="Calibri" w:hAnsi="Calibri" w:eastAsia="Calibri" w:cs="Calibri"/>
          <w:i/>
          <w:iCs/>
          <w:color w:val="000000"/>
          <w:sz w:val="22"/>
          <w:szCs w:val="22"/>
        </w:rPr>
        <w:t xml:space="preserve">Gewasbescherming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119-125.</w:t>
      </w:r>
    </w:p>
    <w:p>
      <w:pPr>
        <w:widowControl w:val="on"/>
        <w:pBdr/>
        <w:spacing w:before="220" w:after="220" w:line="240" w:lineRule="auto"/>
        <w:ind w:left="0" w:right="0"/>
        <w:jc w:val="left"/>
      </w:pPr>
      <w:r>
        <w:rPr>
          <w:rFonts w:ascii="Calibri" w:hAnsi="Calibri" w:eastAsia="Calibri" w:cs="Calibri"/>
          <w:color w:val="000000"/>
          <w:sz w:val="22"/>
          <w:szCs w:val="22"/>
        </w:rPr>
        <w:t xml:space="preserve">CAB International (Centre for Agricultural Bioscience International), online. Datasheets: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Crop Protection Compendium. </w:t>
      </w:r>
      <w:hyperlink r:id="rId674569889b73aadff" w:history="1">
        <w:r>
          <w:rPr>
            <w:rFonts w:ascii="Calibri" w:hAnsi="Calibri" w:eastAsia="Calibri" w:cs="Calibri"/>
            <w:color w:val="0000CC"/>
            <w:sz w:val="22"/>
            <w:szCs w:val="22"/>
            <w:u w:val="single"/>
          </w:rPr>
          <w:t xml:space="preserve">http://www.cabi.org/cpc/</w:t>
        </w:r>
      </w:hyperlink>
      <w:r>
        <w:rPr>
          <w:rFonts w:ascii="Calibri" w:hAnsi="Calibri" w:eastAsia="Calibri" w:cs="Calibri"/>
          <w:color w:val="000000"/>
          <w:sz w:val="22"/>
          <w:szCs w:val="22"/>
        </w:rPr>
        <w:t xml:space="preserve"> (accessed on 13 of December 2012).</w:t>
      </w:r>
    </w:p>
    <w:p>
      <w:pPr>
        <w:widowControl w:val="on"/>
        <w:pBdr/>
        <w:spacing w:before="220" w:after="220" w:line="240" w:lineRule="auto"/>
        <w:ind w:left="0" w:right="0"/>
        <w:jc w:val="left"/>
      </w:pPr>
      <w:r>
        <w:rPr>
          <w:rFonts w:ascii="Calibri" w:hAnsi="Calibri" w:eastAsia="Calibri" w:cs="Calibri"/>
          <w:color w:val="000000"/>
          <w:sz w:val="22"/>
          <w:szCs w:val="22"/>
        </w:rPr>
        <w:t xml:space="preserve">Chesters C &amp; Blakeman J (1967) Host range and variation in virulence of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385-90.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(Stevens) Crous, Vaghefi and Taylor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and Davis) Arx var. </w:t>
      </w:r>
      <w:r>
        <w:rPr>
          <w:rFonts w:ascii="Calibri" w:hAnsi="Calibri" w:eastAsia="Calibri" w:cs="Calibri"/>
          <w:i/>
          <w:iCs/>
          <w:color w:val="000000"/>
          <w:sz w:val="22"/>
          <w:szCs w:val="22"/>
        </w:rPr>
        <w:t xml:space="preserve">ligulicola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and Davis) Arx] in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(10), 3376. </w:t>
      </w:r>
      <w:hyperlink r:id="rId505269889b73aafad" w:history="1">
        <w:r>
          <w:rPr>
            <w:rFonts w:ascii="Calibri" w:hAnsi="Calibri" w:eastAsia="Calibri" w:cs="Calibri"/>
            <w:color w:val="0000CC"/>
            <w:sz w:val="22"/>
            <w:szCs w:val="22"/>
            <w:u w:val="single"/>
          </w:rPr>
          <w:t xml:space="preserve">https://efsa.onlinelibrary.wiley.com/doi/epdf/10.2903/j.efsa.2013.3376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PM 4/6(2) Production of healthy plants for planting, Certification scheme for chrysanthemum.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&amp; Gullino G (1971) Brevi notizie sulla presenza in Italia dell’ascochitosi del crisantemo. </w:t>
      </w:r>
      <w:r>
        <w:rPr>
          <w:rFonts w:ascii="Calibri" w:hAnsi="Calibri" w:eastAsia="Calibri" w:cs="Calibri"/>
          <w:i/>
          <w:iCs/>
          <w:color w:val="000000"/>
          <w:sz w:val="22"/>
          <w:szCs w:val="22"/>
        </w:rPr>
        <w:t xml:space="preserve">L’Agricoltura Italiana</w:t>
      </w:r>
      <w:r>
        <w:rPr>
          <w:rFonts w:ascii="Calibri" w:hAnsi="Calibri" w:eastAsia="Calibri" w:cs="Calibri"/>
          <w:color w:val="000000"/>
          <w:sz w:val="22"/>
          <w:szCs w:val="22"/>
        </w:rPr>
        <w:t xml:space="preserve"> 71 (N.S. 26), 21-290.</w:t>
      </w:r>
    </w:p>
    <w:p>
      <w:pPr>
        <w:widowControl w:val="on"/>
        <w:pBdr/>
        <w:spacing w:before="220" w:after="220" w:line="240" w:lineRule="auto"/>
        <w:ind w:left="0" w:right="0"/>
        <w:jc w:val="left"/>
      </w:pPr>
      <w:r>
        <w:rPr>
          <w:rFonts w:ascii="Calibri" w:hAnsi="Calibri" w:eastAsia="Calibri" w:cs="Calibri"/>
          <w:color w:val="000000"/>
          <w:sz w:val="22"/>
          <w:szCs w:val="22"/>
        </w:rPr>
        <w:t xml:space="preserve">Hahn W &amp; Schmatz R (1980) Diagnosis and control of Ascochyta disease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IMI (1993)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406 (edition 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Kamemoto H &amp; Nakasone HY (1953) Controlling chrysanthemum flowering by altering daylength.</w:t>
      </w:r>
    </w:p>
    <w:p>
      <w:pPr>
        <w:widowControl w:val="on"/>
        <w:pBdr/>
        <w:spacing w:before="220" w:after="220" w:line="240" w:lineRule="auto"/>
        <w:ind w:left="0" w:right="0"/>
        <w:jc w:val="left"/>
      </w:pPr>
      <w:r>
        <w:rPr>
          <w:rFonts w:ascii="Calibri" w:hAnsi="Calibri" w:eastAsia="Calibri" w:cs="Calibri"/>
          <w:color w:val="000000"/>
          <w:sz w:val="22"/>
          <w:szCs w:val="22"/>
        </w:rPr>
        <w:t xml:space="preserve">Marin-Felix Y et al. (2019) Genera of phytopathogenic fungi: GOPHY 3.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1-124.</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(1971) Epidemiology of chrysanthemum Ascochyta blight. </w:t>
      </w:r>
      <w:r>
        <w:rPr>
          <w:rFonts w:ascii="Calibri" w:hAnsi="Calibri" w:eastAsia="Calibri" w:cs="Calibri"/>
          <w:i/>
          <w:iCs/>
          <w:color w:val="000000"/>
          <w:sz w:val="22"/>
          <w:szCs w:val="22"/>
        </w:rPr>
        <w:t xml:space="preserve">PhD Thesis, Cornell University</w:t>
      </w:r>
      <w:r>
        <w:rPr>
          <w:rFonts w:ascii="Calibri" w:hAnsi="Calibri" w:eastAsia="Calibri" w:cs="Calibri"/>
          <w:color w:val="000000"/>
          <w:sz w:val="22"/>
          <w:szCs w:val="22"/>
        </w:rPr>
        <w:t xml:space="preserve">,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Horst RK, Dimock AW (1972) Environmental factors regulating sexual and asexual reproduction by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1188-1195.</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 (1973) Ballistics of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ascospore discharge.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793-794.</w:t>
      </w:r>
    </w:p>
    <w:p>
      <w:pPr>
        <w:widowControl w:val="on"/>
        <w:pBdr/>
        <w:spacing w:before="220" w:after="220" w:line="240" w:lineRule="auto"/>
        <w:ind w:left="0" w:right="0"/>
        <w:jc w:val="left"/>
      </w:pPr>
      <w:r>
        <w:rPr>
          <w:rFonts w:ascii="Calibri" w:hAnsi="Calibri" w:eastAsia="Calibri" w:cs="Calibri"/>
          <w:color w:val="000000"/>
          <w:sz w:val="22"/>
          <w:szCs w:val="22"/>
        </w:rPr>
        <w:t xml:space="preserve">Nillsson L (1963) [Black rot (ascochyta rot) of chrysanthemum].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8-15.</w:t>
      </w:r>
    </w:p>
    <w:p>
      <w:pPr>
        <w:widowControl w:val="on"/>
        <w:pBdr/>
        <w:spacing w:before="220" w:after="220" w:line="240" w:lineRule="auto"/>
        <w:ind w:left="0" w:right="0"/>
        <w:jc w:val="left"/>
      </w:pPr>
      <w:r>
        <w:rPr>
          <w:rFonts w:ascii="Calibri" w:hAnsi="Calibri" w:eastAsia="Calibri" w:cs="Calibri"/>
          <w:color w:val="000000"/>
          <w:sz w:val="22"/>
          <w:szCs w:val="22"/>
        </w:rPr>
        <w:t xml:space="preserve">Punithalingam E (1980)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662.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Sauthoff W (1963)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et Davis) v. Arx as a pathogen of chrysanthemum in Germany].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240-250.</w:t>
      </w:r>
    </w:p>
    <w:p>
      <w:pPr>
        <w:widowControl w:val="on"/>
        <w:pBdr/>
        <w:spacing w:before="220" w:after="220" w:line="240" w:lineRule="auto"/>
        <w:ind w:left="0" w:right="0"/>
        <w:jc w:val="left"/>
      </w:pPr>
      <w:r>
        <w:rPr>
          <w:rFonts w:ascii="Calibri" w:hAnsi="Calibri" w:eastAsia="Calibri" w:cs="Calibri"/>
          <w:color w:val="000000"/>
          <w:sz w:val="22"/>
          <w:szCs w:val="22"/>
        </w:rPr>
        <w:t xml:space="preserve">Schadler DL &amp; Bateman DF (1974) Ascochyta chrysanthemi toxin: production and properties,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779-784.</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Pethybridge SJ, Ford R, Nicolas ME, Crous PW &amp; Taylor PWJ (2012)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spp. associated with ray blight disease of Asteraceae.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675-686.</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Hay FS, Pethybridge SJ, Ford R &amp; Taylor PWJ (2016a) Development of a multiplex PCR diagnostic assay for the detection of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ray blight of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581-595.</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Pethybridge SJ, Hay FS, Ford R, Nicolas ME &amp; Taylor PWJ (2016b) Revisiting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chrysanthemum and pyrethrum ray blight, </w:t>
      </w:r>
      <w:r>
        <w:rPr>
          <w:rFonts w:ascii="Calibri" w:hAnsi="Calibri" w:eastAsia="Calibri" w:cs="Calibri"/>
          <w:i/>
          <w:iCs/>
          <w:color w:val="000000"/>
          <w:sz w:val="22"/>
          <w:szCs w:val="22"/>
        </w:rPr>
        <w:t xml:space="preserve">Australasian 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561-570.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 Noordeloos M &amp; de Gruyter J (1990) Species concepts in some larger genera of the Coelomycetes.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3-19.</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&amp; Baker KF (1983) The correct binomial for the chrysanthemum ray blight pathogen in relation to its geographical distribution.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31-38.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Niloofar Vaghefi, University of Melbourne.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EPPO datasheets on pests recommended for regulation. Available online. </w:t>
      </w:r>
      <w:hyperlink r:id="rId195769889b73ab74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 on Quarantine Organisms no 66: </w:t>
      </w:r>
      <w:r>
        <w:rPr>
          <w:rFonts w:ascii="Calibri" w:hAnsi="Calibri" w:eastAsia="Calibri" w:cs="Calibri"/>
          <w:i/>
          <w:iCs/>
          <w:color w:val="000000"/>
          <w:sz w:val="22"/>
          <w:szCs w:val="22"/>
        </w:rPr>
        <w:t xml:space="preserve">Didymella chrysanthemi.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41-46.  </w:t>
      </w:r>
      <w:hyperlink r:id="rId384469889b73ab88f" w:history="1">
        <w:r>
          <w:rPr>
            <w:rFonts w:ascii="Calibri" w:hAnsi="Calibri" w:eastAsia="Calibri" w:cs="Calibri"/>
            <w:color w:val="0000CC"/>
            <w:sz w:val="22"/>
            <w:szCs w:val="22"/>
            <w:u w:val="single"/>
          </w:rPr>
          <w:t xml:space="preserve">https://onlinelibrary.wiley.com/doi/abs/10.1111/j.1365-2338.1982.tb01954.x</w:t>
        </w:r>
      </w:hyperlink>
    </w:p>
    <w:p>
      <w:r>
        <w:drawing>
          <wp:inline distT="0" distB="0" distL="0" distR="0">
            <wp:extent cx="1800000" cy="604800"/>
            <wp:docPr id="87633085" name="name672469889b73ab90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0669889b73ab90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858689">
    <w:multiLevelType w:val="hybridMultilevel"/>
    <w:lvl w:ilvl="0" w:tplc="27037080">
      <w:start w:val="1"/>
      <w:numFmt w:val="decimal"/>
      <w:lvlText w:val="%1."/>
      <w:lvlJc w:val="left"/>
      <w:pPr>
        <w:ind w:left="720" w:hanging="360"/>
      </w:pPr>
    </w:lvl>
    <w:lvl w:ilvl="1" w:tplc="27037080" w:tentative="1">
      <w:start w:val="1"/>
      <w:numFmt w:val="lowerLetter"/>
      <w:lvlText w:val="%2."/>
      <w:lvlJc w:val="left"/>
      <w:pPr>
        <w:ind w:left="1440" w:hanging="360"/>
      </w:pPr>
    </w:lvl>
    <w:lvl w:ilvl="2" w:tplc="27037080" w:tentative="1">
      <w:start w:val="1"/>
      <w:numFmt w:val="lowerRoman"/>
      <w:lvlText w:val="%3."/>
      <w:lvlJc w:val="right"/>
      <w:pPr>
        <w:ind w:left="2160" w:hanging="180"/>
      </w:pPr>
    </w:lvl>
    <w:lvl w:ilvl="3" w:tplc="27037080" w:tentative="1">
      <w:start w:val="1"/>
      <w:numFmt w:val="decimal"/>
      <w:lvlText w:val="%4."/>
      <w:lvlJc w:val="left"/>
      <w:pPr>
        <w:ind w:left="2880" w:hanging="360"/>
      </w:pPr>
    </w:lvl>
    <w:lvl w:ilvl="4" w:tplc="27037080" w:tentative="1">
      <w:start w:val="1"/>
      <w:numFmt w:val="lowerLetter"/>
      <w:lvlText w:val="%5."/>
      <w:lvlJc w:val="left"/>
      <w:pPr>
        <w:ind w:left="3600" w:hanging="360"/>
      </w:pPr>
    </w:lvl>
    <w:lvl w:ilvl="5" w:tplc="27037080" w:tentative="1">
      <w:start w:val="1"/>
      <w:numFmt w:val="lowerRoman"/>
      <w:lvlText w:val="%6."/>
      <w:lvlJc w:val="right"/>
      <w:pPr>
        <w:ind w:left="4320" w:hanging="180"/>
      </w:pPr>
    </w:lvl>
    <w:lvl w:ilvl="6" w:tplc="27037080" w:tentative="1">
      <w:start w:val="1"/>
      <w:numFmt w:val="decimal"/>
      <w:lvlText w:val="%7."/>
      <w:lvlJc w:val="left"/>
      <w:pPr>
        <w:ind w:left="5040" w:hanging="360"/>
      </w:pPr>
    </w:lvl>
    <w:lvl w:ilvl="7" w:tplc="27037080" w:tentative="1">
      <w:start w:val="1"/>
      <w:numFmt w:val="lowerLetter"/>
      <w:lvlText w:val="%8."/>
      <w:lvlJc w:val="left"/>
      <w:pPr>
        <w:ind w:left="5760" w:hanging="360"/>
      </w:pPr>
    </w:lvl>
    <w:lvl w:ilvl="8" w:tplc="27037080" w:tentative="1">
      <w:start w:val="1"/>
      <w:numFmt w:val="lowerRoman"/>
      <w:lvlText w:val="%9."/>
      <w:lvlJc w:val="right"/>
      <w:pPr>
        <w:ind w:left="6480" w:hanging="180"/>
      </w:pPr>
    </w:lvl>
  </w:abstractNum>
  <w:abstractNum w:abstractNumId="25858688">
    <w:multiLevelType w:val="hybridMultilevel"/>
    <w:lvl w:ilvl="0" w:tplc="808329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858688">
    <w:abstractNumId w:val="25858688"/>
  </w:num>
  <w:num w:numId="25858689">
    <w:abstractNumId w:val="258586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9359448" Type="http://schemas.microsoft.com/office/2011/relationships/commentsExtended" Target="commentsExtended.xml"/><Relationship Id="rId351893945" Type="http://schemas.microsoft.com/office/2011/relationships/people" Target="people.xml"/><Relationship Id="rId237069889b73a7bc6" Type="http://schemas.openxmlformats.org/officeDocument/2006/relationships/hyperlink" Target="https://gd.eppo.int/taxon/MYCOLG/" TargetMode="External"/><Relationship Id="rId205269889b73a7c0a" Type="http://schemas.openxmlformats.org/officeDocument/2006/relationships/hyperlink" Target="https://gd.eppo.int/taxon/MYCOLG/categorization" TargetMode="External"/><Relationship Id="rId343769889b73a83db" Type="http://schemas.openxmlformats.org/officeDocument/2006/relationships/hyperlink" Target="https://gd.eppo.int/taxon/MYCOLG/photos" TargetMode="External"/><Relationship Id="rId674569889b73aadff" Type="http://schemas.openxmlformats.org/officeDocument/2006/relationships/hyperlink" Target="http://www.cabi.org/cpc/" TargetMode="External"/><Relationship Id="rId505269889b73aafad" Type="http://schemas.openxmlformats.org/officeDocument/2006/relationships/hyperlink" Target="https://efsa.onlinelibrary.wiley.com/doi/epdf/10.2903/j.efsa.2013.3376" TargetMode="External"/><Relationship Id="rId195769889b73ab747" Type="http://schemas.openxmlformats.org/officeDocument/2006/relationships/hyperlink" Target="https://gd.eppo.int" TargetMode="External"/><Relationship Id="rId384469889b73ab88f" Type="http://schemas.openxmlformats.org/officeDocument/2006/relationships/hyperlink" Target="https://onlinelibrary.wiley.com/doi/abs/10.1111/j.1365-2338.1982.tb01954.x" TargetMode="External"/><Relationship Id="rId194669889b73a82a6" Type="http://schemas.openxmlformats.org/officeDocument/2006/relationships/image" Target="media/imgrId194669889b73a82a6.jpg"/><Relationship Id="rId546369889b73a9c6a" Type="http://schemas.openxmlformats.org/officeDocument/2006/relationships/image" Target="media/imgrId546369889b73a9c6a.jpg"/><Relationship Id="rId970669889b73ab905" Type="http://schemas.openxmlformats.org/officeDocument/2006/relationships/image" Target="media/imgrId970669889b73ab9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